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D5E9" w14:textId="77777777" w:rsidR="00000000" w:rsidRDefault="009027A3">
      <w:pPr>
        <w:pStyle w:val="a3"/>
        <w:spacing w:before="0" w:beforeAutospacing="0" w:after="0" w:afterAutospacing="0"/>
        <w:jc w:val="center"/>
        <w:rPr>
          <w:sz w:val="20"/>
          <w:szCs w:val="20"/>
        </w:rPr>
      </w:pPr>
      <w:r>
        <w:rPr>
          <w:b/>
          <w:bCs/>
          <w:sz w:val="20"/>
          <w:szCs w:val="20"/>
        </w:rPr>
        <w:t> </w:t>
      </w:r>
    </w:p>
    <w:p w14:paraId="0DA0215E" w14:textId="77777777" w:rsidR="00000000" w:rsidRDefault="009027A3">
      <w:pPr>
        <w:divId w:val="425613988"/>
        <w:rPr>
          <w:rFonts w:eastAsia="Times New Roman"/>
          <w:sz w:val="2"/>
          <w:szCs w:val="2"/>
        </w:rPr>
      </w:pPr>
      <w:r>
        <w:rPr>
          <w:rFonts w:eastAsia="Times New Roman"/>
          <w:sz w:val="2"/>
          <w:szCs w:val="2"/>
        </w:rPr>
        <w:t> </w:t>
      </w:r>
    </w:p>
    <w:p w14:paraId="532CBED5" w14:textId="77777777" w:rsidR="00000000" w:rsidRDefault="009027A3">
      <w:pPr>
        <w:pStyle w:val="a3"/>
        <w:spacing w:before="0" w:beforeAutospacing="0" w:after="0" w:afterAutospacing="0"/>
        <w:jc w:val="center"/>
        <w:rPr>
          <w:sz w:val="20"/>
          <w:szCs w:val="20"/>
        </w:rPr>
      </w:pPr>
      <w:r>
        <w:rPr>
          <w:b/>
          <w:bCs/>
          <w:sz w:val="20"/>
          <w:szCs w:val="20"/>
        </w:rPr>
        <w:t> </w:t>
      </w:r>
    </w:p>
    <w:p w14:paraId="76A1C73E" w14:textId="77777777" w:rsidR="00000000" w:rsidRDefault="009027A3">
      <w:pPr>
        <w:pStyle w:val="a3"/>
        <w:spacing w:before="0" w:beforeAutospacing="0" w:after="0" w:afterAutospacing="0"/>
        <w:jc w:val="center"/>
        <w:rPr>
          <w:sz w:val="20"/>
          <w:szCs w:val="20"/>
        </w:rPr>
      </w:pPr>
      <w:r>
        <w:rPr>
          <w:b/>
          <w:bCs/>
          <w:sz w:val="36"/>
          <w:szCs w:val="36"/>
        </w:rPr>
        <w:t>UNITED STATES</w:t>
      </w:r>
    </w:p>
    <w:p w14:paraId="37659BDF" w14:textId="77777777" w:rsidR="00000000" w:rsidRDefault="009027A3">
      <w:pPr>
        <w:pStyle w:val="a3"/>
        <w:spacing w:before="0" w:beforeAutospacing="0" w:after="0" w:afterAutospacing="0"/>
        <w:jc w:val="center"/>
        <w:rPr>
          <w:sz w:val="20"/>
          <w:szCs w:val="20"/>
        </w:rPr>
      </w:pPr>
      <w:r>
        <w:rPr>
          <w:b/>
          <w:bCs/>
          <w:sz w:val="36"/>
          <w:szCs w:val="36"/>
        </w:rPr>
        <w:t>SECURITIES AND EXCHANGE COMMISSION</w:t>
      </w:r>
    </w:p>
    <w:p w14:paraId="501987B6" w14:textId="77777777" w:rsidR="00000000" w:rsidRDefault="009027A3">
      <w:pPr>
        <w:pStyle w:val="a3"/>
        <w:spacing w:before="0" w:beforeAutospacing="0" w:after="0" w:afterAutospacing="0"/>
        <w:jc w:val="center"/>
        <w:rPr>
          <w:sz w:val="20"/>
          <w:szCs w:val="20"/>
        </w:rPr>
      </w:pPr>
      <w:r>
        <w:rPr>
          <w:b/>
          <w:bCs/>
        </w:rPr>
        <w:t>Washington, D.C. 20549</w:t>
      </w:r>
    </w:p>
    <w:p w14:paraId="7E7838D1" w14:textId="77777777" w:rsidR="00000000" w:rsidRDefault="009027A3">
      <w:pPr>
        <w:pStyle w:val="a3"/>
        <w:spacing w:before="0" w:beforeAutospacing="0" w:after="0" w:afterAutospacing="0"/>
        <w:jc w:val="center"/>
        <w:rPr>
          <w:sz w:val="20"/>
          <w:szCs w:val="20"/>
        </w:rPr>
      </w:pPr>
      <w:r>
        <w:rPr>
          <w:sz w:val="20"/>
          <w:szCs w:val="20"/>
        </w:rPr>
        <w:t> </w:t>
      </w:r>
    </w:p>
    <w:p w14:paraId="652892C0" w14:textId="77777777" w:rsidR="00000000" w:rsidRDefault="009027A3">
      <w:pPr>
        <w:pStyle w:val="a3"/>
        <w:spacing w:before="0" w:beforeAutospacing="0" w:after="0" w:afterAutospacing="0"/>
        <w:jc w:val="center"/>
        <w:rPr>
          <w:sz w:val="20"/>
          <w:szCs w:val="20"/>
        </w:rPr>
      </w:pPr>
      <w:r>
        <w:rPr>
          <w:b/>
          <w:bCs/>
          <w:sz w:val="36"/>
          <w:szCs w:val="36"/>
        </w:rPr>
        <w:t>Form 10-Q</w:t>
      </w:r>
    </w:p>
    <w:p w14:paraId="6092AE15" w14:textId="77777777" w:rsidR="00000000" w:rsidRDefault="009027A3">
      <w:pPr>
        <w:pStyle w:val="a3"/>
        <w:spacing w:before="0" w:beforeAutospacing="0" w:after="0" w:afterAutospacing="0"/>
        <w:jc w:val="both"/>
        <w:rPr>
          <w:sz w:val="20"/>
          <w:szCs w:val="20"/>
        </w:rPr>
      </w:pPr>
      <w:r>
        <w:rPr>
          <w:b/>
          <w:bCs/>
          <w:sz w:val="20"/>
          <w:szCs w:val="20"/>
        </w:rPr>
        <w:t>(Mark one)</w:t>
      </w:r>
    </w:p>
    <w:p w14:paraId="762D4FC4" w14:textId="77777777" w:rsidR="00000000" w:rsidRDefault="009027A3">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B8DF212" w14:textId="77777777">
        <w:trPr>
          <w:tblCellSpacing w:w="0" w:type="dxa"/>
        </w:trPr>
        <w:tc>
          <w:tcPr>
            <w:tcW w:w="360" w:type="dxa"/>
            <w:hideMark/>
          </w:tcPr>
          <w:p w14:paraId="435A00DF" w14:textId="77777777" w:rsidR="00000000" w:rsidRDefault="009027A3">
            <w:pPr>
              <w:rPr>
                <w:sz w:val="20"/>
                <w:szCs w:val="20"/>
              </w:rPr>
            </w:pPr>
          </w:p>
        </w:tc>
        <w:tc>
          <w:tcPr>
            <w:tcW w:w="360" w:type="dxa"/>
            <w:hideMark/>
          </w:tcPr>
          <w:p w14:paraId="6EE04FCA" w14:textId="77777777" w:rsidR="00000000" w:rsidRDefault="009027A3">
            <w:pPr>
              <w:rPr>
                <w:rFonts w:eastAsia="Times New Roman"/>
                <w:sz w:val="20"/>
                <w:szCs w:val="20"/>
              </w:rPr>
            </w:pPr>
            <w:r>
              <w:rPr>
                <w:rFonts w:eastAsia="Times New Roman"/>
                <w:b/>
                <w:bCs/>
                <w:sz w:val="20"/>
                <w:szCs w:val="20"/>
              </w:rPr>
              <w:t>[X]</w:t>
            </w:r>
          </w:p>
        </w:tc>
        <w:tc>
          <w:tcPr>
            <w:tcW w:w="0" w:type="auto"/>
            <w:hideMark/>
          </w:tcPr>
          <w:p w14:paraId="2E61DDFD" w14:textId="77777777" w:rsidR="00000000" w:rsidRDefault="009027A3">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14:paraId="0F8CA177" w14:textId="77777777" w:rsidR="00000000" w:rsidRDefault="009027A3">
      <w:pPr>
        <w:pStyle w:val="a3"/>
        <w:spacing w:before="0" w:beforeAutospacing="0" w:after="0" w:afterAutospacing="0"/>
        <w:ind w:left="635"/>
        <w:jc w:val="center"/>
        <w:rPr>
          <w:sz w:val="20"/>
          <w:szCs w:val="20"/>
        </w:rPr>
      </w:pPr>
      <w:r>
        <w:rPr>
          <w:sz w:val="20"/>
          <w:szCs w:val="20"/>
        </w:rPr>
        <w:t> </w:t>
      </w:r>
    </w:p>
    <w:p w14:paraId="211B0EB3" w14:textId="77777777" w:rsidR="00000000" w:rsidRDefault="009027A3">
      <w:pPr>
        <w:pStyle w:val="a3"/>
        <w:spacing w:before="0" w:beforeAutospacing="0" w:after="0" w:afterAutospacing="0"/>
        <w:ind w:left="635"/>
        <w:jc w:val="center"/>
        <w:rPr>
          <w:sz w:val="20"/>
          <w:szCs w:val="20"/>
        </w:rPr>
      </w:pPr>
      <w:r>
        <w:rPr>
          <w:b/>
          <w:bCs/>
          <w:sz w:val="20"/>
          <w:szCs w:val="20"/>
        </w:rPr>
        <w:t>For the quarterly period ended March 31, 2021</w:t>
      </w:r>
    </w:p>
    <w:p w14:paraId="260FB2E9" w14:textId="77777777" w:rsidR="00000000" w:rsidRDefault="009027A3">
      <w:pPr>
        <w:pStyle w:val="a3"/>
        <w:spacing w:before="0" w:beforeAutospacing="0" w:after="0" w:afterAutospacing="0"/>
        <w:ind w:left="635"/>
        <w:jc w:val="center"/>
        <w:rPr>
          <w:sz w:val="20"/>
          <w:szCs w:val="20"/>
        </w:rPr>
      </w:pPr>
      <w:r>
        <w:rPr>
          <w:b/>
          <w:bCs/>
          <w:sz w:val="20"/>
          <w:szCs w:val="20"/>
        </w:rPr>
        <w:t> </w:t>
      </w:r>
    </w:p>
    <w:p w14:paraId="434F4BDE" w14:textId="77777777" w:rsidR="00000000" w:rsidRDefault="009027A3">
      <w:pPr>
        <w:pStyle w:val="a3"/>
        <w:spacing w:before="0" w:beforeAutospacing="0" w:after="0" w:afterAutospacing="0"/>
        <w:ind w:left="635"/>
        <w:jc w:val="center"/>
        <w:rPr>
          <w:sz w:val="20"/>
          <w:szCs w:val="20"/>
        </w:rPr>
      </w:pPr>
      <w:r>
        <w:rPr>
          <w:b/>
          <w:bCs/>
          <w:sz w:val="20"/>
          <w:szCs w:val="20"/>
        </w:rPr>
        <w:t>or</w:t>
      </w:r>
    </w:p>
    <w:p w14:paraId="541E5877" w14:textId="77777777" w:rsidR="00000000" w:rsidRDefault="009027A3">
      <w:pPr>
        <w:pStyle w:val="a3"/>
        <w:spacing w:before="0" w:beforeAutospacing="0" w:after="0" w:afterAutospacing="0"/>
        <w:ind w:firstLine="275"/>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EC38F06" w14:textId="77777777">
        <w:trPr>
          <w:tblCellSpacing w:w="0" w:type="dxa"/>
        </w:trPr>
        <w:tc>
          <w:tcPr>
            <w:tcW w:w="360" w:type="dxa"/>
            <w:hideMark/>
          </w:tcPr>
          <w:p w14:paraId="2B34BEC0" w14:textId="77777777" w:rsidR="00000000" w:rsidRDefault="009027A3">
            <w:pPr>
              <w:rPr>
                <w:sz w:val="20"/>
                <w:szCs w:val="20"/>
              </w:rPr>
            </w:pPr>
          </w:p>
        </w:tc>
        <w:tc>
          <w:tcPr>
            <w:tcW w:w="360" w:type="dxa"/>
            <w:hideMark/>
          </w:tcPr>
          <w:p w14:paraId="21868659" w14:textId="77777777" w:rsidR="00000000" w:rsidRDefault="009027A3">
            <w:pPr>
              <w:rPr>
                <w:rFonts w:eastAsia="Times New Roman"/>
                <w:sz w:val="20"/>
                <w:szCs w:val="20"/>
              </w:rPr>
            </w:pPr>
            <w:r>
              <w:rPr>
                <w:rFonts w:eastAsia="Times New Roman"/>
                <w:sz w:val="20"/>
                <w:szCs w:val="20"/>
              </w:rPr>
              <w:t>[  ]</w:t>
            </w:r>
          </w:p>
        </w:tc>
        <w:tc>
          <w:tcPr>
            <w:tcW w:w="0" w:type="auto"/>
            <w:hideMark/>
          </w:tcPr>
          <w:p w14:paraId="40DCB975" w14:textId="77777777" w:rsidR="00000000" w:rsidRDefault="009027A3">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5F52CAFF" w14:textId="77777777" w:rsidR="00000000" w:rsidRDefault="009027A3">
      <w:pPr>
        <w:pStyle w:val="a3"/>
        <w:spacing w:before="0" w:beforeAutospacing="0" w:after="0" w:afterAutospacing="0"/>
        <w:jc w:val="center"/>
        <w:rPr>
          <w:sz w:val="20"/>
          <w:szCs w:val="20"/>
        </w:rPr>
      </w:pPr>
      <w:r>
        <w:rPr>
          <w:b/>
          <w:bCs/>
          <w:sz w:val="20"/>
          <w:szCs w:val="20"/>
        </w:rPr>
        <w:t> </w:t>
      </w:r>
    </w:p>
    <w:p w14:paraId="06426F2F" w14:textId="77777777" w:rsidR="00000000" w:rsidRDefault="009027A3">
      <w:pPr>
        <w:pStyle w:val="a3"/>
        <w:spacing w:before="0" w:beforeAutospacing="0" w:after="0" w:afterAutospacing="0"/>
        <w:jc w:val="center"/>
        <w:rPr>
          <w:sz w:val="20"/>
          <w:szCs w:val="20"/>
        </w:rPr>
      </w:pPr>
      <w:r>
        <w:rPr>
          <w:b/>
          <w:bCs/>
          <w:sz w:val="20"/>
          <w:szCs w:val="20"/>
        </w:rPr>
        <w:t>For the transition period from        to</w:t>
      </w:r>
      <w:r>
        <w:rPr>
          <w:sz w:val="20"/>
          <w:szCs w:val="20"/>
        </w:rPr>
        <w:t>        </w:t>
      </w:r>
    </w:p>
    <w:p w14:paraId="3DB009AF" w14:textId="77777777" w:rsidR="00000000" w:rsidRDefault="009027A3">
      <w:pPr>
        <w:pStyle w:val="a3"/>
        <w:spacing w:before="0" w:beforeAutospacing="0" w:after="0" w:afterAutospacing="0"/>
        <w:jc w:val="center"/>
        <w:rPr>
          <w:sz w:val="20"/>
          <w:szCs w:val="20"/>
        </w:rPr>
      </w:pPr>
      <w:r>
        <w:rPr>
          <w:sz w:val="20"/>
          <w:szCs w:val="20"/>
        </w:rPr>
        <w:t> </w:t>
      </w:r>
    </w:p>
    <w:p w14:paraId="25704D7A" w14:textId="77777777" w:rsidR="00000000" w:rsidRDefault="009027A3">
      <w:pPr>
        <w:pStyle w:val="a3"/>
        <w:spacing w:before="0" w:beforeAutospacing="0" w:after="0" w:afterAutospacing="0"/>
        <w:jc w:val="center"/>
        <w:rPr>
          <w:sz w:val="20"/>
          <w:szCs w:val="20"/>
        </w:rPr>
      </w:pPr>
      <w:r>
        <w:rPr>
          <w:b/>
          <w:bCs/>
          <w:sz w:val="20"/>
          <w:szCs w:val="20"/>
        </w:rPr>
        <w:t>Commission File Number 001-36529</w:t>
      </w:r>
    </w:p>
    <w:p w14:paraId="6058FF0F" w14:textId="77777777" w:rsidR="00000000" w:rsidRDefault="009027A3">
      <w:pPr>
        <w:pStyle w:val="a3"/>
        <w:spacing w:before="0" w:beforeAutospacing="0" w:after="0" w:afterAutospacing="0"/>
        <w:jc w:val="center"/>
        <w:rPr>
          <w:sz w:val="20"/>
          <w:szCs w:val="20"/>
        </w:rPr>
      </w:pPr>
      <w:r>
        <w:rPr>
          <w:b/>
          <w:bCs/>
          <w:sz w:val="20"/>
          <w:szCs w:val="20"/>
        </w:rPr>
        <w:t> </w:t>
      </w:r>
    </w:p>
    <w:p w14:paraId="513DD610" w14:textId="77777777" w:rsidR="00000000" w:rsidRDefault="009027A3">
      <w:pPr>
        <w:pStyle w:val="a3"/>
        <w:spacing w:before="0" w:beforeAutospacing="0" w:after="0" w:afterAutospacing="0"/>
        <w:jc w:val="center"/>
        <w:rPr>
          <w:sz w:val="20"/>
          <w:szCs w:val="20"/>
        </w:rPr>
      </w:pPr>
      <w:r>
        <w:rPr>
          <w:b/>
          <w:bCs/>
          <w:noProof/>
          <w:sz w:val="20"/>
          <w:szCs w:val="20"/>
        </w:rPr>
        <w:drawing>
          <wp:inline distT="0" distB="0" distL="0" distR="0" wp14:anchorId="3BD52954" wp14:editId="7B9F4EC2">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4A0811" w14:textId="77777777" w:rsidR="00000000" w:rsidRDefault="009027A3">
      <w:pPr>
        <w:pStyle w:val="a3"/>
        <w:spacing w:before="0" w:beforeAutospacing="0" w:after="0" w:afterAutospacing="0"/>
        <w:jc w:val="center"/>
        <w:rPr>
          <w:sz w:val="20"/>
          <w:szCs w:val="20"/>
        </w:rPr>
      </w:pPr>
      <w:r>
        <w:rPr>
          <w:b/>
          <w:bCs/>
          <w:sz w:val="20"/>
          <w:szCs w:val="20"/>
        </w:rPr>
        <w:t> </w:t>
      </w:r>
    </w:p>
    <w:p w14:paraId="4F244F5D" w14:textId="77777777" w:rsidR="00000000" w:rsidRDefault="009027A3">
      <w:pPr>
        <w:pStyle w:val="a3"/>
        <w:spacing w:before="0" w:beforeAutospacing="0" w:after="0" w:afterAutospacing="0"/>
        <w:jc w:val="center"/>
        <w:rPr>
          <w:sz w:val="20"/>
          <w:szCs w:val="20"/>
        </w:rPr>
      </w:pPr>
      <w:r>
        <w:rPr>
          <w:b/>
          <w:bCs/>
          <w:sz w:val="36"/>
          <w:szCs w:val="36"/>
        </w:rPr>
        <w:t>CareCloud, Inc.</w:t>
      </w:r>
    </w:p>
    <w:p w14:paraId="3F057ECC" w14:textId="77777777" w:rsidR="00000000" w:rsidRDefault="009027A3">
      <w:pPr>
        <w:pStyle w:val="a3"/>
        <w:spacing w:before="0" w:beforeAutospacing="0" w:after="0" w:afterAutospacing="0"/>
        <w:jc w:val="center"/>
        <w:rPr>
          <w:sz w:val="20"/>
          <w:szCs w:val="20"/>
        </w:rPr>
      </w:pPr>
      <w:r>
        <w:rPr>
          <w:sz w:val="20"/>
          <w:szCs w:val="20"/>
        </w:rPr>
        <w:t>(Formerly MTBC, Inc.)</w:t>
      </w:r>
    </w:p>
    <w:p w14:paraId="50DE340C" w14:textId="77777777" w:rsidR="00000000" w:rsidRDefault="009027A3">
      <w:pPr>
        <w:pStyle w:val="a3"/>
        <w:spacing w:before="0" w:beforeAutospacing="0" w:after="0" w:afterAutospacing="0"/>
        <w:jc w:val="center"/>
        <w:rPr>
          <w:sz w:val="20"/>
          <w:szCs w:val="20"/>
        </w:rPr>
      </w:pPr>
      <w:r>
        <w:rPr>
          <w:i/>
          <w:iCs/>
          <w:sz w:val="20"/>
          <w:szCs w:val="20"/>
        </w:rPr>
        <w:t>(Exact name of registrant as specified in its charter)</w:t>
      </w:r>
    </w:p>
    <w:p w14:paraId="777F8553"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761422F" w14:textId="77777777">
        <w:tc>
          <w:tcPr>
            <w:tcW w:w="2450" w:type="pct"/>
            <w:hideMark/>
          </w:tcPr>
          <w:p w14:paraId="722AC09A" w14:textId="77777777" w:rsidR="00000000" w:rsidRDefault="009027A3">
            <w:pPr>
              <w:jc w:val="center"/>
              <w:rPr>
                <w:rFonts w:eastAsia="Times New Roman"/>
                <w:sz w:val="20"/>
                <w:szCs w:val="20"/>
              </w:rPr>
            </w:pPr>
            <w:r>
              <w:rPr>
                <w:rFonts w:eastAsia="Times New Roman"/>
                <w:b/>
                <w:bCs/>
                <w:sz w:val="20"/>
                <w:szCs w:val="20"/>
              </w:rPr>
              <w:t>Delaware</w:t>
            </w:r>
          </w:p>
        </w:tc>
        <w:tc>
          <w:tcPr>
            <w:tcW w:w="100" w:type="pct"/>
            <w:hideMark/>
          </w:tcPr>
          <w:p w14:paraId="6D2BD319" w14:textId="77777777" w:rsidR="00000000" w:rsidRDefault="009027A3">
            <w:pPr>
              <w:jc w:val="center"/>
              <w:rPr>
                <w:rFonts w:eastAsia="Times New Roman"/>
                <w:sz w:val="20"/>
                <w:szCs w:val="20"/>
              </w:rPr>
            </w:pPr>
            <w:r>
              <w:rPr>
                <w:rFonts w:eastAsia="Times New Roman"/>
                <w:sz w:val="20"/>
                <w:szCs w:val="20"/>
              </w:rPr>
              <w:t> </w:t>
            </w:r>
          </w:p>
        </w:tc>
        <w:tc>
          <w:tcPr>
            <w:tcW w:w="2450" w:type="pct"/>
            <w:hideMark/>
          </w:tcPr>
          <w:p w14:paraId="454E495D" w14:textId="77777777" w:rsidR="00000000" w:rsidRDefault="009027A3">
            <w:pPr>
              <w:jc w:val="center"/>
              <w:rPr>
                <w:rFonts w:eastAsia="Times New Roman"/>
                <w:sz w:val="20"/>
                <w:szCs w:val="20"/>
              </w:rPr>
            </w:pPr>
            <w:r>
              <w:rPr>
                <w:rFonts w:eastAsia="Times New Roman"/>
                <w:b/>
                <w:bCs/>
                <w:sz w:val="20"/>
                <w:szCs w:val="20"/>
              </w:rPr>
              <w:t>22-3832302</w:t>
            </w:r>
          </w:p>
        </w:tc>
      </w:tr>
      <w:tr w:rsidR="00000000" w14:paraId="2004DF4C" w14:textId="77777777">
        <w:tc>
          <w:tcPr>
            <w:tcW w:w="0" w:type="auto"/>
            <w:hideMark/>
          </w:tcPr>
          <w:p w14:paraId="1934F745" w14:textId="77777777" w:rsidR="00000000" w:rsidRDefault="009027A3">
            <w:pPr>
              <w:pStyle w:val="a3"/>
              <w:spacing w:before="0" w:beforeAutospacing="0" w:after="0" w:afterAutospacing="0"/>
              <w:jc w:val="center"/>
              <w:rPr>
                <w:sz w:val="20"/>
                <w:szCs w:val="20"/>
              </w:rPr>
            </w:pPr>
            <w:r>
              <w:rPr>
                <w:i/>
                <w:iCs/>
                <w:sz w:val="20"/>
                <w:szCs w:val="20"/>
              </w:rPr>
              <w:t>(State or other jurisdiction of</w:t>
            </w:r>
          </w:p>
          <w:p w14:paraId="1FFEBEA7" w14:textId="77777777" w:rsidR="00000000" w:rsidRDefault="009027A3">
            <w:pPr>
              <w:pStyle w:val="a3"/>
              <w:spacing w:before="0" w:beforeAutospacing="0" w:after="0" w:afterAutospacing="0"/>
              <w:jc w:val="center"/>
              <w:rPr>
                <w:sz w:val="20"/>
                <w:szCs w:val="20"/>
              </w:rPr>
            </w:pPr>
            <w:r>
              <w:rPr>
                <w:i/>
                <w:iCs/>
                <w:sz w:val="20"/>
                <w:szCs w:val="20"/>
              </w:rPr>
              <w:t>incorporation or organization)</w:t>
            </w:r>
          </w:p>
        </w:tc>
        <w:tc>
          <w:tcPr>
            <w:tcW w:w="0" w:type="auto"/>
            <w:hideMark/>
          </w:tcPr>
          <w:p w14:paraId="0AE4C312" w14:textId="77777777" w:rsidR="00000000" w:rsidRDefault="009027A3">
            <w:pPr>
              <w:pStyle w:val="a3"/>
              <w:spacing w:before="0" w:beforeAutospacing="0" w:after="0" w:afterAutospacing="0"/>
              <w:jc w:val="center"/>
              <w:rPr>
                <w:sz w:val="20"/>
                <w:szCs w:val="20"/>
              </w:rPr>
            </w:pPr>
            <w:r>
              <w:rPr>
                <w:sz w:val="20"/>
                <w:szCs w:val="20"/>
              </w:rPr>
              <w:t> </w:t>
            </w:r>
          </w:p>
          <w:p w14:paraId="051C3813" w14:textId="77777777" w:rsidR="00000000" w:rsidRDefault="009027A3">
            <w:pPr>
              <w:pStyle w:val="a3"/>
              <w:spacing w:before="0" w:beforeAutospacing="0" w:after="0" w:afterAutospacing="0"/>
              <w:jc w:val="center"/>
              <w:rPr>
                <w:sz w:val="20"/>
                <w:szCs w:val="20"/>
              </w:rPr>
            </w:pPr>
            <w:r>
              <w:rPr>
                <w:sz w:val="20"/>
                <w:szCs w:val="20"/>
              </w:rPr>
              <w:t> </w:t>
            </w:r>
          </w:p>
        </w:tc>
        <w:tc>
          <w:tcPr>
            <w:tcW w:w="0" w:type="auto"/>
            <w:hideMark/>
          </w:tcPr>
          <w:p w14:paraId="269FDCAA" w14:textId="77777777" w:rsidR="00000000" w:rsidRDefault="009027A3">
            <w:pPr>
              <w:pStyle w:val="a3"/>
              <w:spacing w:before="0" w:beforeAutospacing="0" w:after="0" w:afterAutospacing="0"/>
              <w:jc w:val="center"/>
              <w:rPr>
                <w:sz w:val="20"/>
                <w:szCs w:val="20"/>
              </w:rPr>
            </w:pPr>
            <w:r>
              <w:rPr>
                <w:i/>
                <w:iCs/>
                <w:sz w:val="20"/>
                <w:szCs w:val="20"/>
              </w:rPr>
              <w:t>(I.R.S. Employer</w:t>
            </w:r>
          </w:p>
          <w:p w14:paraId="5DE11C3B" w14:textId="77777777" w:rsidR="00000000" w:rsidRDefault="009027A3">
            <w:pPr>
              <w:pStyle w:val="a3"/>
              <w:spacing w:before="0" w:beforeAutospacing="0" w:after="0" w:afterAutospacing="0"/>
              <w:jc w:val="center"/>
              <w:rPr>
                <w:sz w:val="20"/>
                <w:szCs w:val="20"/>
              </w:rPr>
            </w:pPr>
            <w:r>
              <w:rPr>
                <w:i/>
                <w:iCs/>
                <w:sz w:val="20"/>
                <w:szCs w:val="20"/>
              </w:rPr>
              <w:t>Identification Number)</w:t>
            </w:r>
          </w:p>
        </w:tc>
      </w:tr>
    </w:tbl>
    <w:p w14:paraId="75F7349B"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3E462B12" w14:textId="77777777">
        <w:tc>
          <w:tcPr>
            <w:tcW w:w="2450" w:type="pct"/>
            <w:hideMark/>
          </w:tcPr>
          <w:p w14:paraId="27AA21E2" w14:textId="77777777" w:rsidR="00000000" w:rsidRDefault="009027A3">
            <w:pPr>
              <w:pStyle w:val="a3"/>
              <w:spacing w:before="0" w:beforeAutospacing="0" w:after="0" w:afterAutospacing="0"/>
              <w:jc w:val="center"/>
              <w:rPr>
                <w:sz w:val="20"/>
                <w:szCs w:val="20"/>
              </w:rPr>
            </w:pPr>
            <w:r>
              <w:rPr>
                <w:b/>
                <w:bCs/>
                <w:sz w:val="20"/>
                <w:szCs w:val="20"/>
              </w:rPr>
              <w:t>7 Clyde Road</w:t>
            </w:r>
          </w:p>
          <w:p w14:paraId="44E2B371" w14:textId="77777777" w:rsidR="00000000" w:rsidRDefault="009027A3">
            <w:pPr>
              <w:pStyle w:val="a3"/>
              <w:spacing w:before="0" w:beforeAutospacing="0" w:after="0" w:afterAutospacing="0"/>
              <w:jc w:val="center"/>
              <w:rPr>
                <w:sz w:val="20"/>
                <w:szCs w:val="20"/>
              </w:rPr>
            </w:pPr>
            <w:r>
              <w:rPr>
                <w:b/>
                <w:bCs/>
                <w:sz w:val="20"/>
                <w:szCs w:val="20"/>
              </w:rPr>
              <w:t>Somerset, New Jersey</w:t>
            </w:r>
          </w:p>
        </w:tc>
        <w:tc>
          <w:tcPr>
            <w:tcW w:w="100" w:type="pct"/>
            <w:hideMark/>
          </w:tcPr>
          <w:p w14:paraId="480AD5CF" w14:textId="77777777" w:rsidR="00000000" w:rsidRDefault="009027A3">
            <w:pPr>
              <w:jc w:val="center"/>
              <w:rPr>
                <w:rFonts w:eastAsia="Times New Roman"/>
                <w:sz w:val="20"/>
                <w:szCs w:val="20"/>
              </w:rPr>
            </w:pPr>
            <w:r>
              <w:rPr>
                <w:rFonts w:eastAsia="Times New Roman"/>
                <w:sz w:val="20"/>
                <w:szCs w:val="20"/>
              </w:rPr>
              <w:t> </w:t>
            </w:r>
          </w:p>
        </w:tc>
        <w:tc>
          <w:tcPr>
            <w:tcW w:w="2450" w:type="pct"/>
            <w:hideMark/>
          </w:tcPr>
          <w:p w14:paraId="62B94548" w14:textId="77777777" w:rsidR="00000000" w:rsidRDefault="009027A3">
            <w:pPr>
              <w:pStyle w:val="a3"/>
              <w:spacing w:before="0" w:beforeAutospacing="0" w:after="0" w:afterAutospacing="0"/>
              <w:jc w:val="center"/>
              <w:rPr>
                <w:sz w:val="20"/>
                <w:szCs w:val="20"/>
              </w:rPr>
            </w:pPr>
            <w:r>
              <w:rPr>
                <w:b/>
                <w:bCs/>
                <w:sz w:val="20"/>
                <w:szCs w:val="20"/>
              </w:rPr>
              <w:t> </w:t>
            </w:r>
          </w:p>
          <w:p w14:paraId="78A3C840" w14:textId="77777777" w:rsidR="00000000" w:rsidRDefault="009027A3">
            <w:pPr>
              <w:pStyle w:val="a3"/>
              <w:spacing w:before="0" w:beforeAutospacing="0" w:after="0" w:afterAutospacing="0"/>
              <w:jc w:val="center"/>
              <w:rPr>
                <w:sz w:val="20"/>
                <w:szCs w:val="20"/>
              </w:rPr>
            </w:pPr>
            <w:r>
              <w:rPr>
                <w:b/>
                <w:bCs/>
                <w:sz w:val="20"/>
                <w:szCs w:val="20"/>
              </w:rPr>
              <w:t>08873</w:t>
            </w:r>
          </w:p>
        </w:tc>
      </w:tr>
      <w:tr w:rsidR="00000000" w14:paraId="3C1D443D" w14:textId="77777777">
        <w:tc>
          <w:tcPr>
            <w:tcW w:w="0" w:type="auto"/>
            <w:hideMark/>
          </w:tcPr>
          <w:p w14:paraId="24EF3A11" w14:textId="77777777" w:rsidR="00000000" w:rsidRDefault="009027A3">
            <w:pPr>
              <w:jc w:val="center"/>
              <w:rPr>
                <w:rFonts w:eastAsia="Times New Roman"/>
                <w:sz w:val="20"/>
                <w:szCs w:val="20"/>
              </w:rPr>
            </w:pPr>
            <w:r>
              <w:rPr>
                <w:rFonts w:eastAsia="Times New Roman"/>
                <w:i/>
                <w:iCs/>
                <w:sz w:val="20"/>
                <w:szCs w:val="20"/>
              </w:rPr>
              <w:t>(Address of principal executive offices)</w:t>
            </w:r>
          </w:p>
        </w:tc>
        <w:tc>
          <w:tcPr>
            <w:tcW w:w="0" w:type="auto"/>
            <w:hideMark/>
          </w:tcPr>
          <w:p w14:paraId="08936091" w14:textId="77777777" w:rsidR="00000000" w:rsidRDefault="009027A3">
            <w:pPr>
              <w:pStyle w:val="a3"/>
              <w:spacing w:before="0" w:beforeAutospacing="0" w:after="0" w:afterAutospacing="0"/>
              <w:jc w:val="center"/>
              <w:rPr>
                <w:sz w:val="20"/>
                <w:szCs w:val="20"/>
              </w:rPr>
            </w:pPr>
            <w:r>
              <w:rPr>
                <w:sz w:val="20"/>
                <w:szCs w:val="20"/>
              </w:rPr>
              <w:t> </w:t>
            </w:r>
          </w:p>
        </w:tc>
        <w:tc>
          <w:tcPr>
            <w:tcW w:w="0" w:type="auto"/>
            <w:hideMark/>
          </w:tcPr>
          <w:p w14:paraId="18EC4B9B" w14:textId="77777777" w:rsidR="00000000" w:rsidRDefault="009027A3">
            <w:pPr>
              <w:jc w:val="center"/>
              <w:rPr>
                <w:rFonts w:eastAsia="Times New Roman"/>
                <w:sz w:val="20"/>
                <w:szCs w:val="20"/>
              </w:rPr>
            </w:pPr>
            <w:r>
              <w:rPr>
                <w:rFonts w:eastAsia="Times New Roman"/>
                <w:i/>
                <w:iCs/>
                <w:sz w:val="20"/>
                <w:szCs w:val="20"/>
              </w:rPr>
              <w:t>(Zip Code)</w:t>
            </w:r>
          </w:p>
        </w:tc>
      </w:tr>
    </w:tbl>
    <w:p w14:paraId="49CFA436" w14:textId="77777777" w:rsidR="00000000" w:rsidRDefault="009027A3">
      <w:pPr>
        <w:pStyle w:val="a3"/>
        <w:spacing w:before="0" w:beforeAutospacing="0" w:after="0" w:afterAutospacing="0"/>
        <w:jc w:val="center"/>
        <w:rPr>
          <w:sz w:val="20"/>
          <w:szCs w:val="20"/>
        </w:rPr>
      </w:pPr>
      <w:r>
        <w:rPr>
          <w:sz w:val="20"/>
          <w:szCs w:val="20"/>
        </w:rPr>
        <w:t> </w:t>
      </w:r>
    </w:p>
    <w:p w14:paraId="3DDB9378" w14:textId="77777777" w:rsidR="00000000" w:rsidRDefault="009027A3">
      <w:pPr>
        <w:pStyle w:val="a3"/>
        <w:spacing w:before="0" w:beforeAutospacing="0" w:after="0" w:afterAutospacing="0"/>
        <w:jc w:val="center"/>
        <w:rPr>
          <w:sz w:val="20"/>
          <w:szCs w:val="20"/>
        </w:rPr>
      </w:pPr>
      <w:r>
        <w:rPr>
          <w:b/>
          <w:bCs/>
          <w:sz w:val="20"/>
          <w:szCs w:val="20"/>
        </w:rPr>
        <w:t>(732) 873-5133</w:t>
      </w:r>
    </w:p>
    <w:p w14:paraId="2BB532FE" w14:textId="77777777" w:rsidR="00000000" w:rsidRDefault="009027A3">
      <w:pPr>
        <w:pStyle w:val="a3"/>
        <w:spacing w:before="0" w:beforeAutospacing="0" w:after="0" w:afterAutospacing="0"/>
        <w:jc w:val="center"/>
        <w:rPr>
          <w:sz w:val="20"/>
          <w:szCs w:val="20"/>
        </w:rPr>
      </w:pPr>
      <w:r>
        <w:rPr>
          <w:i/>
          <w:iCs/>
          <w:sz w:val="20"/>
          <w:szCs w:val="20"/>
        </w:rPr>
        <w:t>(Registrant’s telephone number, including area code)</w:t>
      </w:r>
    </w:p>
    <w:p w14:paraId="6172104A" w14:textId="77777777" w:rsidR="00000000" w:rsidRDefault="009027A3">
      <w:pPr>
        <w:pStyle w:val="a3"/>
        <w:spacing w:before="0" w:beforeAutospacing="0" w:after="0" w:afterAutospacing="0"/>
        <w:jc w:val="center"/>
        <w:rPr>
          <w:sz w:val="20"/>
          <w:szCs w:val="20"/>
        </w:rPr>
      </w:pPr>
      <w:r>
        <w:rPr>
          <w:i/>
          <w:iCs/>
          <w:sz w:val="20"/>
          <w:szCs w:val="20"/>
        </w:rPr>
        <w:t> </w:t>
      </w:r>
    </w:p>
    <w:p w14:paraId="6FE7D4CD" w14:textId="77777777" w:rsidR="00000000" w:rsidRDefault="009027A3">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12(b) of the Act:</w:t>
      </w:r>
    </w:p>
    <w:p w14:paraId="2BDBA839"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71"/>
        <w:gridCol w:w="50"/>
        <w:gridCol w:w="1037"/>
        <w:gridCol w:w="50"/>
        <w:gridCol w:w="2698"/>
      </w:tblGrid>
      <w:tr w:rsidR="00000000" w14:paraId="2F21A0DD" w14:textId="77777777">
        <w:tc>
          <w:tcPr>
            <w:tcW w:w="2000" w:type="pct"/>
            <w:tcBorders>
              <w:bottom w:val="single" w:sz="12" w:space="0" w:color="000000"/>
            </w:tcBorders>
            <w:vAlign w:val="bottom"/>
            <w:hideMark/>
          </w:tcPr>
          <w:p w14:paraId="24D14DFA" w14:textId="77777777" w:rsidR="00000000" w:rsidRDefault="009027A3">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14:paraId="0CA93D4D" w14:textId="77777777" w:rsidR="00000000" w:rsidRDefault="009027A3">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14:paraId="53A15F67" w14:textId="77777777" w:rsidR="00000000" w:rsidRDefault="009027A3">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14:paraId="70D5E79A" w14:textId="77777777" w:rsidR="00000000" w:rsidRDefault="009027A3">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14:paraId="59230271" w14:textId="77777777" w:rsidR="00000000" w:rsidRDefault="009027A3">
            <w:pPr>
              <w:jc w:val="center"/>
              <w:rPr>
                <w:rFonts w:eastAsia="Times New Roman"/>
                <w:sz w:val="20"/>
                <w:szCs w:val="20"/>
              </w:rPr>
            </w:pPr>
            <w:r>
              <w:rPr>
                <w:rFonts w:eastAsia="Times New Roman"/>
                <w:sz w:val="20"/>
                <w:szCs w:val="20"/>
              </w:rPr>
              <w:t>Name of each exchange on which registered</w:t>
            </w:r>
          </w:p>
        </w:tc>
      </w:tr>
      <w:tr w:rsidR="00000000" w14:paraId="01524E4C" w14:textId="77777777">
        <w:tc>
          <w:tcPr>
            <w:tcW w:w="0" w:type="auto"/>
            <w:vAlign w:val="bottom"/>
            <w:hideMark/>
          </w:tcPr>
          <w:p w14:paraId="382502C5" w14:textId="77777777" w:rsidR="00000000" w:rsidRDefault="009027A3">
            <w:pPr>
              <w:rPr>
                <w:rFonts w:eastAsia="Times New Roman"/>
                <w:sz w:val="20"/>
                <w:szCs w:val="20"/>
              </w:rPr>
            </w:pPr>
            <w:r>
              <w:rPr>
                <w:rFonts w:eastAsia="Times New Roman"/>
                <w:sz w:val="20"/>
                <w:szCs w:val="20"/>
              </w:rPr>
              <w:t>Common Stock, par value $0.001 per share</w:t>
            </w:r>
          </w:p>
        </w:tc>
        <w:tc>
          <w:tcPr>
            <w:tcW w:w="0" w:type="auto"/>
            <w:vAlign w:val="bottom"/>
            <w:hideMark/>
          </w:tcPr>
          <w:p w14:paraId="7EE81A27" w14:textId="77777777" w:rsidR="00000000" w:rsidRDefault="009027A3">
            <w:pPr>
              <w:jc w:val="center"/>
              <w:rPr>
                <w:rFonts w:eastAsia="Times New Roman"/>
                <w:sz w:val="20"/>
                <w:szCs w:val="20"/>
              </w:rPr>
            </w:pPr>
            <w:r>
              <w:rPr>
                <w:rFonts w:eastAsia="Times New Roman"/>
                <w:sz w:val="20"/>
                <w:szCs w:val="20"/>
              </w:rPr>
              <w:t> </w:t>
            </w:r>
          </w:p>
        </w:tc>
        <w:tc>
          <w:tcPr>
            <w:tcW w:w="0" w:type="auto"/>
            <w:vAlign w:val="bottom"/>
            <w:hideMark/>
          </w:tcPr>
          <w:p w14:paraId="29403B29" w14:textId="77777777" w:rsidR="00000000" w:rsidRDefault="009027A3">
            <w:pPr>
              <w:jc w:val="center"/>
              <w:rPr>
                <w:rFonts w:eastAsia="Times New Roman"/>
                <w:sz w:val="20"/>
                <w:szCs w:val="20"/>
              </w:rPr>
            </w:pPr>
            <w:r>
              <w:rPr>
                <w:rFonts w:eastAsia="Times New Roman"/>
                <w:sz w:val="20"/>
                <w:szCs w:val="20"/>
              </w:rPr>
              <w:t>MTBC</w:t>
            </w:r>
          </w:p>
        </w:tc>
        <w:tc>
          <w:tcPr>
            <w:tcW w:w="0" w:type="auto"/>
            <w:vAlign w:val="bottom"/>
            <w:hideMark/>
          </w:tcPr>
          <w:p w14:paraId="202A6A70" w14:textId="77777777" w:rsidR="00000000" w:rsidRDefault="009027A3">
            <w:pPr>
              <w:jc w:val="center"/>
              <w:rPr>
                <w:rFonts w:eastAsia="Times New Roman"/>
                <w:sz w:val="20"/>
                <w:szCs w:val="20"/>
              </w:rPr>
            </w:pPr>
            <w:r>
              <w:rPr>
                <w:rFonts w:eastAsia="Times New Roman"/>
                <w:sz w:val="20"/>
                <w:szCs w:val="20"/>
              </w:rPr>
              <w:t> </w:t>
            </w:r>
          </w:p>
        </w:tc>
        <w:tc>
          <w:tcPr>
            <w:tcW w:w="0" w:type="auto"/>
            <w:vAlign w:val="bottom"/>
            <w:hideMark/>
          </w:tcPr>
          <w:p w14:paraId="16421CA9" w14:textId="77777777" w:rsidR="00000000" w:rsidRDefault="009027A3">
            <w:pPr>
              <w:jc w:val="center"/>
              <w:rPr>
                <w:rFonts w:eastAsia="Times New Roman"/>
                <w:sz w:val="20"/>
                <w:szCs w:val="20"/>
              </w:rPr>
            </w:pPr>
            <w:r>
              <w:rPr>
                <w:rFonts w:eastAsia="Times New Roman"/>
                <w:sz w:val="20"/>
                <w:szCs w:val="20"/>
              </w:rPr>
              <w:t>Nasdaq Global Market</w:t>
            </w:r>
          </w:p>
        </w:tc>
      </w:tr>
      <w:tr w:rsidR="00000000" w14:paraId="2850D7A7" w14:textId="77777777">
        <w:tc>
          <w:tcPr>
            <w:tcW w:w="0" w:type="auto"/>
            <w:noWrap/>
            <w:tcMar>
              <w:top w:w="0" w:type="dxa"/>
              <w:left w:w="200" w:type="dxa"/>
              <w:bottom w:w="0" w:type="dxa"/>
              <w:right w:w="0" w:type="dxa"/>
            </w:tcMar>
            <w:vAlign w:val="bottom"/>
            <w:hideMark/>
          </w:tcPr>
          <w:p w14:paraId="4D92775A" w14:textId="77777777" w:rsidR="00000000" w:rsidRDefault="009027A3">
            <w:pPr>
              <w:ind w:hanging="200"/>
              <w:rPr>
                <w:rFonts w:eastAsia="Times New Roman"/>
                <w:sz w:val="20"/>
                <w:szCs w:val="20"/>
              </w:rPr>
            </w:pPr>
            <w:r>
              <w:rPr>
                <w:rFonts w:eastAsia="Times New Roman"/>
                <w:sz w:val="20"/>
                <w:szCs w:val="20"/>
              </w:rPr>
              <w:t xml:space="preserve">11% </w:t>
            </w:r>
            <w:r>
              <w:rPr>
                <w:rFonts w:eastAsia="Times New Roman"/>
                <w:sz w:val="20"/>
                <w:szCs w:val="20"/>
              </w:rPr>
              <w:t>Series A Cumulative Redeemable</w:t>
            </w:r>
            <w:r>
              <w:rPr>
                <w:rFonts w:eastAsia="Times New Roman"/>
                <w:sz w:val="20"/>
                <w:szCs w:val="20"/>
              </w:rPr>
              <w:br/>
              <w:t>Perpetual Preferred Stock, par value $0.001 per share</w:t>
            </w:r>
          </w:p>
        </w:tc>
        <w:tc>
          <w:tcPr>
            <w:tcW w:w="0" w:type="auto"/>
            <w:vAlign w:val="bottom"/>
            <w:hideMark/>
          </w:tcPr>
          <w:p w14:paraId="06F984F4" w14:textId="77777777" w:rsidR="00000000" w:rsidRDefault="009027A3">
            <w:pPr>
              <w:jc w:val="center"/>
              <w:rPr>
                <w:rFonts w:eastAsia="Times New Roman"/>
                <w:sz w:val="20"/>
                <w:szCs w:val="20"/>
              </w:rPr>
            </w:pPr>
            <w:r>
              <w:rPr>
                <w:rFonts w:eastAsia="Times New Roman"/>
                <w:sz w:val="20"/>
                <w:szCs w:val="20"/>
              </w:rPr>
              <w:t> </w:t>
            </w:r>
          </w:p>
        </w:tc>
        <w:tc>
          <w:tcPr>
            <w:tcW w:w="0" w:type="auto"/>
            <w:vAlign w:val="bottom"/>
            <w:hideMark/>
          </w:tcPr>
          <w:p w14:paraId="2D6E27A2" w14:textId="77777777" w:rsidR="00000000" w:rsidRDefault="009027A3">
            <w:pPr>
              <w:jc w:val="center"/>
              <w:rPr>
                <w:rFonts w:eastAsia="Times New Roman"/>
                <w:sz w:val="20"/>
                <w:szCs w:val="20"/>
              </w:rPr>
            </w:pPr>
            <w:r>
              <w:rPr>
                <w:rFonts w:eastAsia="Times New Roman"/>
                <w:sz w:val="20"/>
                <w:szCs w:val="20"/>
              </w:rPr>
              <w:t>MTBCP</w:t>
            </w:r>
          </w:p>
        </w:tc>
        <w:tc>
          <w:tcPr>
            <w:tcW w:w="0" w:type="auto"/>
            <w:vAlign w:val="bottom"/>
            <w:hideMark/>
          </w:tcPr>
          <w:p w14:paraId="75F34505" w14:textId="77777777" w:rsidR="00000000" w:rsidRDefault="009027A3">
            <w:pPr>
              <w:jc w:val="center"/>
              <w:rPr>
                <w:rFonts w:eastAsia="Times New Roman"/>
                <w:sz w:val="20"/>
                <w:szCs w:val="20"/>
              </w:rPr>
            </w:pPr>
            <w:r>
              <w:rPr>
                <w:rFonts w:eastAsia="Times New Roman"/>
                <w:sz w:val="20"/>
                <w:szCs w:val="20"/>
              </w:rPr>
              <w:t> </w:t>
            </w:r>
          </w:p>
        </w:tc>
        <w:tc>
          <w:tcPr>
            <w:tcW w:w="0" w:type="auto"/>
            <w:vAlign w:val="bottom"/>
            <w:hideMark/>
          </w:tcPr>
          <w:p w14:paraId="10ABC27C" w14:textId="77777777" w:rsidR="00000000" w:rsidRDefault="009027A3">
            <w:pPr>
              <w:jc w:val="center"/>
              <w:rPr>
                <w:rFonts w:eastAsia="Times New Roman"/>
                <w:sz w:val="20"/>
                <w:szCs w:val="20"/>
              </w:rPr>
            </w:pPr>
            <w:r>
              <w:rPr>
                <w:rFonts w:eastAsia="Times New Roman"/>
                <w:sz w:val="20"/>
                <w:szCs w:val="20"/>
              </w:rPr>
              <w:t>Nasdaq Global Market</w:t>
            </w:r>
          </w:p>
        </w:tc>
      </w:tr>
    </w:tbl>
    <w:p w14:paraId="406DFBE2" w14:textId="77777777" w:rsidR="00000000" w:rsidRDefault="009027A3">
      <w:pPr>
        <w:pStyle w:val="a3"/>
        <w:spacing w:before="0" w:beforeAutospacing="0" w:after="0" w:afterAutospacing="0"/>
        <w:jc w:val="both"/>
        <w:rPr>
          <w:sz w:val="20"/>
          <w:szCs w:val="20"/>
        </w:rPr>
      </w:pPr>
      <w:r>
        <w:rPr>
          <w:sz w:val="20"/>
          <w:szCs w:val="20"/>
        </w:rPr>
        <w:t> </w:t>
      </w:r>
    </w:p>
    <w:p w14:paraId="5664DB40" w14:textId="77777777" w:rsidR="00000000" w:rsidRDefault="009027A3">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w:t>
      </w:r>
      <w:r>
        <w:rPr>
          <w:sz w:val="20"/>
          <w:szCs w:val="20"/>
        </w:rPr>
        <w:t>hange Act of 1934 during the preceding 12 months (or for such shorter period that the registrant was required to file such reports), and (2) has been subject to such filing requirements for the past 90 days. Yes [X] No [  ]</w:t>
      </w:r>
    </w:p>
    <w:p w14:paraId="763C1165" w14:textId="77777777" w:rsidR="00000000" w:rsidRDefault="009027A3">
      <w:pPr>
        <w:pStyle w:val="a3"/>
        <w:spacing w:before="0" w:beforeAutospacing="0" w:after="0" w:afterAutospacing="0"/>
        <w:ind w:firstLine="275"/>
        <w:jc w:val="both"/>
        <w:rPr>
          <w:sz w:val="20"/>
          <w:szCs w:val="20"/>
        </w:rPr>
      </w:pPr>
      <w:r>
        <w:rPr>
          <w:sz w:val="20"/>
          <w:szCs w:val="20"/>
        </w:rPr>
        <w:t> </w:t>
      </w:r>
    </w:p>
    <w:p w14:paraId="79744626" w14:textId="77777777" w:rsidR="00000000" w:rsidRDefault="009027A3">
      <w:pPr>
        <w:pStyle w:val="a3"/>
        <w:spacing w:before="0" w:beforeAutospacing="0" w:after="0" w:afterAutospacing="0"/>
        <w:jc w:val="both"/>
        <w:rPr>
          <w:sz w:val="20"/>
          <w:szCs w:val="20"/>
        </w:rPr>
      </w:pPr>
      <w:r>
        <w:rPr>
          <w:sz w:val="20"/>
          <w:szCs w:val="20"/>
        </w:rPr>
        <w:t>Indicate by check mark whether</w:t>
      </w:r>
      <w:r>
        <w:rPr>
          <w:sz w:val="20"/>
          <w:szCs w:val="20"/>
        </w:rPr>
        <w:t xml:space="preserve"> the registrant has submitted electronically every Interactive Data File required to be submitted pursuant to Rule 405 of Regulation S-T (§232.405 of this chapter) during the </w:t>
      </w:r>
      <w:r>
        <w:rPr>
          <w:sz w:val="20"/>
          <w:szCs w:val="20"/>
        </w:rPr>
        <w:lastRenderedPageBreak/>
        <w:t xml:space="preserve">preceding 12 months (or for such shorter period that the registrant was required </w:t>
      </w:r>
      <w:r>
        <w:rPr>
          <w:sz w:val="20"/>
          <w:szCs w:val="20"/>
        </w:rPr>
        <w:t>to submit such files). Yes [X] No [  ]</w:t>
      </w:r>
    </w:p>
    <w:p w14:paraId="7CB426BF" w14:textId="77777777" w:rsidR="00000000" w:rsidRDefault="009027A3">
      <w:pPr>
        <w:pStyle w:val="a3"/>
        <w:spacing w:before="0" w:beforeAutospacing="0" w:after="0" w:afterAutospacing="0"/>
        <w:jc w:val="both"/>
        <w:rPr>
          <w:sz w:val="20"/>
          <w:szCs w:val="20"/>
        </w:rPr>
      </w:pPr>
      <w:r>
        <w:rPr>
          <w:sz w:val="20"/>
          <w:szCs w:val="20"/>
        </w:rPr>
        <w:t> </w:t>
      </w:r>
    </w:p>
    <w:p w14:paraId="263F72D6" w14:textId="77777777" w:rsidR="00000000" w:rsidRDefault="009027A3">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w:t>
      </w:r>
      <w:r>
        <w:rPr>
          <w:sz w:val="20"/>
          <w:szCs w:val="20"/>
        </w:rPr>
        <w:t>celerated filer,” “accelerated filer,” “smaller reporting company,” and “emerging growth company” in Rule 12b-2 of the Exchange Act.</w:t>
      </w:r>
    </w:p>
    <w:p w14:paraId="6B25428C"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99"/>
        <w:gridCol w:w="2907"/>
      </w:tblGrid>
      <w:tr w:rsidR="00000000" w14:paraId="58DBBC02" w14:textId="77777777">
        <w:tc>
          <w:tcPr>
            <w:tcW w:w="3250" w:type="pct"/>
            <w:hideMark/>
          </w:tcPr>
          <w:p w14:paraId="0F76E7A7" w14:textId="77777777" w:rsidR="00000000" w:rsidRDefault="009027A3">
            <w:pPr>
              <w:rPr>
                <w:rFonts w:eastAsia="Times New Roman"/>
                <w:sz w:val="20"/>
                <w:szCs w:val="20"/>
              </w:rPr>
            </w:pPr>
            <w:r>
              <w:rPr>
                <w:rFonts w:eastAsia="Times New Roman"/>
                <w:sz w:val="20"/>
                <w:szCs w:val="20"/>
              </w:rPr>
              <w:t>Large accelerated filer </w:t>
            </w:r>
            <w:r>
              <w:rPr>
                <w:rFonts w:eastAsia="Times New Roman"/>
                <w:b/>
                <w:bCs/>
                <w:sz w:val="20"/>
                <w:szCs w:val="20"/>
              </w:rPr>
              <w:t>[  ]</w:t>
            </w:r>
          </w:p>
        </w:tc>
        <w:tc>
          <w:tcPr>
            <w:tcW w:w="1750" w:type="pct"/>
            <w:hideMark/>
          </w:tcPr>
          <w:p w14:paraId="5FA1AFA2" w14:textId="77777777" w:rsidR="00000000" w:rsidRDefault="009027A3">
            <w:pPr>
              <w:rPr>
                <w:rFonts w:eastAsia="Times New Roman"/>
                <w:sz w:val="20"/>
                <w:szCs w:val="20"/>
              </w:rPr>
            </w:pPr>
            <w:r>
              <w:rPr>
                <w:rFonts w:eastAsia="Times New Roman"/>
                <w:sz w:val="20"/>
                <w:szCs w:val="20"/>
              </w:rPr>
              <w:t>Accelerated filer </w:t>
            </w:r>
            <w:r>
              <w:rPr>
                <w:rFonts w:eastAsia="Times New Roman"/>
                <w:b/>
                <w:bCs/>
                <w:sz w:val="20"/>
                <w:szCs w:val="20"/>
              </w:rPr>
              <w:t>[  ]</w:t>
            </w:r>
          </w:p>
        </w:tc>
      </w:tr>
      <w:tr w:rsidR="00000000" w14:paraId="0BD3CC92" w14:textId="77777777">
        <w:tc>
          <w:tcPr>
            <w:tcW w:w="0" w:type="auto"/>
            <w:hideMark/>
          </w:tcPr>
          <w:p w14:paraId="00C8709F" w14:textId="77777777" w:rsidR="00000000" w:rsidRDefault="009027A3">
            <w:pPr>
              <w:rPr>
                <w:rFonts w:eastAsia="Times New Roman"/>
                <w:sz w:val="20"/>
                <w:szCs w:val="20"/>
              </w:rPr>
            </w:pPr>
            <w:r>
              <w:rPr>
                <w:rFonts w:eastAsia="Times New Roman"/>
                <w:sz w:val="20"/>
                <w:szCs w:val="20"/>
              </w:rPr>
              <w:t>Non-accelerated filer [X]</w:t>
            </w:r>
          </w:p>
        </w:tc>
        <w:tc>
          <w:tcPr>
            <w:tcW w:w="0" w:type="auto"/>
            <w:hideMark/>
          </w:tcPr>
          <w:p w14:paraId="249539B6" w14:textId="77777777" w:rsidR="00000000" w:rsidRDefault="009027A3">
            <w:pPr>
              <w:rPr>
                <w:rFonts w:eastAsia="Times New Roman"/>
                <w:sz w:val="20"/>
                <w:szCs w:val="20"/>
              </w:rPr>
            </w:pPr>
            <w:r>
              <w:rPr>
                <w:rFonts w:eastAsia="Times New Roman"/>
                <w:sz w:val="20"/>
                <w:szCs w:val="20"/>
              </w:rPr>
              <w:t xml:space="preserve">Smaller </w:t>
            </w:r>
            <w:r>
              <w:rPr>
                <w:rFonts w:eastAsia="Times New Roman"/>
                <w:sz w:val="20"/>
                <w:szCs w:val="20"/>
              </w:rPr>
              <w:t>reporting company [X]</w:t>
            </w:r>
          </w:p>
        </w:tc>
      </w:tr>
      <w:tr w:rsidR="00000000" w14:paraId="3F7433EE" w14:textId="77777777">
        <w:tc>
          <w:tcPr>
            <w:tcW w:w="0" w:type="auto"/>
            <w:hideMark/>
          </w:tcPr>
          <w:p w14:paraId="575BA6A9" w14:textId="77777777" w:rsidR="00000000" w:rsidRDefault="009027A3">
            <w:pPr>
              <w:rPr>
                <w:rFonts w:eastAsia="Times New Roman"/>
                <w:sz w:val="20"/>
                <w:szCs w:val="20"/>
              </w:rPr>
            </w:pPr>
          </w:p>
        </w:tc>
        <w:tc>
          <w:tcPr>
            <w:tcW w:w="0" w:type="auto"/>
            <w:hideMark/>
          </w:tcPr>
          <w:p w14:paraId="72158AA1" w14:textId="77777777" w:rsidR="00000000" w:rsidRDefault="009027A3">
            <w:pPr>
              <w:rPr>
                <w:rFonts w:eastAsia="Times New Roman"/>
                <w:sz w:val="20"/>
                <w:szCs w:val="20"/>
              </w:rPr>
            </w:pPr>
            <w:r>
              <w:rPr>
                <w:rFonts w:eastAsia="Times New Roman"/>
                <w:sz w:val="20"/>
                <w:szCs w:val="20"/>
              </w:rPr>
              <w:t>Emerging growth company [  ]</w:t>
            </w:r>
          </w:p>
        </w:tc>
      </w:tr>
    </w:tbl>
    <w:p w14:paraId="67F90B99" w14:textId="77777777" w:rsidR="00000000" w:rsidRDefault="009027A3">
      <w:pPr>
        <w:pStyle w:val="a3"/>
        <w:spacing w:before="0" w:beforeAutospacing="0" w:after="0" w:afterAutospacing="0"/>
        <w:jc w:val="both"/>
        <w:rPr>
          <w:sz w:val="20"/>
          <w:szCs w:val="20"/>
        </w:rPr>
      </w:pPr>
      <w:r>
        <w:rPr>
          <w:sz w:val="20"/>
          <w:szCs w:val="20"/>
        </w:rPr>
        <w:t> </w:t>
      </w:r>
    </w:p>
    <w:p w14:paraId="583EDA20" w14:textId="77777777" w:rsidR="00000000" w:rsidRDefault="009027A3">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w:t>
      </w:r>
      <w:r>
        <w:rPr>
          <w:sz w:val="20"/>
          <w:szCs w:val="20"/>
        </w:rPr>
        <w:t xml:space="preserve">ded pursuant to Section 13(a) of the Exchange Act. </w:t>
      </w:r>
      <w:r>
        <w:rPr>
          <w:b/>
          <w:bCs/>
          <w:color w:val="000000"/>
          <w:sz w:val="20"/>
          <w:szCs w:val="20"/>
        </w:rPr>
        <w:t>[  ]</w:t>
      </w:r>
    </w:p>
    <w:p w14:paraId="7E42ECE4" w14:textId="77777777" w:rsidR="00000000" w:rsidRDefault="009027A3">
      <w:pPr>
        <w:pStyle w:val="a3"/>
        <w:spacing w:before="0" w:beforeAutospacing="0" w:after="0" w:afterAutospacing="0"/>
        <w:jc w:val="both"/>
        <w:rPr>
          <w:sz w:val="20"/>
          <w:szCs w:val="20"/>
        </w:rPr>
      </w:pPr>
      <w:r>
        <w:rPr>
          <w:sz w:val="20"/>
          <w:szCs w:val="20"/>
        </w:rPr>
        <w:t> </w:t>
      </w:r>
    </w:p>
    <w:p w14:paraId="6886DCEA" w14:textId="77777777" w:rsidR="00000000" w:rsidRDefault="009027A3">
      <w:pPr>
        <w:pStyle w:val="a3"/>
        <w:spacing w:before="0" w:beforeAutospacing="0" w:after="0" w:afterAutospacing="0"/>
        <w:jc w:val="both"/>
        <w:rPr>
          <w:sz w:val="20"/>
          <w:szCs w:val="20"/>
        </w:rPr>
      </w:pPr>
      <w:r>
        <w:rPr>
          <w:sz w:val="20"/>
          <w:szCs w:val="20"/>
        </w:rPr>
        <w:t>Indicate by check mark whether the registrant is a shell company (as defined in Rule 12b-2 of the Exchange Act). Yes [  ] No [X]</w:t>
      </w:r>
    </w:p>
    <w:p w14:paraId="18D5E10A" w14:textId="77777777" w:rsidR="00000000" w:rsidRDefault="009027A3">
      <w:pPr>
        <w:pStyle w:val="a3"/>
        <w:spacing w:before="0" w:beforeAutospacing="0" w:after="0" w:afterAutospacing="0"/>
        <w:jc w:val="both"/>
        <w:rPr>
          <w:sz w:val="20"/>
          <w:szCs w:val="20"/>
        </w:rPr>
      </w:pPr>
      <w:r>
        <w:rPr>
          <w:sz w:val="20"/>
          <w:szCs w:val="20"/>
        </w:rPr>
        <w:t> </w:t>
      </w:r>
    </w:p>
    <w:p w14:paraId="602702EA" w14:textId="77777777" w:rsidR="00000000" w:rsidRDefault="009027A3">
      <w:pPr>
        <w:pStyle w:val="a3"/>
        <w:spacing w:before="0" w:beforeAutospacing="0" w:after="0" w:afterAutospacing="0"/>
        <w:jc w:val="both"/>
        <w:rPr>
          <w:sz w:val="20"/>
          <w:szCs w:val="20"/>
        </w:rPr>
      </w:pPr>
      <w:r>
        <w:rPr>
          <w:sz w:val="20"/>
          <w:szCs w:val="20"/>
        </w:rPr>
        <w:t>At April 29, 2021, the registrant had 14,400,834 shares of common s</w:t>
      </w:r>
      <w:r>
        <w:rPr>
          <w:sz w:val="20"/>
          <w:szCs w:val="20"/>
        </w:rPr>
        <w:t>tock, par value $0.001 per share, outstanding.</w:t>
      </w:r>
    </w:p>
    <w:p w14:paraId="53A7B362" w14:textId="77777777" w:rsidR="00000000" w:rsidRDefault="009027A3">
      <w:pPr>
        <w:pStyle w:val="a3"/>
        <w:spacing w:before="0" w:beforeAutospacing="0" w:after="0" w:afterAutospacing="0"/>
        <w:jc w:val="both"/>
        <w:rPr>
          <w:sz w:val="20"/>
          <w:szCs w:val="20"/>
        </w:rPr>
      </w:pPr>
      <w:r>
        <w:rPr>
          <w:sz w:val="20"/>
          <w:szCs w:val="20"/>
        </w:rPr>
        <w:t> </w:t>
      </w:r>
    </w:p>
    <w:p w14:paraId="6399916A" w14:textId="77777777" w:rsidR="00000000" w:rsidRDefault="009027A3">
      <w:pPr>
        <w:divId w:val="281378310"/>
        <w:rPr>
          <w:rFonts w:eastAsia="Times New Roman"/>
          <w:sz w:val="2"/>
          <w:szCs w:val="2"/>
        </w:rPr>
      </w:pPr>
      <w:r>
        <w:rPr>
          <w:rFonts w:eastAsia="Times New Roman"/>
          <w:sz w:val="2"/>
          <w:szCs w:val="2"/>
        </w:rPr>
        <w:t> </w:t>
      </w:r>
    </w:p>
    <w:p w14:paraId="156C6F0B"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5086871" w14:textId="77777777">
        <w:trPr>
          <w:divId w:val="1707219169"/>
        </w:trPr>
        <w:tc>
          <w:tcPr>
            <w:tcW w:w="5000" w:type="pct"/>
            <w:hideMark/>
          </w:tcPr>
          <w:p w14:paraId="7BECC32C" w14:textId="77777777" w:rsidR="00000000" w:rsidRDefault="009027A3">
            <w:pPr>
              <w:rPr>
                <w:rFonts w:eastAsia="Times New Roman"/>
                <w:sz w:val="20"/>
                <w:szCs w:val="20"/>
              </w:rPr>
            </w:pPr>
            <w:r>
              <w:rPr>
                <w:rFonts w:eastAsia="Times New Roman"/>
                <w:sz w:val="20"/>
                <w:szCs w:val="20"/>
              </w:rPr>
              <w:t> </w:t>
            </w:r>
          </w:p>
        </w:tc>
      </w:tr>
    </w:tbl>
    <w:p w14:paraId="6E9BA1D2" w14:textId="77777777" w:rsidR="00000000" w:rsidRDefault="009027A3">
      <w:pPr>
        <w:pStyle w:val="a3"/>
        <w:spacing w:before="0" w:beforeAutospacing="0" w:after="0" w:afterAutospacing="0"/>
        <w:divId w:val="1950116325"/>
        <w:rPr>
          <w:sz w:val="20"/>
          <w:szCs w:val="20"/>
        </w:rPr>
      </w:pPr>
      <w:r>
        <w:rPr>
          <w:sz w:val="20"/>
          <w:szCs w:val="20"/>
        </w:rPr>
        <w:t> </w:t>
      </w:r>
    </w:p>
    <w:p w14:paraId="639BEF45" w14:textId="77777777" w:rsidR="00000000" w:rsidRDefault="009027A3">
      <w:pPr>
        <w:pStyle w:val="a3"/>
        <w:spacing w:before="0" w:beforeAutospacing="0" w:after="0" w:afterAutospacing="0"/>
        <w:jc w:val="both"/>
        <w:rPr>
          <w:sz w:val="20"/>
          <w:szCs w:val="20"/>
        </w:rPr>
      </w:pPr>
      <w:r>
        <w:rPr>
          <w:sz w:val="20"/>
          <w:szCs w:val="20"/>
        </w:rPr>
        <w:t> </w:t>
      </w:r>
    </w:p>
    <w:p w14:paraId="70371F2D" w14:textId="77777777" w:rsidR="00000000" w:rsidRDefault="009027A3">
      <w:pPr>
        <w:pStyle w:val="a3"/>
        <w:spacing w:before="0" w:beforeAutospacing="0" w:after="0" w:afterAutospacing="0"/>
        <w:jc w:val="center"/>
        <w:rPr>
          <w:sz w:val="20"/>
          <w:szCs w:val="20"/>
        </w:rPr>
      </w:pPr>
      <w:r>
        <w:rPr>
          <w:b/>
          <w:bCs/>
          <w:sz w:val="20"/>
          <w:szCs w:val="20"/>
        </w:rPr>
        <w:t>INDEX</w:t>
      </w:r>
    </w:p>
    <w:p w14:paraId="0DB3FDE2"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14:paraId="5A0FE533" w14:textId="77777777">
        <w:tc>
          <w:tcPr>
            <w:tcW w:w="0" w:type="auto"/>
            <w:gridSpan w:val="2"/>
            <w:shd w:val="clear" w:color="auto" w:fill="FFFFFF"/>
            <w:tcMar>
              <w:top w:w="0" w:type="dxa"/>
              <w:left w:w="0" w:type="dxa"/>
              <w:bottom w:w="30" w:type="dxa"/>
              <w:right w:w="0" w:type="dxa"/>
            </w:tcMar>
            <w:hideMark/>
          </w:tcPr>
          <w:p w14:paraId="4D1F766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0D58AE" w14:textId="77777777" w:rsidR="00000000" w:rsidRDefault="009027A3">
            <w:pPr>
              <w:jc w:val="center"/>
              <w:rPr>
                <w:rFonts w:eastAsia="Times New Roman"/>
                <w:sz w:val="20"/>
                <w:szCs w:val="20"/>
              </w:rPr>
            </w:pPr>
            <w:r>
              <w:rPr>
                <w:rFonts w:eastAsia="Times New Roman"/>
                <w:sz w:val="20"/>
                <w:szCs w:val="20"/>
              </w:rPr>
              <w:t>Page</w:t>
            </w:r>
          </w:p>
        </w:tc>
      </w:tr>
      <w:tr w:rsidR="00000000" w14:paraId="6FBE7D42" w14:textId="77777777">
        <w:tc>
          <w:tcPr>
            <w:tcW w:w="0" w:type="auto"/>
            <w:gridSpan w:val="2"/>
            <w:shd w:val="clear" w:color="auto" w:fill="CCEEFF"/>
            <w:hideMark/>
          </w:tcPr>
          <w:p w14:paraId="2ED8B523" w14:textId="77777777" w:rsidR="00000000" w:rsidRDefault="009027A3">
            <w:pPr>
              <w:rPr>
                <w:rFonts w:eastAsia="Times New Roman"/>
                <w:sz w:val="20"/>
                <w:szCs w:val="20"/>
              </w:rPr>
            </w:pPr>
            <w:hyperlink w:anchor="a_008" w:history="1">
              <w:r>
                <w:rPr>
                  <w:rStyle w:val="a4"/>
                  <w:rFonts w:eastAsia="Times New Roman"/>
                  <w:sz w:val="20"/>
                  <w:szCs w:val="20"/>
                </w:rPr>
                <w:t>Forward-Looking Statements</w:t>
              </w:r>
            </w:hyperlink>
          </w:p>
        </w:tc>
        <w:tc>
          <w:tcPr>
            <w:tcW w:w="0" w:type="auto"/>
            <w:shd w:val="clear" w:color="auto" w:fill="CCEEFF"/>
            <w:vAlign w:val="bottom"/>
            <w:hideMark/>
          </w:tcPr>
          <w:p w14:paraId="4AA9D0DD" w14:textId="77777777" w:rsidR="00000000" w:rsidRDefault="009027A3">
            <w:pPr>
              <w:jc w:val="center"/>
              <w:rPr>
                <w:rFonts w:eastAsia="Times New Roman"/>
                <w:sz w:val="20"/>
                <w:szCs w:val="20"/>
              </w:rPr>
            </w:pPr>
            <w:r>
              <w:rPr>
                <w:rFonts w:eastAsia="Times New Roman"/>
                <w:sz w:val="20"/>
                <w:szCs w:val="20"/>
              </w:rPr>
              <w:t>2</w:t>
            </w:r>
          </w:p>
        </w:tc>
      </w:tr>
      <w:tr w:rsidR="00000000" w14:paraId="44D59E28" w14:textId="77777777">
        <w:tc>
          <w:tcPr>
            <w:tcW w:w="0" w:type="auto"/>
            <w:shd w:val="clear" w:color="auto" w:fill="FFFFFF"/>
            <w:hideMark/>
          </w:tcPr>
          <w:p w14:paraId="79D8380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center"/>
            <w:hideMark/>
          </w:tcPr>
          <w:p w14:paraId="76EB13ED" w14:textId="77777777" w:rsidR="00000000" w:rsidRDefault="009027A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336856C5" w14:textId="77777777" w:rsidR="00000000" w:rsidRDefault="009027A3">
            <w:pPr>
              <w:jc w:val="center"/>
              <w:rPr>
                <w:rFonts w:eastAsia="Times New Roman"/>
                <w:sz w:val="20"/>
                <w:szCs w:val="20"/>
              </w:rPr>
            </w:pPr>
            <w:r>
              <w:rPr>
                <w:rFonts w:eastAsia="Times New Roman"/>
                <w:sz w:val="20"/>
                <w:szCs w:val="20"/>
              </w:rPr>
              <w:t> </w:t>
            </w:r>
          </w:p>
        </w:tc>
      </w:tr>
      <w:tr w:rsidR="00000000" w14:paraId="2857124C" w14:textId="77777777">
        <w:tc>
          <w:tcPr>
            <w:tcW w:w="0" w:type="auto"/>
            <w:shd w:val="clear" w:color="auto" w:fill="CCEEFF"/>
            <w:hideMark/>
          </w:tcPr>
          <w:p w14:paraId="52212F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center"/>
            <w:hideMark/>
          </w:tcPr>
          <w:p w14:paraId="5E1B0E6F" w14:textId="77777777" w:rsidR="00000000" w:rsidRDefault="009027A3">
            <w:pPr>
              <w:jc w:val="cente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shd w:val="clear" w:color="auto" w:fill="CCEEFF"/>
            <w:vAlign w:val="bottom"/>
            <w:hideMark/>
          </w:tcPr>
          <w:p w14:paraId="4F05B0A9" w14:textId="77777777" w:rsidR="00000000" w:rsidRDefault="009027A3">
            <w:pPr>
              <w:jc w:val="center"/>
              <w:rPr>
                <w:rFonts w:eastAsia="Times New Roman"/>
                <w:sz w:val="20"/>
                <w:szCs w:val="20"/>
              </w:rPr>
            </w:pPr>
            <w:r>
              <w:rPr>
                <w:rFonts w:eastAsia="Times New Roman"/>
                <w:sz w:val="20"/>
                <w:szCs w:val="20"/>
              </w:rPr>
              <w:t> </w:t>
            </w:r>
          </w:p>
        </w:tc>
      </w:tr>
      <w:tr w:rsidR="00000000" w14:paraId="39FB7CCF" w14:textId="77777777">
        <w:tc>
          <w:tcPr>
            <w:tcW w:w="0" w:type="auto"/>
            <w:shd w:val="clear" w:color="auto" w:fill="FFFFFF"/>
            <w:hideMark/>
          </w:tcPr>
          <w:p w14:paraId="2F65AB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center"/>
            <w:hideMark/>
          </w:tcPr>
          <w:p w14:paraId="6A6B68F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5F02B" w14:textId="77777777" w:rsidR="00000000" w:rsidRDefault="009027A3">
            <w:pPr>
              <w:jc w:val="center"/>
              <w:rPr>
                <w:rFonts w:eastAsia="Times New Roman"/>
                <w:sz w:val="20"/>
                <w:szCs w:val="20"/>
              </w:rPr>
            </w:pPr>
            <w:r>
              <w:rPr>
                <w:rFonts w:eastAsia="Times New Roman"/>
                <w:sz w:val="20"/>
                <w:szCs w:val="20"/>
              </w:rPr>
              <w:t> </w:t>
            </w:r>
          </w:p>
        </w:tc>
      </w:tr>
      <w:tr w:rsidR="00000000" w14:paraId="5662988C" w14:textId="77777777">
        <w:tc>
          <w:tcPr>
            <w:tcW w:w="1080" w:type="dxa"/>
            <w:shd w:val="clear" w:color="auto" w:fill="CCEEFF"/>
            <w:hideMark/>
          </w:tcPr>
          <w:p w14:paraId="7FEFED35" w14:textId="77777777" w:rsidR="00000000" w:rsidRDefault="009027A3">
            <w:pPr>
              <w:rPr>
                <w:rFonts w:eastAsia="Times New Roman"/>
                <w:sz w:val="20"/>
                <w:szCs w:val="20"/>
              </w:rPr>
            </w:pPr>
            <w:r>
              <w:rPr>
                <w:rFonts w:eastAsia="Times New Roman"/>
                <w:sz w:val="20"/>
                <w:szCs w:val="20"/>
              </w:rPr>
              <w:t>Item 1.</w:t>
            </w:r>
          </w:p>
        </w:tc>
        <w:tc>
          <w:tcPr>
            <w:tcW w:w="0" w:type="auto"/>
            <w:shd w:val="clear" w:color="auto" w:fill="CCEEFF"/>
            <w:vAlign w:val="center"/>
            <w:hideMark/>
          </w:tcPr>
          <w:p w14:paraId="326C0C8E" w14:textId="77777777" w:rsidR="00000000" w:rsidRDefault="009027A3">
            <w:pPr>
              <w:rPr>
                <w:rFonts w:eastAsia="Times New Roman"/>
                <w:sz w:val="20"/>
                <w:szCs w:val="20"/>
              </w:rPr>
            </w:pPr>
            <w:hyperlink w:anchor="a_001" w:history="1">
              <w:r>
                <w:rPr>
                  <w:rStyle w:val="a4"/>
                  <w:rFonts w:eastAsia="Times New Roman"/>
                  <w:sz w:val="20"/>
                  <w:szCs w:val="20"/>
                </w:rPr>
                <w:t>Condensed Consolidated Financial Statements (Unaudited)</w:t>
              </w:r>
            </w:hyperlink>
          </w:p>
        </w:tc>
        <w:tc>
          <w:tcPr>
            <w:tcW w:w="720" w:type="dxa"/>
            <w:shd w:val="clear" w:color="auto" w:fill="CCEEFF"/>
            <w:vAlign w:val="bottom"/>
            <w:hideMark/>
          </w:tcPr>
          <w:p w14:paraId="762A78A0" w14:textId="77777777" w:rsidR="00000000" w:rsidRDefault="009027A3">
            <w:pPr>
              <w:jc w:val="center"/>
              <w:rPr>
                <w:rFonts w:eastAsia="Times New Roman"/>
                <w:sz w:val="20"/>
                <w:szCs w:val="20"/>
              </w:rPr>
            </w:pPr>
            <w:r>
              <w:rPr>
                <w:rFonts w:eastAsia="Times New Roman"/>
                <w:sz w:val="20"/>
                <w:szCs w:val="20"/>
              </w:rPr>
              <w:t>4</w:t>
            </w:r>
          </w:p>
        </w:tc>
      </w:tr>
      <w:tr w:rsidR="00000000" w14:paraId="50EC054F" w14:textId="77777777">
        <w:tc>
          <w:tcPr>
            <w:tcW w:w="0" w:type="auto"/>
            <w:shd w:val="clear" w:color="auto" w:fill="FFFFFF"/>
            <w:hideMark/>
          </w:tcPr>
          <w:p w14:paraId="1F8307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center"/>
            <w:hideMark/>
          </w:tcPr>
          <w:p w14:paraId="00C7897F" w14:textId="77777777" w:rsidR="00000000" w:rsidRDefault="009027A3">
            <w:pPr>
              <w:rPr>
                <w:rFonts w:eastAsia="Times New Roman"/>
                <w:sz w:val="20"/>
                <w:szCs w:val="20"/>
              </w:rPr>
            </w:pPr>
            <w:hyperlink w:anchor="a_002" w:history="1">
              <w:r>
                <w:rPr>
                  <w:rStyle w:val="a4"/>
                  <w:rFonts w:eastAsia="Times New Roman"/>
                  <w:sz w:val="20"/>
                  <w:szCs w:val="20"/>
                </w:rPr>
                <w:t>Condensed Consolidated Balance Sheets at March 31, 2021 and December 31, 2020</w:t>
              </w:r>
            </w:hyperlink>
          </w:p>
        </w:tc>
        <w:tc>
          <w:tcPr>
            <w:tcW w:w="0" w:type="auto"/>
            <w:shd w:val="clear" w:color="auto" w:fill="FFFFFF"/>
            <w:vAlign w:val="bottom"/>
            <w:hideMark/>
          </w:tcPr>
          <w:p w14:paraId="01F28BDB" w14:textId="77777777" w:rsidR="00000000" w:rsidRDefault="009027A3">
            <w:pPr>
              <w:jc w:val="center"/>
              <w:rPr>
                <w:rFonts w:eastAsia="Times New Roman"/>
                <w:sz w:val="20"/>
                <w:szCs w:val="20"/>
              </w:rPr>
            </w:pPr>
            <w:r>
              <w:rPr>
                <w:rFonts w:eastAsia="Times New Roman"/>
                <w:sz w:val="20"/>
                <w:szCs w:val="20"/>
              </w:rPr>
              <w:t>4</w:t>
            </w:r>
          </w:p>
        </w:tc>
      </w:tr>
      <w:tr w:rsidR="00000000" w14:paraId="27E5D5F5" w14:textId="77777777">
        <w:tc>
          <w:tcPr>
            <w:tcW w:w="0" w:type="auto"/>
            <w:shd w:val="clear" w:color="auto" w:fill="CCEEFF"/>
            <w:hideMark/>
          </w:tcPr>
          <w:p w14:paraId="099488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center"/>
            <w:hideMark/>
          </w:tcPr>
          <w:p w14:paraId="223B8A44" w14:textId="77777777" w:rsidR="00000000" w:rsidRDefault="009027A3">
            <w:pPr>
              <w:rPr>
                <w:rFonts w:eastAsia="Times New Roman"/>
                <w:sz w:val="20"/>
                <w:szCs w:val="20"/>
              </w:rPr>
            </w:pPr>
            <w:hyperlink w:anchor="a_003" w:history="1">
              <w:r>
                <w:rPr>
                  <w:rStyle w:val="a4"/>
                  <w:rFonts w:eastAsia="Times New Roman"/>
                  <w:sz w:val="20"/>
                  <w:szCs w:val="20"/>
                </w:rPr>
                <w:t>Condensed Consolidated State</w:t>
              </w:r>
              <w:r>
                <w:rPr>
                  <w:rStyle w:val="a4"/>
                  <w:rFonts w:eastAsia="Times New Roman"/>
                  <w:sz w:val="20"/>
                  <w:szCs w:val="20"/>
                </w:rPr>
                <w:t>ments of Operations for the three months ended March 31, 2021 and 2020</w:t>
              </w:r>
            </w:hyperlink>
          </w:p>
        </w:tc>
        <w:tc>
          <w:tcPr>
            <w:tcW w:w="0" w:type="auto"/>
            <w:shd w:val="clear" w:color="auto" w:fill="CCEEFF"/>
            <w:vAlign w:val="bottom"/>
            <w:hideMark/>
          </w:tcPr>
          <w:p w14:paraId="61342114" w14:textId="77777777" w:rsidR="00000000" w:rsidRDefault="009027A3">
            <w:pPr>
              <w:jc w:val="center"/>
              <w:rPr>
                <w:rFonts w:eastAsia="Times New Roman"/>
                <w:sz w:val="20"/>
                <w:szCs w:val="20"/>
              </w:rPr>
            </w:pPr>
            <w:r>
              <w:rPr>
                <w:rFonts w:eastAsia="Times New Roman"/>
                <w:sz w:val="20"/>
                <w:szCs w:val="20"/>
              </w:rPr>
              <w:t>5</w:t>
            </w:r>
          </w:p>
        </w:tc>
      </w:tr>
      <w:tr w:rsidR="00000000" w14:paraId="77BB4900" w14:textId="77777777">
        <w:tc>
          <w:tcPr>
            <w:tcW w:w="0" w:type="auto"/>
            <w:shd w:val="clear" w:color="auto" w:fill="FFFFFF"/>
            <w:hideMark/>
          </w:tcPr>
          <w:p w14:paraId="374DDBB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center"/>
            <w:hideMark/>
          </w:tcPr>
          <w:p w14:paraId="40F3C34B" w14:textId="77777777" w:rsidR="00000000" w:rsidRDefault="009027A3">
            <w:pPr>
              <w:rPr>
                <w:rFonts w:eastAsia="Times New Roman"/>
                <w:sz w:val="20"/>
                <w:szCs w:val="20"/>
              </w:rPr>
            </w:pPr>
            <w:hyperlink w:anchor="a_004" w:history="1">
              <w:r>
                <w:rPr>
                  <w:rStyle w:val="a4"/>
                  <w:rFonts w:eastAsia="Times New Roman"/>
                  <w:sz w:val="20"/>
                  <w:szCs w:val="20"/>
                </w:rPr>
                <w:t>Condensed Consolidated Statements of Comprehensive Loss for the three months ended March 31, 2021 and 2020</w:t>
              </w:r>
            </w:hyperlink>
          </w:p>
        </w:tc>
        <w:tc>
          <w:tcPr>
            <w:tcW w:w="0" w:type="auto"/>
            <w:shd w:val="clear" w:color="auto" w:fill="FFFFFF"/>
            <w:vAlign w:val="bottom"/>
            <w:hideMark/>
          </w:tcPr>
          <w:p w14:paraId="6297E1B8" w14:textId="77777777" w:rsidR="00000000" w:rsidRDefault="009027A3">
            <w:pPr>
              <w:jc w:val="center"/>
              <w:rPr>
                <w:rFonts w:eastAsia="Times New Roman"/>
                <w:sz w:val="20"/>
                <w:szCs w:val="20"/>
              </w:rPr>
            </w:pPr>
            <w:r>
              <w:rPr>
                <w:rFonts w:eastAsia="Times New Roman"/>
                <w:sz w:val="20"/>
                <w:szCs w:val="20"/>
              </w:rPr>
              <w:t>6</w:t>
            </w:r>
          </w:p>
        </w:tc>
      </w:tr>
      <w:tr w:rsidR="00000000" w14:paraId="75E667CE" w14:textId="77777777">
        <w:tc>
          <w:tcPr>
            <w:tcW w:w="0" w:type="auto"/>
            <w:shd w:val="clear" w:color="auto" w:fill="CCEEFF"/>
            <w:hideMark/>
          </w:tcPr>
          <w:p w14:paraId="66EC7A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center"/>
            <w:hideMark/>
          </w:tcPr>
          <w:p w14:paraId="19186093" w14:textId="77777777" w:rsidR="00000000" w:rsidRDefault="009027A3">
            <w:pPr>
              <w:rPr>
                <w:rFonts w:eastAsia="Times New Roman"/>
                <w:sz w:val="20"/>
                <w:szCs w:val="20"/>
              </w:rPr>
            </w:pPr>
            <w:hyperlink w:anchor="a_005" w:history="1">
              <w:r>
                <w:rPr>
                  <w:rStyle w:val="a4"/>
                  <w:rFonts w:eastAsia="Times New Roman"/>
                  <w:sz w:val="20"/>
                  <w:szCs w:val="20"/>
                </w:rPr>
                <w:t>Condensed Co</w:t>
              </w:r>
              <w:r>
                <w:rPr>
                  <w:rStyle w:val="a4"/>
                  <w:rFonts w:eastAsia="Times New Roman"/>
                  <w:sz w:val="20"/>
                  <w:szCs w:val="20"/>
                </w:rPr>
                <w:t>nsolidated Statements of Shareholders’ Equity for the three months ended March 31, 2021 and 2020</w:t>
              </w:r>
            </w:hyperlink>
          </w:p>
        </w:tc>
        <w:tc>
          <w:tcPr>
            <w:tcW w:w="0" w:type="auto"/>
            <w:shd w:val="clear" w:color="auto" w:fill="CCEEFF"/>
            <w:vAlign w:val="bottom"/>
            <w:hideMark/>
          </w:tcPr>
          <w:p w14:paraId="573DB8C6" w14:textId="77777777" w:rsidR="00000000" w:rsidRDefault="009027A3">
            <w:pPr>
              <w:jc w:val="center"/>
              <w:rPr>
                <w:rFonts w:eastAsia="Times New Roman"/>
                <w:sz w:val="20"/>
                <w:szCs w:val="20"/>
              </w:rPr>
            </w:pPr>
            <w:r>
              <w:rPr>
                <w:rFonts w:eastAsia="Times New Roman"/>
                <w:sz w:val="20"/>
                <w:szCs w:val="20"/>
              </w:rPr>
              <w:t>7</w:t>
            </w:r>
          </w:p>
        </w:tc>
      </w:tr>
      <w:tr w:rsidR="00000000" w14:paraId="1C71DAFB" w14:textId="77777777">
        <w:tc>
          <w:tcPr>
            <w:tcW w:w="0" w:type="auto"/>
            <w:shd w:val="clear" w:color="auto" w:fill="FFFFFF"/>
            <w:hideMark/>
          </w:tcPr>
          <w:p w14:paraId="23294EE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center"/>
            <w:hideMark/>
          </w:tcPr>
          <w:p w14:paraId="02C50AE7" w14:textId="77777777" w:rsidR="00000000" w:rsidRDefault="009027A3">
            <w:pPr>
              <w:rPr>
                <w:rFonts w:eastAsia="Times New Roman"/>
                <w:sz w:val="20"/>
                <w:szCs w:val="20"/>
              </w:rPr>
            </w:pPr>
            <w:hyperlink w:anchor="a_006" w:history="1">
              <w:r>
                <w:rPr>
                  <w:rStyle w:val="a4"/>
                  <w:rFonts w:eastAsia="Times New Roman"/>
                  <w:sz w:val="20"/>
                  <w:szCs w:val="20"/>
                </w:rPr>
                <w:t>Condensed Consolidated Statements of Cash Flows for the three months ended March 31, 2021 and 2020</w:t>
              </w:r>
            </w:hyperlink>
          </w:p>
        </w:tc>
        <w:tc>
          <w:tcPr>
            <w:tcW w:w="0" w:type="auto"/>
            <w:shd w:val="clear" w:color="auto" w:fill="FFFFFF"/>
            <w:vAlign w:val="bottom"/>
            <w:hideMark/>
          </w:tcPr>
          <w:p w14:paraId="5C3FF39E" w14:textId="77777777" w:rsidR="00000000" w:rsidRDefault="009027A3">
            <w:pPr>
              <w:jc w:val="center"/>
              <w:rPr>
                <w:rFonts w:eastAsia="Times New Roman"/>
                <w:sz w:val="20"/>
                <w:szCs w:val="20"/>
              </w:rPr>
            </w:pPr>
            <w:r>
              <w:rPr>
                <w:rFonts w:eastAsia="Times New Roman"/>
                <w:sz w:val="20"/>
                <w:szCs w:val="20"/>
              </w:rPr>
              <w:t>8</w:t>
            </w:r>
          </w:p>
        </w:tc>
      </w:tr>
      <w:tr w:rsidR="00000000" w14:paraId="1CAB6C8E" w14:textId="77777777">
        <w:tc>
          <w:tcPr>
            <w:tcW w:w="0" w:type="auto"/>
            <w:shd w:val="clear" w:color="auto" w:fill="CCEEFF"/>
            <w:hideMark/>
          </w:tcPr>
          <w:p w14:paraId="56EA8CD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center"/>
            <w:hideMark/>
          </w:tcPr>
          <w:p w14:paraId="7F2A4D79" w14:textId="77777777" w:rsidR="00000000" w:rsidRDefault="009027A3">
            <w:pPr>
              <w:rPr>
                <w:rFonts w:eastAsia="Times New Roman"/>
                <w:sz w:val="20"/>
                <w:szCs w:val="20"/>
              </w:rPr>
            </w:pPr>
            <w:hyperlink w:anchor="a_007"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14:paraId="14EB29B3" w14:textId="77777777" w:rsidR="00000000" w:rsidRDefault="009027A3">
            <w:pPr>
              <w:jc w:val="center"/>
              <w:rPr>
                <w:rFonts w:eastAsia="Times New Roman"/>
                <w:sz w:val="20"/>
                <w:szCs w:val="20"/>
              </w:rPr>
            </w:pPr>
            <w:r>
              <w:rPr>
                <w:rFonts w:eastAsia="Times New Roman"/>
                <w:sz w:val="20"/>
                <w:szCs w:val="20"/>
              </w:rPr>
              <w:t>9</w:t>
            </w:r>
          </w:p>
        </w:tc>
      </w:tr>
      <w:tr w:rsidR="00000000" w14:paraId="25F6A10E" w14:textId="77777777">
        <w:tc>
          <w:tcPr>
            <w:tcW w:w="0" w:type="auto"/>
            <w:shd w:val="clear" w:color="auto" w:fill="FFFFFF"/>
            <w:hideMark/>
          </w:tcPr>
          <w:p w14:paraId="777043B9" w14:textId="77777777" w:rsidR="00000000" w:rsidRDefault="009027A3">
            <w:pPr>
              <w:rPr>
                <w:rFonts w:eastAsia="Times New Roman"/>
                <w:sz w:val="20"/>
                <w:szCs w:val="20"/>
              </w:rPr>
            </w:pPr>
            <w:r>
              <w:rPr>
                <w:rFonts w:eastAsia="Times New Roman"/>
                <w:sz w:val="20"/>
                <w:szCs w:val="20"/>
              </w:rPr>
              <w:t>Item 2.</w:t>
            </w:r>
          </w:p>
        </w:tc>
        <w:tc>
          <w:tcPr>
            <w:tcW w:w="0" w:type="auto"/>
            <w:shd w:val="clear" w:color="auto" w:fill="FFFFFF"/>
            <w:hideMark/>
          </w:tcPr>
          <w:p w14:paraId="28E2FCA1" w14:textId="77777777" w:rsidR="00000000" w:rsidRDefault="009027A3">
            <w:pPr>
              <w:rPr>
                <w:rFonts w:eastAsia="Times New Roman"/>
                <w:sz w:val="20"/>
                <w:szCs w:val="20"/>
              </w:rPr>
            </w:pPr>
            <w:hyperlink w:anchor="c_001" w:history="1">
              <w:r>
                <w:rPr>
                  <w:rStyle w:val="a4"/>
                  <w:rFonts w:eastAsia="Times New Roman"/>
                  <w:sz w:val="20"/>
                  <w:szCs w:val="20"/>
                </w:rPr>
                <w:t>Management’s Discussion and Anal</w:t>
              </w:r>
              <w:r>
                <w:rPr>
                  <w:rStyle w:val="a4"/>
                  <w:rFonts w:eastAsia="Times New Roman"/>
                  <w:sz w:val="20"/>
                  <w:szCs w:val="20"/>
                </w:rPr>
                <w:t>ysis of Financial Condition and Results of Operations</w:t>
              </w:r>
            </w:hyperlink>
          </w:p>
        </w:tc>
        <w:tc>
          <w:tcPr>
            <w:tcW w:w="0" w:type="auto"/>
            <w:shd w:val="clear" w:color="auto" w:fill="FFFFFF"/>
            <w:vAlign w:val="bottom"/>
            <w:hideMark/>
          </w:tcPr>
          <w:p w14:paraId="27028009" w14:textId="77777777" w:rsidR="00000000" w:rsidRDefault="009027A3">
            <w:pPr>
              <w:jc w:val="center"/>
              <w:rPr>
                <w:rFonts w:eastAsia="Times New Roman"/>
                <w:sz w:val="20"/>
                <w:szCs w:val="20"/>
              </w:rPr>
            </w:pPr>
            <w:r>
              <w:rPr>
                <w:rFonts w:eastAsia="Times New Roman"/>
                <w:sz w:val="20"/>
                <w:szCs w:val="20"/>
              </w:rPr>
              <w:t>27</w:t>
            </w:r>
          </w:p>
        </w:tc>
      </w:tr>
      <w:tr w:rsidR="00000000" w14:paraId="34E21822" w14:textId="77777777">
        <w:tc>
          <w:tcPr>
            <w:tcW w:w="0" w:type="auto"/>
            <w:shd w:val="clear" w:color="auto" w:fill="CCEEFF"/>
            <w:hideMark/>
          </w:tcPr>
          <w:p w14:paraId="018D4A04" w14:textId="77777777" w:rsidR="00000000" w:rsidRDefault="009027A3">
            <w:pPr>
              <w:rPr>
                <w:rFonts w:eastAsia="Times New Roman"/>
                <w:sz w:val="20"/>
                <w:szCs w:val="20"/>
              </w:rPr>
            </w:pPr>
            <w:r>
              <w:rPr>
                <w:rFonts w:eastAsia="Times New Roman"/>
                <w:sz w:val="20"/>
                <w:szCs w:val="20"/>
              </w:rPr>
              <w:t>Item 3.</w:t>
            </w:r>
          </w:p>
        </w:tc>
        <w:tc>
          <w:tcPr>
            <w:tcW w:w="0" w:type="auto"/>
            <w:shd w:val="clear" w:color="auto" w:fill="CCEEFF"/>
            <w:hideMark/>
          </w:tcPr>
          <w:p w14:paraId="245D2A36" w14:textId="77777777" w:rsidR="00000000" w:rsidRDefault="009027A3">
            <w:pPr>
              <w:rPr>
                <w:rFonts w:eastAsia="Times New Roman"/>
                <w:sz w:val="20"/>
                <w:szCs w:val="20"/>
              </w:rPr>
            </w:pPr>
            <w:hyperlink w:anchor="c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25291A49" w14:textId="77777777" w:rsidR="00000000" w:rsidRDefault="009027A3">
            <w:pPr>
              <w:jc w:val="center"/>
              <w:rPr>
                <w:rFonts w:eastAsia="Times New Roman"/>
                <w:sz w:val="20"/>
                <w:szCs w:val="20"/>
              </w:rPr>
            </w:pPr>
            <w:r>
              <w:rPr>
                <w:rFonts w:eastAsia="Times New Roman"/>
                <w:sz w:val="20"/>
                <w:szCs w:val="20"/>
              </w:rPr>
              <w:t>39</w:t>
            </w:r>
          </w:p>
        </w:tc>
      </w:tr>
      <w:tr w:rsidR="00000000" w14:paraId="2808671D" w14:textId="77777777">
        <w:tc>
          <w:tcPr>
            <w:tcW w:w="0" w:type="auto"/>
            <w:shd w:val="clear" w:color="auto" w:fill="FFFFFF"/>
            <w:hideMark/>
          </w:tcPr>
          <w:p w14:paraId="60C4959F" w14:textId="77777777" w:rsidR="00000000" w:rsidRDefault="009027A3">
            <w:pPr>
              <w:rPr>
                <w:rFonts w:eastAsia="Times New Roman"/>
                <w:sz w:val="20"/>
                <w:szCs w:val="20"/>
              </w:rPr>
            </w:pPr>
            <w:r>
              <w:rPr>
                <w:rFonts w:eastAsia="Times New Roman"/>
                <w:sz w:val="20"/>
                <w:szCs w:val="20"/>
              </w:rPr>
              <w:t>Item 4.</w:t>
            </w:r>
          </w:p>
        </w:tc>
        <w:tc>
          <w:tcPr>
            <w:tcW w:w="0" w:type="auto"/>
            <w:shd w:val="clear" w:color="auto" w:fill="FFFFFF"/>
            <w:hideMark/>
          </w:tcPr>
          <w:p w14:paraId="70ACDEF8" w14:textId="77777777" w:rsidR="00000000" w:rsidRDefault="009027A3">
            <w:pPr>
              <w:rPr>
                <w:rFonts w:eastAsia="Times New Roman"/>
                <w:sz w:val="20"/>
                <w:szCs w:val="20"/>
              </w:rPr>
            </w:pPr>
            <w:hyperlink w:anchor="c_003" w:history="1">
              <w:r>
                <w:rPr>
                  <w:rStyle w:val="a4"/>
                  <w:rFonts w:eastAsia="Times New Roman"/>
                  <w:sz w:val="20"/>
                  <w:szCs w:val="20"/>
                </w:rPr>
                <w:t>Controls and Procedures</w:t>
              </w:r>
            </w:hyperlink>
          </w:p>
        </w:tc>
        <w:tc>
          <w:tcPr>
            <w:tcW w:w="0" w:type="auto"/>
            <w:shd w:val="clear" w:color="auto" w:fill="FFFFFF"/>
            <w:vAlign w:val="bottom"/>
            <w:hideMark/>
          </w:tcPr>
          <w:p w14:paraId="32F2CF53" w14:textId="77777777" w:rsidR="00000000" w:rsidRDefault="009027A3">
            <w:pPr>
              <w:jc w:val="center"/>
              <w:rPr>
                <w:rFonts w:eastAsia="Times New Roman"/>
                <w:sz w:val="20"/>
                <w:szCs w:val="20"/>
              </w:rPr>
            </w:pPr>
            <w:r>
              <w:rPr>
                <w:rFonts w:eastAsia="Times New Roman"/>
                <w:sz w:val="20"/>
                <w:szCs w:val="20"/>
              </w:rPr>
              <w:t>39</w:t>
            </w:r>
          </w:p>
        </w:tc>
      </w:tr>
      <w:tr w:rsidR="00000000" w14:paraId="18D6E452" w14:textId="77777777">
        <w:tc>
          <w:tcPr>
            <w:tcW w:w="0" w:type="auto"/>
            <w:shd w:val="clear" w:color="auto" w:fill="CCEEFF"/>
            <w:hideMark/>
          </w:tcPr>
          <w:p w14:paraId="656893B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hideMark/>
          </w:tcPr>
          <w:p w14:paraId="77F76E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CA15A" w14:textId="77777777" w:rsidR="00000000" w:rsidRDefault="009027A3">
            <w:pPr>
              <w:jc w:val="center"/>
              <w:rPr>
                <w:rFonts w:eastAsia="Times New Roman"/>
                <w:sz w:val="20"/>
                <w:szCs w:val="20"/>
              </w:rPr>
            </w:pPr>
            <w:r>
              <w:rPr>
                <w:rFonts w:eastAsia="Times New Roman"/>
                <w:sz w:val="20"/>
                <w:szCs w:val="20"/>
              </w:rPr>
              <w:t> </w:t>
            </w:r>
          </w:p>
        </w:tc>
      </w:tr>
      <w:tr w:rsidR="00000000" w14:paraId="312F9334" w14:textId="77777777">
        <w:tc>
          <w:tcPr>
            <w:tcW w:w="0" w:type="auto"/>
            <w:shd w:val="clear" w:color="auto" w:fill="FFFFFF"/>
            <w:hideMark/>
          </w:tcPr>
          <w:p w14:paraId="0701E3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hideMark/>
          </w:tcPr>
          <w:p w14:paraId="6E806FF2" w14:textId="77777777" w:rsidR="00000000" w:rsidRDefault="009027A3">
            <w:pPr>
              <w:jc w:val="center"/>
              <w:rPr>
                <w:rFonts w:eastAsia="Times New Roman"/>
                <w:sz w:val="20"/>
                <w:szCs w:val="20"/>
              </w:rPr>
            </w:pPr>
            <w:hyperlink w:anchor="c_004" w:history="1">
              <w:r>
                <w:rPr>
                  <w:rStyle w:val="a4"/>
                  <w:rFonts w:eastAsia="Times New Roman"/>
                  <w:b/>
                  <w:bCs/>
                  <w:sz w:val="20"/>
                  <w:szCs w:val="20"/>
                </w:rPr>
                <w:t>PART II. OTHER INFORMATION</w:t>
              </w:r>
            </w:hyperlink>
          </w:p>
        </w:tc>
        <w:tc>
          <w:tcPr>
            <w:tcW w:w="0" w:type="auto"/>
            <w:shd w:val="clear" w:color="auto" w:fill="FFFFFF"/>
            <w:vAlign w:val="bottom"/>
            <w:hideMark/>
          </w:tcPr>
          <w:p w14:paraId="505392B2" w14:textId="77777777" w:rsidR="00000000" w:rsidRDefault="009027A3">
            <w:pPr>
              <w:jc w:val="center"/>
              <w:rPr>
                <w:rFonts w:eastAsia="Times New Roman"/>
                <w:sz w:val="20"/>
                <w:szCs w:val="20"/>
              </w:rPr>
            </w:pPr>
            <w:r>
              <w:rPr>
                <w:rFonts w:eastAsia="Times New Roman"/>
                <w:sz w:val="20"/>
                <w:szCs w:val="20"/>
              </w:rPr>
              <w:t> </w:t>
            </w:r>
          </w:p>
        </w:tc>
      </w:tr>
      <w:tr w:rsidR="00000000" w14:paraId="428B784C" w14:textId="77777777">
        <w:tc>
          <w:tcPr>
            <w:tcW w:w="0" w:type="auto"/>
            <w:shd w:val="clear" w:color="auto" w:fill="CCEEFF"/>
            <w:hideMark/>
          </w:tcPr>
          <w:p w14:paraId="092EF1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hideMark/>
          </w:tcPr>
          <w:p w14:paraId="69022338" w14:textId="77777777" w:rsidR="00000000" w:rsidRDefault="009027A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20E1D6C" w14:textId="77777777" w:rsidR="00000000" w:rsidRDefault="009027A3">
            <w:pPr>
              <w:jc w:val="center"/>
              <w:rPr>
                <w:rFonts w:eastAsia="Times New Roman"/>
                <w:sz w:val="20"/>
                <w:szCs w:val="20"/>
              </w:rPr>
            </w:pPr>
            <w:r>
              <w:rPr>
                <w:rFonts w:eastAsia="Times New Roman"/>
                <w:sz w:val="20"/>
                <w:szCs w:val="20"/>
              </w:rPr>
              <w:t> </w:t>
            </w:r>
          </w:p>
        </w:tc>
      </w:tr>
      <w:tr w:rsidR="00000000" w14:paraId="47CDAE25" w14:textId="77777777">
        <w:tc>
          <w:tcPr>
            <w:tcW w:w="1080" w:type="dxa"/>
            <w:shd w:val="clear" w:color="auto" w:fill="FFFFFF"/>
            <w:hideMark/>
          </w:tcPr>
          <w:p w14:paraId="7B92E10F" w14:textId="77777777" w:rsidR="00000000" w:rsidRDefault="009027A3">
            <w:pPr>
              <w:rPr>
                <w:rFonts w:eastAsia="Times New Roman"/>
                <w:sz w:val="20"/>
                <w:szCs w:val="20"/>
              </w:rPr>
            </w:pPr>
            <w:r>
              <w:rPr>
                <w:rFonts w:eastAsia="Times New Roman"/>
                <w:sz w:val="20"/>
                <w:szCs w:val="20"/>
              </w:rPr>
              <w:t>Item 1.</w:t>
            </w:r>
          </w:p>
        </w:tc>
        <w:tc>
          <w:tcPr>
            <w:tcW w:w="0" w:type="auto"/>
            <w:shd w:val="clear" w:color="auto" w:fill="FFFFFF"/>
            <w:hideMark/>
          </w:tcPr>
          <w:p w14:paraId="4CD0FA67" w14:textId="77777777" w:rsidR="00000000" w:rsidRDefault="009027A3">
            <w:pPr>
              <w:rPr>
                <w:rFonts w:eastAsia="Times New Roman"/>
                <w:sz w:val="20"/>
                <w:szCs w:val="20"/>
              </w:rPr>
            </w:pPr>
            <w:hyperlink w:anchor="c_005" w:history="1">
              <w:r>
                <w:rPr>
                  <w:rStyle w:val="a4"/>
                  <w:rFonts w:eastAsia="Times New Roman"/>
                  <w:sz w:val="20"/>
                  <w:szCs w:val="20"/>
                </w:rPr>
                <w:t>Legal Proceedings</w:t>
              </w:r>
            </w:hyperlink>
          </w:p>
        </w:tc>
        <w:tc>
          <w:tcPr>
            <w:tcW w:w="720" w:type="dxa"/>
            <w:shd w:val="clear" w:color="auto" w:fill="FFFFFF"/>
            <w:vAlign w:val="bottom"/>
            <w:hideMark/>
          </w:tcPr>
          <w:p w14:paraId="0823284C" w14:textId="77777777" w:rsidR="00000000" w:rsidRDefault="009027A3">
            <w:pPr>
              <w:jc w:val="center"/>
              <w:rPr>
                <w:rFonts w:eastAsia="Times New Roman"/>
                <w:sz w:val="20"/>
                <w:szCs w:val="20"/>
              </w:rPr>
            </w:pPr>
            <w:r>
              <w:rPr>
                <w:rFonts w:eastAsia="Times New Roman"/>
                <w:sz w:val="20"/>
                <w:szCs w:val="20"/>
              </w:rPr>
              <w:t>40</w:t>
            </w:r>
          </w:p>
        </w:tc>
      </w:tr>
      <w:tr w:rsidR="00000000" w14:paraId="2C3E22D4" w14:textId="77777777">
        <w:tc>
          <w:tcPr>
            <w:tcW w:w="0" w:type="auto"/>
            <w:shd w:val="clear" w:color="auto" w:fill="CCEEFF"/>
            <w:hideMark/>
          </w:tcPr>
          <w:p w14:paraId="389EA6AC" w14:textId="77777777" w:rsidR="00000000" w:rsidRDefault="009027A3">
            <w:pPr>
              <w:rPr>
                <w:rFonts w:eastAsia="Times New Roman"/>
                <w:sz w:val="20"/>
                <w:szCs w:val="20"/>
              </w:rPr>
            </w:pPr>
            <w:r>
              <w:rPr>
                <w:rFonts w:eastAsia="Times New Roman"/>
                <w:sz w:val="20"/>
                <w:szCs w:val="20"/>
              </w:rPr>
              <w:t>Item 1A.</w:t>
            </w:r>
          </w:p>
        </w:tc>
        <w:tc>
          <w:tcPr>
            <w:tcW w:w="0" w:type="auto"/>
            <w:shd w:val="clear" w:color="auto" w:fill="CCEEFF"/>
            <w:hideMark/>
          </w:tcPr>
          <w:p w14:paraId="396CD72C" w14:textId="77777777" w:rsidR="00000000" w:rsidRDefault="009027A3">
            <w:pPr>
              <w:rPr>
                <w:rFonts w:eastAsia="Times New Roman"/>
                <w:sz w:val="20"/>
                <w:szCs w:val="20"/>
              </w:rPr>
            </w:pPr>
            <w:hyperlink w:anchor="c_006" w:history="1">
              <w:r>
                <w:rPr>
                  <w:rStyle w:val="a4"/>
                  <w:rFonts w:eastAsia="Times New Roman"/>
                  <w:sz w:val="20"/>
                  <w:szCs w:val="20"/>
                </w:rPr>
                <w:t>Risk Factors</w:t>
              </w:r>
            </w:hyperlink>
          </w:p>
        </w:tc>
        <w:tc>
          <w:tcPr>
            <w:tcW w:w="0" w:type="auto"/>
            <w:shd w:val="clear" w:color="auto" w:fill="CCEEFF"/>
            <w:vAlign w:val="bottom"/>
            <w:hideMark/>
          </w:tcPr>
          <w:p w14:paraId="1F877FCA" w14:textId="77777777" w:rsidR="00000000" w:rsidRDefault="009027A3">
            <w:pPr>
              <w:jc w:val="center"/>
              <w:rPr>
                <w:rFonts w:eastAsia="Times New Roman"/>
                <w:sz w:val="20"/>
                <w:szCs w:val="20"/>
              </w:rPr>
            </w:pPr>
            <w:r>
              <w:rPr>
                <w:rFonts w:eastAsia="Times New Roman"/>
                <w:sz w:val="20"/>
                <w:szCs w:val="20"/>
              </w:rPr>
              <w:t>40</w:t>
            </w:r>
          </w:p>
        </w:tc>
      </w:tr>
      <w:tr w:rsidR="00000000" w14:paraId="2E2CCEA0" w14:textId="77777777">
        <w:tc>
          <w:tcPr>
            <w:tcW w:w="0" w:type="auto"/>
            <w:shd w:val="clear" w:color="auto" w:fill="FFFFFF"/>
            <w:hideMark/>
          </w:tcPr>
          <w:p w14:paraId="66CAEC90" w14:textId="77777777" w:rsidR="00000000" w:rsidRDefault="009027A3">
            <w:pPr>
              <w:rPr>
                <w:rFonts w:eastAsia="Times New Roman"/>
                <w:sz w:val="20"/>
                <w:szCs w:val="20"/>
              </w:rPr>
            </w:pPr>
            <w:r>
              <w:rPr>
                <w:rFonts w:eastAsia="Times New Roman"/>
                <w:sz w:val="20"/>
                <w:szCs w:val="20"/>
              </w:rPr>
              <w:t>Item 2.</w:t>
            </w:r>
          </w:p>
        </w:tc>
        <w:tc>
          <w:tcPr>
            <w:tcW w:w="0" w:type="auto"/>
            <w:shd w:val="clear" w:color="auto" w:fill="FFFFFF"/>
            <w:hideMark/>
          </w:tcPr>
          <w:p w14:paraId="11E25071" w14:textId="77777777" w:rsidR="00000000" w:rsidRDefault="009027A3">
            <w:pPr>
              <w:rPr>
                <w:rFonts w:eastAsia="Times New Roman"/>
                <w:sz w:val="20"/>
                <w:szCs w:val="20"/>
              </w:rPr>
            </w:pPr>
            <w:hyperlink w:anchor="c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14:paraId="3234C9C1" w14:textId="77777777" w:rsidR="00000000" w:rsidRDefault="009027A3">
            <w:pPr>
              <w:jc w:val="center"/>
              <w:rPr>
                <w:rFonts w:eastAsia="Times New Roman"/>
                <w:sz w:val="20"/>
                <w:szCs w:val="20"/>
              </w:rPr>
            </w:pPr>
            <w:r>
              <w:rPr>
                <w:rFonts w:eastAsia="Times New Roman"/>
                <w:sz w:val="20"/>
                <w:szCs w:val="20"/>
              </w:rPr>
              <w:t>41</w:t>
            </w:r>
          </w:p>
        </w:tc>
      </w:tr>
      <w:tr w:rsidR="00000000" w14:paraId="55D7650E" w14:textId="77777777">
        <w:tc>
          <w:tcPr>
            <w:tcW w:w="0" w:type="auto"/>
            <w:shd w:val="clear" w:color="auto" w:fill="CCEEFF"/>
            <w:hideMark/>
          </w:tcPr>
          <w:p w14:paraId="07FF9DFB" w14:textId="77777777" w:rsidR="00000000" w:rsidRDefault="009027A3">
            <w:pPr>
              <w:rPr>
                <w:rFonts w:eastAsia="Times New Roman"/>
                <w:sz w:val="20"/>
                <w:szCs w:val="20"/>
              </w:rPr>
            </w:pPr>
            <w:r>
              <w:rPr>
                <w:rFonts w:eastAsia="Times New Roman"/>
                <w:sz w:val="20"/>
                <w:szCs w:val="20"/>
              </w:rPr>
              <w:t>Item 3.</w:t>
            </w:r>
          </w:p>
        </w:tc>
        <w:tc>
          <w:tcPr>
            <w:tcW w:w="0" w:type="auto"/>
            <w:shd w:val="clear" w:color="auto" w:fill="CCEEFF"/>
            <w:hideMark/>
          </w:tcPr>
          <w:p w14:paraId="745C4F17" w14:textId="77777777" w:rsidR="00000000" w:rsidRDefault="009027A3">
            <w:pPr>
              <w:rPr>
                <w:rFonts w:eastAsia="Times New Roman"/>
                <w:sz w:val="20"/>
                <w:szCs w:val="20"/>
              </w:rPr>
            </w:pPr>
            <w:hyperlink w:anchor="c_008" w:history="1">
              <w:r>
                <w:rPr>
                  <w:rStyle w:val="a4"/>
                  <w:rFonts w:eastAsia="Times New Roman"/>
                  <w:sz w:val="20"/>
                  <w:szCs w:val="20"/>
                </w:rPr>
                <w:t>Defaults Upon Senior Securities</w:t>
              </w:r>
            </w:hyperlink>
          </w:p>
        </w:tc>
        <w:tc>
          <w:tcPr>
            <w:tcW w:w="0" w:type="auto"/>
            <w:shd w:val="clear" w:color="auto" w:fill="CCEEFF"/>
            <w:vAlign w:val="bottom"/>
            <w:hideMark/>
          </w:tcPr>
          <w:p w14:paraId="14532C4E" w14:textId="77777777" w:rsidR="00000000" w:rsidRDefault="009027A3">
            <w:pPr>
              <w:jc w:val="center"/>
              <w:rPr>
                <w:rFonts w:eastAsia="Times New Roman"/>
                <w:sz w:val="20"/>
                <w:szCs w:val="20"/>
              </w:rPr>
            </w:pPr>
            <w:r>
              <w:rPr>
                <w:rFonts w:eastAsia="Times New Roman"/>
                <w:sz w:val="20"/>
                <w:szCs w:val="20"/>
              </w:rPr>
              <w:t>41</w:t>
            </w:r>
          </w:p>
        </w:tc>
      </w:tr>
      <w:tr w:rsidR="00000000" w14:paraId="0EB11B7E" w14:textId="77777777">
        <w:tc>
          <w:tcPr>
            <w:tcW w:w="0" w:type="auto"/>
            <w:shd w:val="clear" w:color="auto" w:fill="FFFFFF"/>
            <w:hideMark/>
          </w:tcPr>
          <w:p w14:paraId="434CB72F" w14:textId="77777777" w:rsidR="00000000" w:rsidRDefault="009027A3">
            <w:pPr>
              <w:rPr>
                <w:rFonts w:eastAsia="Times New Roman"/>
                <w:sz w:val="20"/>
                <w:szCs w:val="20"/>
              </w:rPr>
            </w:pPr>
            <w:r>
              <w:rPr>
                <w:rFonts w:eastAsia="Times New Roman"/>
                <w:sz w:val="20"/>
                <w:szCs w:val="20"/>
              </w:rPr>
              <w:t>Item 4.</w:t>
            </w:r>
          </w:p>
        </w:tc>
        <w:tc>
          <w:tcPr>
            <w:tcW w:w="0" w:type="auto"/>
            <w:shd w:val="clear" w:color="auto" w:fill="FFFFFF"/>
            <w:hideMark/>
          </w:tcPr>
          <w:p w14:paraId="711C4B88" w14:textId="77777777" w:rsidR="00000000" w:rsidRDefault="009027A3">
            <w:pPr>
              <w:rPr>
                <w:rFonts w:eastAsia="Times New Roman"/>
                <w:sz w:val="20"/>
                <w:szCs w:val="20"/>
              </w:rPr>
            </w:pPr>
            <w:hyperlink w:anchor="c_009" w:history="1">
              <w:r>
                <w:rPr>
                  <w:rStyle w:val="a4"/>
                  <w:rFonts w:eastAsia="Times New Roman"/>
                  <w:sz w:val="20"/>
                  <w:szCs w:val="20"/>
                </w:rPr>
                <w:t>Mine Safety Disclosures</w:t>
              </w:r>
            </w:hyperlink>
          </w:p>
        </w:tc>
        <w:tc>
          <w:tcPr>
            <w:tcW w:w="0" w:type="auto"/>
            <w:shd w:val="clear" w:color="auto" w:fill="FFFFFF"/>
            <w:vAlign w:val="bottom"/>
            <w:hideMark/>
          </w:tcPr>
          <w:p w14:paraId="658A88DB" w14:textId="77777777" w:rsidR="00000000" w:rsidRDefault="009027A3">
            <w:pPr>
              <w:jc w:val="center"/>
              <w:rPr>
                <w:rFonts w:eastAsia="Times New Roman"/>
                <w:sz w:val="20"/>
                <w:szCs w:val="20"/>
              </w:rPr>
            </w:pPr>
            <w:r>
              <w:rPr>
                <w:rFonts w:eastAsia="Times New Roman"/>
                <w:sz w:val="20"/>
                <w:szCs w:val="20"/>
              </w:rPr>
              <w:t>41</w:t>
            </w:r>
          </w:p>
        </w:tc>
      </w:tr>
      <w:tr w:rsidR="00000000" w14:paraId="594E0AD2" w14:textId="77777777">
        <w:tc>
          <w:tcPr>
            <w:tcW w:w="0" w:type="auto"/>
            <w:shd w:val="clear" w:color="auto" w:fill="CCEEFF"/>
            <w:hideMark/>
          </w:tcPr>
          <w:p w14:paraId="3B7873C3" w14:textId="77777777" w:rsidR="00000000" w:rsidRDefault="009027A3">
            <w:pPr>
              <w:rPr>
                <w:rFonts w:eastAsia="Times New Roman"/>
                <w:sz w:val="20"/>
                <w:szCs w:val="20"/>
              </w:rPr>
            </w:pPr>
            <w:r>
              <w:rPr>
                <w:rFonts w:eastAsia="Times New Roman"/>
                <w:sz w:val="20"/>
                <w:szCs w:val="20"/>
              </w:rPr>
              <w:t>Item 5.</w:t>
            </w:r>
          </w:p>
        </w:tc>
        <w:tc>
          <w:tcPr>
            <w:tcW w:w="0" w:type="auto"/>
            <w:shd w:val="clear" w:color="auto" w:fill="CCEEFF"/>
            <w:hideMark/>
          </w:tcPr>
          <w:p w14:paraId="16FDC227" w14:textId="77777777" w:rsidR="00000000" w:rsidRDefault="009027A3">
            <w:pPr>
              <w:rPr>
                <w:rFonts w:eastAsia="Times New Roman"/>
                <w:sz w:val="20"/>
                <w:szCs w:val="20"/>
              </w:rPr>
            </w:pPr>
            <w:hyperlink w:anchor="c_010" w:history="1">
              <w:r>
                <w:rPr>
                  <w:rStyle w:val="a4"/>
                  <w:rFonts w:eastAsia="Times New Roman"/>
                  <w:sz w:val="20"/>
                  <w:szCs w:val="20"/>
                </w:rPr>
                <w:t>Other Information</w:t>
              </w:r>
            </w:hyperlink>
          </w:p>
        </w:tc>
        <w:tc>
          <w:tcPr>
            <w:tcW w:w="0" w:type="auto"/>
            <w:shd w:val="clear" w:color="auto" w:fill="CCEEFF"/>
            <w:vAlign w:val="bottom"/>
            <w:hideMark/>
          </w:tcPr>
          <w:p w14:paraId="200E227E" w14:textId="77777777" w:rsidR="00000000" w:rsidRDefault="009027A3">
            <w:pPr>
              <w:jc w:val="center"/>
              <w:rPr>
                <w:rFonts w:eastAsia="Times New Roman"/>
                <w:sz w:val="20"/>
                <w:szCs w:val="20"/>
              </w:rPr>
            </w:pPr>
            <w:r>
              <w:rPr>
                <w:rFonts w:eastAsia="Times New Roman"/>
                <w:sz w:val="20"/>
                <w:szCs w:val="20"/>
              </w:rPr>
              <w:t>41</w:t>
            </w:r>
          </w:p>
        </w:tc>
      </w:tr>
      <w:tr w:rsidR="00000000" w14:paraId="736CF9BC" w14:textId="77777777">
        <w:tc>
          <w:tcPr>
            <w:tcW w:w="0" w:type="auto"/>
            <w:shd w:val="clear" w:color="auto" w:fill="FFFFFF"/>
            <w:hideMark/>
          </w:tcPr>
          <w:p w14:paraId="22020C55" w14:textId="77777777" w:rsidR="00000000" w:rsidRDefault="009027A3">
            <w:pPr>
              <w:rPr>
                <w:rFonts w:eastAsia="Times New Roman"/>
                <w:sz w:val="20"/>
                <w:szCs w:val="20"/>
              </w:rPr>
            </w:pPr>
            <w:r>
              <w:rPr>
                <w:rFonts w:eastAsia="Times New Roman"/>
                <w:sz w:val="20"/>
                <w:szCs w:val="20"/>
              </w:rPr>
              <w:lastRenderedPageBreak/>
              <w:t>Item 6.</w:t>
            </w:r>
          </w:p>
        </w:tc>
        <w:tc>
          <w:tcPr>
            <w:tcW w:w="0" w:type="auto"/>
            <w:shd w:val="clear" w:color="auto" w:fill="FFFFFF"/>
            <w:hideMark/>
          </w:tcPr>
          <w:p w14:paraId="439FDDE3" w14:textId="77777777" w:rsidR="00000000" w:rsidRDefault="009027A3">
            <w:pPr>
              <w:rPr>
                <w:rFonts w:eastAsia="Times New Roman"/>
                <w:sz w:val="20"/>
                <w:szCs w:val="20"/>
              </w:rPr>
            </w:pPr>
            <w:hyperlink w:anchor="c_011" w:history="1">
              <w:r>
                <w:rPr>
                  <w:rStyle w:val="a4"/>
                  <w:rFonts w:eastAsia="Times New Roman"/>
                  <w:sz w:val="20"/>
                  <w:szCs w:val="20"/>
                </w:rPr>
                <w:t>Exhibits</w:t>
              </w:r>
            </w:hyperlink>
          </w:p>
        </w:tc>
        <w:tc>
          <w:tcPr>
            <w:tcW w:w="0" w:type="auto"/>
            <w:shd w:val="clear" w:color="auto" w:fill="FFFFFF"/>
            <w:vAlign w:val="bottom"/>
            <w:hideMark/>
          </w:tcPr>
          <w:p w14:paraId="67103277" w14:textId="77777777" w:rsidR="00000000" w:rsidRDefault="009027A3">
            <w:pPr>
              <w:pStyle w:val="a3"/>
              <w:spacing w:before="0" w:beforeAutospacing="0" w:after="0" w:afterAutospacing="0"/>
              <w:jc w:val="center"/>
              <w:rPr>
                <w:sz w:val="20"/>
                <w:szCs w:val="20"/>
              </w:rPr>
            </w:pPr>
            <w:r>
              <w:rPr>
                <w:sz w:val="20"/>
                <w:szCs w:val="20"/>
              </w:rPr>
              <w:t>42</w:t>
            </w:r>
          </w:p>
        </w:tc>
      </w:tr>
      <w:tr w:rsidR="00000000" w14:paraId="00B7E11A" w14:textId="77777777">
        <w:tc>
          <w:tcPr>
            <w:tcW w:w="0" w:type="auto"/>
            <w:gridSpan w:val="2"/>
            <w:shd w:val="clear" w:color="auto" w:fill="CCEEFF"/>
            <w:hideMark/>
          </w:tcPr>
          <w:p w14:paraId="36B5A0D3" w14:textId="77777777" w:rsidR="00000000" w:rsidRDefault="009027A3">
            <w:pPr>
              <w:rPr>
                <w:rFonts w:eastAsia="Times New Roman"/>
                <w:sz w:val="20"/>
                <w:szCs w:val="20"/>
              </w:rPr>
            </w:pPr>
            <w:hyperlink w:anchor="c_012" w:history="1">
              <w:r>
                <w:rPr>
                  <w:rStyle w:val="a4"/>
                  <w:rFonts w:eastAsia="Times New Roman"/>
                  <w:sz w:val="20"/>
                  <w:szCs w:val="20"/>
                </w:rPr>
                <w:t>Signatures</w:t>
              </w:r>
            </w:hyperlink>
          </w:p>
        </w:tc>
        <w:tc>
          <w:tcPr>
            <w:tcW w:w="0" w:type="auto"/>
            <w:shd w:val="clear" w:color="auto" w:fill="CCEEFF"/>
            <w:vAlign w:val="bottom"/>
            <w:hideMark/>
          </w:tcPr>
          <w:p w14:paraId="70E79E7C" w14:textId="77777777" w:rsidR="00000000" w:rsidRDefault="009027A3">
            <w:pPr>
              <w:jc w:val="center"/>
              <w:rPr>
                <w:rFonts w:eastAsia="Times New Roman"/>
                <w:sz w:val="20"/>
                <w:szCs w:val="20"/>
              </w:rPr>
            </w:pPr>
            <w:r>
              <w:rPr>
                <w:rFonts w:eastAsia="Times New Roman"/>
                <w:sz w:val="20"/>
                <w:szCs w:val="20"/>
              </w:rPr>
              <w:t>43</w:t>
            </w:r>
          </w:p>
        </w:tc>
      </w:tr>
    </w:tbl>
    <w:p w14:paraId="29436535" w14:textId="77777777" w:rsidR="00000000" w:rsidRDefault="009027A3">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952AC5F" w14:textId="77777777">
        <w:trPr>
          <w:divId w:val="265583672"/>
        </w:trPr>
        <w:tc>
          <w:tcPr>
            <w:tcW w:w="5000" w:type="pct"/>
            <w:hideMark/>
          </w:tcPr>
          <w:p w14:paraId="198E7607" w14:textId="77777777" w:rsidR="00000000" w:rsidRDefault="009027A3">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22C385DD" w14:textId="77777777">
        <w:tc>
          <w:tcPr>
            <w:tcW w:w="5000" w:type="pct"/>
            <w:hideMark/>
          </w:tcPr>
          <w:p w14:paraId="43AB6EB9" w14:textId="77777777" w:rsidR="00000000" w:rsidRDefault="009027A3">
            <w:pPr>
              <w:rPr>
                <w:rFonts w:eastAsia="Times New Roman"/>
                <w:sz w:val="20"/>
                <w:szCs w:val="20"/>
              </w:rPr>
            </w:pPr>
            <w:r>
              <w:rPr>
                <w:rFonts w:eastAsia="Times New Roman"/>
                <w:sz w:val="20"/>
                <w:szCs w:val="20"/>
              </w:rPr>
              <w:t> </w:t>
            </w:r>
          </w:p>
        </w:tc>
      </w:tr>
    </w:tbl>
    <w:p w14:paraId="41F33891" w14:textId="77777777" w:rsidR="00000000" w:rsidRDefault="009027A3">
      <w:pPr>
        <w:pStyle w:val="a3"/>
        <w:spacing w:before="0" w:beforeAutospacing="0" w:after="0" w:afterAutospacing="0"/>
        <w:jc w:val="both"/>
        <w:rPr>
          <w:sz w:val="20"/>
          <w:szCs w:val="20"/>
        </w:rPr>
      </w:pPr>
      <w:r>
        <w:rPr>
          <w:b/>
          <w:bCs/>
          <w:sz w:val="20"/>
          <w:szCs w:val="20"/>
        </w:rPr>
        <w:t> </w:t>
      </w:r>
    </w:p>
    <w:p w14:paraId="2ACDDEE1" w14:textId="77777777" w:rsidR="00000000" w:rsidRDefault="009027A3">
      <w:pPr>
        <w:pStyle w:val="a3"/>
        <w:spacing w:before="0" w:beforeAutospacing="0" w:after="0" w:afterAutospacing="0"/>
        <w:jc w:val="both"/>
        <w:rPr>
          <w:b/>
          <w:bCs/>
          <w:sz w:val="20"/>
          <w:szCs w:val="20"/>
        </w:rPr>
      </w:pPr>
      <w:bookmarkStart w:id="0" w:name="a_008"/>
      <w:bookmarkEnd w:id="0"/>
      <w:r>
        <w:rPr>
          <w:b/>
          <w:bCs/>
          <w:sz w:val="20"/>
          <w:szCs w:val="20"/>
        </w:rPr>
        <w:t>Forward-Looking Statements</w:t>
      </w:r>
    </w:p>
    <w:p w14:paraId="36EC2D2A" w14:textId="77777777" w:rsidR="00000000" w:rsidRDefault="009027A3">
      <w:pPr>
        <w:pStyle w:val="a3"/>
        <w:spacing w:before="0" w:beforeAutospacing="0" w:after="0" w:afterAutospacing="0"/>
        <w:jc w:val="both"/>
        <w:rPr>
          <w:sz w:val="20"/>
          <w:szCs w:val="20"/>
        </w:rPr>
      </w:pPr>
      <w:r>
        <w:rPr>
          <w:sz w:val="20"/>
          <w:szCs w:val="20"/>
        </w:rPr>
        <w:t> </w:t>
      </w:r>
    </w:p>
    <w:p w14:paraId="1D8D6C6B" w14:textId="77777777" w:rsidR="00000000" w:rsidRDefault="009027A3">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14:paraId="5584F546" w14:textId="77777777" w:rsidR="00000000" w:rsidRDefault="009027A3">
      <w:pPr>
        <w:pStyle w:val="a3"/>
        <w:spacing w:before="0" w:beforeAutospacing="0" w:after="0" w:afterAutospacing="0"/>
        <w:jc w:val="center"/>
        <w:rPr>
          <w:sz w:val="20"/>
          <w:szCs w:val="20"/>
        </w:rPr>
      </w:pPr>
      <w:r>
        <w:rPr>
          <w:sz w:val="20"/>
          <w:szCs w:val="20"/>
        </w:rPr>
        <w:t> </w:t>
      </w:r>
    </w:p>
    <w:p w14:paraId="68C2654E" w14:textId="77777777" w:rsidR="00000000" w:rsidRDefault="009027A3">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 xml:space="preserve">C on February 25, 2021. </w:t>
      </w:r>
      <w:r>
        <w:rPr>
          <w:i/>
          <w:iCs/>
          <w:color w:val="000000"/>
          <w:sz w:val="20"/>
          <w:szCs w:val="20"/>
        </w:rPr>
        <w:t>New risks and uncertainties emerge from time to time, and it is not possible for us to predict all of the risks and uncertainties that could have an impact on the forward-looking statements, including without limitation, risks and u</w:t>
      </w:r>
      <w:r>
        <w:rPr>
          <w:i/>
          <w:iCs/>
          <w:color w:val="000000"/>
          <w:sz w:val="20"/>
          <w:szCs w:val="20"/>
        </w:rPr>
        <w:t>ncertainties relating to:</w:t>
      </w:r>
    </w:p>
    <w:p w14:paraId="04B54A3D"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B81D2AE" w14:textId="77777777">
        <w:tc>
          <w:tcPr>
            <w:tcW w:w="360" w:type="dxa"/>
            <w:hideMark/>
          </w:tcPr>
          <w:p w14:paraId="39EDC507" w14:textId="77777777" w:rsidR="00000000" w:rsidRDefault="009027A3">
            <w:pPr>
              <w:rPr>
                <w:rFonts w:eastAsia="Times New Roman"/>
                <w:sz w:val="20"/>
                <w:szCs w:val="20"/>
              </w:rPr>
            </w:pPr>
            <w:r>
              <w:rPr>
                <w:rFonts w:eastAsia="Times New Roman"/>
                <w:sz w:val="20"/>
                <w:szCs w:val="20"/>
              </w:rPr>
              <w:t> </w:t>
            </w:r>
          </w:p>
        </w:tc>
        <w:tc>
          <w:tcPr>
            <w:tcW w:w="360" w:type="dxa"/>
            <w:hideMark/>
          </w:tcPr>
          <w:p w14:paraId="71AC603A" w14:textId="77777777" w:rsidR="00000000" w:rsidRDefault="009027A3">
            <w:pPr>
              <w:rPr>
                <w:rFonts w:eastAsia="Times New Roman"/>
                <w:sz w:val="20"/>
                <w:szCs w:val="20"/>
              </w:rPr>
            </w:pPr>
            <w:r>
              <w:rPr>
                <w:rFonts w:eastAsia="Times New Roman"/>
                <w:sz w:val="20"/>
                <w:szCs w:val="20"/>
              </w:rPr>
              <w:t>●</w:t>
            </w:r>
          </w:p>
        </w:tc>
        <w:tc>
          <w:tcPr>
            <w:tcW w:w="0" w:type="auto"/>
            <w:hideMark/>
          </w:tcPr>
          <w:p w14:paraId="7CF4843B" w14:textId="77777777" w:rsidR="00000000" w:rsidRDefault="009027A3">
            <w:pPr>
              <w:jc w:val="both"/>
              <w:rPr>
                <w:rFonts w:eastAsia="Times New Roman"/>
                <w:sz w:val="20"/>
                <w:szCs w:val="20"/>
              </w:rPr>
            </w:pPr>
            <w:r>
              <w:rPr>
                <w:rFonts w:eastAsia="Times New Roman"/>
                <w:sz w:val="20"/>
                <w:szCs w:val="20"/>
              </w:rPr>
              <w:t>our ability to manage our growth, including acquiring, partnering with, and effectively integrating the acquisitions of Meridian Medical Management, CareCloud Health, Inc., fka CareCloud Corporation (a company we purchased i</w:t>
            </w:r>
            <w:r>
              <w:rPr>
                <w:rFonts w:eastAsia="Times New Roman"/>
                <w:sz w:val="20"/>
                <w:szCs w:val="20"/>
              </w:rPr>
              <w:t>n January 2020 and whose name we took) and other acquired businesses into our infrastructure and avoiding legal exposure and liabilities associated with acquired companies and assets;</w:t>
            </w:r>
          </w:p>
        </w:tc>
      </w:tr>
      <w:tr w:rsidR="00000000" w14:paraId="7E7588A8" w14:textId="77777777">
        <w:tc>
          <w:tcPr>
            <w:tcW w:w="0" w:type="auto"/>
            <w:hideMark/>
          </w:tcPr>
          <w:p w14:paraId="4E7C31CE" w14:textId="77777777" w:rsidR="00000000" w:rsidRDefault="009027A3">
            <w:pPr>
              <w:rPr>
                <w:rFonts w:eastAsia="Times New Roman"/>
                <w:sz w:val="20"/>
                <w:szCs w:val="20"/>
              </w:rPr>
            </w:pPr>
            <w:r>
              <w:rPr>
                <w:rFonts w:eastAsia="Times New Roman"/>
                <w:sz w:val="20"/>
                <w:szCs w:val="20"/>
              </w:rPr>
              <w:t> </w:t>
            </w:r>
          </w:p>
        </w:tc>
        <w:tc>
          <w:tcPr>
            <w:tcW w:w="0" w:type="auto"/>
            <w:hideMark/>
          </w:tcPr>
          <w:p w14:paraId="0D8F8873" w14:textId="77777777" w:rsidR="00000000" w:rsidRDefault="009027A3">
            <w:pPr>
              <w:rPr>
                <w:rFonts w:eastAsia="Times New Roman"/>
                <w:sz w:val="20"/>
                <w:szCs w:val="20"/>
              </w:rPr>
            </w:pPr>
            <w:r>
              <w:rPr>
                <w:rFonts w:eastAsia="Times New Roman"/>
                <w:sz w:val="20"/>
                <w:szCs w:val="20"/>
              </w:rPr>
              <w:t>●</w:t>
            </w:r>
          </w:p>
        </w:tc>
        <w:tc>
          <w:tcPr>
            <w:tcW w:w="0" w:type="auto"/>
            <w:hideMark/>
          </w:tcPr>
          <w:p w14:paraId="56726ABC" w14:textId="77777777" w:rsidR="00000000" w:rsidRDefault="009027A3">
            <w:pPr>
              <w:jc w:val="both"/>
              <w:rPr>
                <w:rFonts w:eastAsia="Times New Roman"/>
                <w:sz w:val="20"/>
                <w:szCs w:val="20"/>
              </w:rPr>
            </w:pPr>
            <w:r>
              <w:rPr>
                <w:rFonts w:eastAsia="Times New Roman"/>
                <w:sz w:val="20"/>
                <w:szCs w:val="20"/>
              </w:rPr>
              <w:t>our ability to retain our clients and revenue levels, including eff</w:t>
            </w:r>
            <w:r>
              <w:rPr>
                <w:rFonts w:eastAsia="Times New Roman"/>
                <w:sz w:val="20"/>
                <w:szCs w:val="20"/>
              </w:rPr>
              <w:t>ectively migrating new clients and maintaining or growing the revenue levels of our new and existing clients;</w:t>
            </w:r>
          </w:p>
        </w:tc>
      </w:tr>
      <w:tr w:rsidR="00000000" w14:paraId="229DB59E" w14:textId="77777777">
        <w:tc>
          <w:tcPr>
            <w:tcW w:w="0" w:type="auto"/>
            <w:hideMark/>
          </w:tcPr>
          <w:p w14:paraId="7E08977A" w14:textId="77777777" w:rsidR="00000000" w:rsidRDefault="009027A3">
            <w:pPr>
              <w:rPr>
                <w:rFonts w:eastAsia="Times New Roman"/>
                <w:sz w:val="20"/>
                <w:szCs w:val="20"/>
              </w:rPr>
            </w:pPr>
            <w:r>
              <w:rPr>
                <w:rFonts w:eastAsia="Times New Roman"/>
                <w:sz w:val="20"/>
                <w:szCs w:val="20"/>
              </w:rPr>
              <w:t> </w:t>
            </w:r>
          </w:p>
        </w:tc>
        <w:tc>
          <w:tcPr>
            <w:tcW w:w="0" w:type="auto"/>
            <w:hideMark/>
          </w:tcPr>
          <w:p w14:paraId="2AA82CAA" w14:textId="77777777" w:rsidR="00000000" w:rsidRDefault="009027A3">
            <w:pPr>
              <w:rPr>
                <w:rFonts w:eastAsia="Times New Roman"/>
                <w:sz w:val="20"/>
                <w:szCs w:val="20"/>
              </w:rPr>
            </w:pPr>
            <w:r>
              <w:rPr>
                <w:rFonts w:eastAsia="Times New Roman"/>
                <w:sz w:val="20"/>
                <w:szCs w:val="20"/>
              </w:rPr>
              <w:t>●</w:t>
            </w:r>
          </w:p>
        </w:tc>
        <w:tc>
          <w:tcPr>
            <w:tcW w:w="0" w:type="auto"/>
            <w:hideMark/>
          </w:tcPr>
          <w:p w14:paraId="10C64DA7" w14:textId="77777777" w:rsidR="00000000" w:rsidRDefault="009027A3">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our Pakistan Offices and Sri Lanka in a manner that continues to enable us to offer competitively priced products and services;</w:t>
            </w:r>
          </w:p>
        </w:tc>
      </w:tr>
      <w:tr w:rsidR="00000000" w14:paraId="20033615" w14:textId="77777777">
        <w:tc>
          <w:tcPr>
            <w:tcW w:w="0" w:type="auto"/>
            <w:hideMark/>
          </w:tcPr>
          <w:p w14:paraId="174D3FD9" w14:textId="77777777" w:rsidR="00000000" w:rsidRDefault="009027A3">
            <w:pPr>
              <w:rPr>
                <w:rFonts w:eastAsia="Times New Roman"/>
                <w:sz w:val="20"/>
                <w:szCs w:val="20"/>
              </w:rPr>
            </w:pPr>
            <w:r>
              <w:rPr>
                <w:rFonts w:eastAsia="Times New Roman"/>
                <w:sz w:val="20"/>
                <w:szCs w:val="20"/>
              </w:rPr>
              <w:t> </w:t>
            </w:r>
          </w:p>
        </w:tc>
        <w:tc>
          <w:tcPr>
            <w:tcW w:w="0" w:type="auto"/>
            <w:hideMark/>
          </w:tcPr>
          <w:p w14:paraId="09972C52" w14:textId="77777777" w:rsidR="00000000" w:rsidRDefault="009027A3">
            <w:pPr>
              <w:rPr>
                <w:rFonts w:eastAsia="Times New Roman"/>
                <w:sz w:val="20"/>
                <w:szCs w:val="20"/>
              </w:rPr>
            </w:pPr>
            <w:r>
              <w:rPr>
                <w:rFonts w:eastAsia="Times New Roman"/>
                <w:sz w:val="20"/>
                <w:szCs w:val="20"/>
              </w:rPr>
              <w:t>●</w:t>
            </w:r>
          </w:p>
        </w:tc>
        <w:tc>
          <w:tcPr>
            <w:tcW w:w="0" w:type="auto"/>
            <w:hideMark/>
          </w:tcPr>
          <w:p w14:paraId="078BFA05" w14:textId="77777777" w:rsidR="00000000" w:rsidRDefault="009027A3">
            <w:pPr>
              <w:jc w:val="both"/>
              <w:rPr>
                <w:rFonts w:eastAsia="Times New Roman"/>
                <w:sz w:val="20"/>
                <w:szCs w:val="20"/>
              </w:rPr>
            </w:pPr>
            <w:r>
              <w:rPr>
                <w:rFonts w:eastAsia="Times New Roman"/>
                <w:sz w:val="20"/>
                <w:szCs w:val="20"/>
              </w:rPr>
              <w:t>our ability to keep pace with a rapidly changing healthcare industry;</w:t>
            </w:r>
          </w:p>
        </w:tc>
      </w:tr>
      <w:tr w:rsidR="00000000" w14:paraId="29364606" w14:textId="77777777">
        <w:tc>
          <w:tcPr>
            <w:tcW w:w="0" w:type="auto"/>
            <w:hideMark/>
          </w:tcPr>
          <w:p w14:paraId="363E9A2C" w14:textId="77777777" w:rsidR="00000000" w:rsidRDefault="009027A3">
            <w:pPr>
              <w:rPr>
                <w:rFonts w:eastAsia="Times New Roman"/>
                <w:sz w:val="20"/>
                <w:szCs w:val="20"/>
              </w:rPr>
            </w:pPr>
            <w:r>
              <w:rPr>
                <w:rFonts w:eastAsia="Times New Roman"/>
                <w:sz w:val="20"/>
                <w:szCs w:val="20"/>
              </w:rPr>
              <w:t> </w:t>
            </w:r>
          </w:p>
        </w:tc>
        <w:tc>
          <w:tcPr>
            <w:tcW w:w="0" w:type="auto"/>
            <w:hideMark/>
          </w:tcPr>
          <w:p w14:paraId="1AAD5BF5" w14:textId="77777777" w:rsidR="00000000" w:rsidRDefault="009027A3">
            <w:pPr>
              <w:rPr>
                <w:rFonts w:eastAsia="Times New Roman"/>
                <w:sz w:val="20"/>
                <w:szCs w:val="20"/>
              </w:rPr>
            </w:pPr>
            <w:r>
              <w:rPr>
                <w:rFonts w:eastAsia="Times New Roman"/>
                <w:sz w:val="20"/>
                <w:szCs w:val="20"/>
              </w:rPr>
              <w:t>●</w:t>
            </w:r>
          </w:p>
        </w:tc>
        <w:tc>
          <w:tcPr>
            <w:tcW w:w="0" w:type="auto"/>
            <w:hideMark/>
          </w:tcPr>
          <w:p w14:paraId="07AD94E8" w14:textId="77777777" w:rsidR="00000000" w:rsidRDefault="009027A3">
            <w:pPr>
              <w:jc w:val="both"/>
              <w:rPr>
                <w:rFonts w:eastAsia="Times New Roman"/>
                <w:sz w:val="20"/>
                <w:szCs w:val="20"/>
              </w:rPr>
            </w:pPr>
            <w:r>
              <w:rPr>
                <w:rFonts w:eastAsia="Times New Roman"/>
                <w:sz w:val="20"/>
                <w:szCs w:val="20"/>
              </w:rPr>
              <w:t>our ability to</w:t>
            </w:r>
            <w:r>
              <w:rPr>
                <w:rFonts w:eastAsia="Times New Roman"/>
                <w:sz w:val="20"/>
                <w:szCs w:val="20"/>
              </w:rPr>
              <w:t xml:space="preserve"> consistently achieve and maintain compliance with a myriad of federal, state, foreign, local, payor and industry requirements, regulations, rules, laws and contracts;</w:t>
            </w:r>
          </w:p>
        </w:tc>
      </w:tr>
      <w:tr w:rsidR="00000000" w14:paraId="2CF967A2" w14:textId="77777777">
        <w:tc>
          <w:tcPr>
            <w:tcW w:w="0" w:type="auto"/>
            <w:hideMark/>
          </w:tcPr>
          <w:p w14:paraId="2229216F" w14:textId="77777777" w:rsidR="00000000" w:rsidRDefault="009027A3">
            <w:pPr>
              <w:rPr>
                <w:rFonts w:eastAsia="Times New Roman"/>
                <w:sz w:val="20"/>
                <w:szCs w:val="20"/>
              </w:rPr>
            </w:pPr>
            <w:r>
              <w:rPr>
                <w:rFonts w:eastAsia="Times New Roman"/>
                <w:sz w:val="20"/>
                <w:szCs w:val="20"/>
              </w:rPr>
              <w:t> </w:t>
            </w:r>
          </w:p>
        </w:tc>
        <w:tc>
          <w:tcPr>
            <w:tcW w:w="0" w:type="auto"/>
            <w:hideMark/>
          </w:tcPr>
          <w:p w14:paraId="1EF45D38" w14:textId="77777777" w:rsidR="00000000" w:rsidRDefault="009027A3">
            <w:pPr>
              <w:rPr>
                <w:rFonts w:eastAsia="Times New Roman"/>
                <w:sz w:val="20"/>
                <w:szCs w:val="20"/>
              </w:rPr>
            </w:pPr>
            <w:r>
              <w:rPr>
                <w:rFonts w:eastAsia="Times New Roman"/>
                <w:sz w:val="20"/>
                <w:szCs w:val="20"/>
              </w:rPr>
              <w:t>●</w:t>
            </w:r>
          </w:p>
        </w:tc>
        <w:tc>
          <w:tcPr>
            <w:tcW w:w="0" w:type="auto"/>
            <w:hideMark/>
          </w:tcPr>
          <w:p w14:paraId="1FA8E22C" w14:textId="77777777" w:rsidR="00000000" w:rsidRDefault="009027A3">
            <w:pPr>
              <w:jc w:val="both"/>
              <w:rPr>
                <w:rFonts w:eastAsia="Times New Roman"/>
                <w:sz w:val="20"/>
                <w:szCs w:val="20"/>
              </w:rPr>
            </w:pPr>
            <w:r>
              <w:rPr>
                <w:rFonts w:eastAsia="Times New Roman"/>
                <w:sz w:val="20"/>
                <w:szCs w:val="20"/>
              </w:rPr>
              <w:t>our ability to maintain and protect the privacy of confidential and protected Compa</w:t>
            </w:r>
            <w:r>
              <w:rPr>
                <w:rFonts w:eastAsia="Times New Roman"/>
                <w:sz w:val="20"/>
                <w:szCs w:val="20"/>
              </w:rPr>
              <w:t>ny, client and patient information;</w:t>
            </w:r>
          </w:p>
        </w:tc>
      </w:tr>
      <w:tr w:rsidR="00000000" w14:paraId="69C0C379" w14:textId="77777777">
        <w:tc>
          <w:tcPr>
            <w:tcW w:w="0" w:type="auto"/>
            <w:hideMark/>
          </w:tcPr>
          <w:p w14:paraId="77098DC9" w14:textId="77777777" w:rsidR="00000000" w:rsidRDefault="009027A3">
            <w:pPr>
              <w:rPr>
                <w:rFonts w:eastAsia="Times New Roman"/>
                <w:sz w:val="20"/>
                <w:szCs w:val="20"/>
              </w:rPr>
            </w:pPr>
            <w:r>
              <w:rPr>
                <w:rFonts w:eastAsia="Times New Roman"/>
                <w:sz w:val="20"/>
                <w:szCs w:val="20"/>
              </w:rPr>
              <w:t> </w:t>
            </w:r>
          </w:p>
        </w:tc>
        <w:tc>
          <w:tcPr>
            <w:tcW w:w="0" w:type="auto"/>
            <w:hideMark/>
          </w:tcPr>
          <w:p w14:paraId="4491535A" w14:textId="77777777" w:rsidR="00000000" w:rsidRDefault="009027A3">
            <w:pPr>
              <w:rPr>
                <w:rFonts w:eastAsia="Times New Roman"/>
                <w:sz w:val="20"/>
                <w:szCs w:val="20"/>
              </w:rPr>
            </w:pPr>
            <w:r>
              <w:rPr>
                <w:rFonts w:eastAsia="Times New Roman"/>
                <w:sz w:val="20"/>
                <w:szCs w:val="20"/>
              </w:rPr>
              <w:t>●</w:t>
            </w:r>
          </w:p>
        </w:tc>
        <w:tc>
          <w:tcPr>
            <w:tcW w:w="0" w:type="auto"/>
            <w:hideMark/>
          </w:tcPr>
          <w:p w14:paraId="16377CF0" w14:textId="77777777" w:rsidR="00000000" w:rsidRDefault="009027A3">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standards and third-party software platforms and technologies, and protect and enforce all o</w:t>
            </w:r>
            <w:r>
              <w:rPr>
                <w:rFonts w:eastAsia="Times New Roman"/>
                <w:sz w:val="20"/>
                <w:szCs w:val="20"/>
              </w:rPr>
              <w:t>f these and other intellectual property rights;</w:t>
            </w:r>
          </w:p>
        </w:tc>
      </w:tr>
      <w:tr w:rsidR="00000000" w14:paraId="07D7B197" w14:textId="77777777">
        <w:tc>
          <w:tcPr>
            <w:tcW w:w="0" w:type="auto"/>
            <w:hideMark/>
          </w:tcPr>
          <w:p w14:paraId="2317F351" w14:textId="77777777" w:rsidR="00000000" w:rsidRDefault="009027A3">
            <w:pPr>
              <w:rPr>
                <w:rFonts w:eastAsia="Times New Roman"/>
                <w:sz w:val="20"/>
                <w:szCs w:val="20"/>
              </w:rPr>
            </w:pPr>
            <w:r>
              <w:rPr>
                <w:rFonts w:eastAsia="Times New Roman"/>
                <w:sz w:val="20"/>
                <w:szCs w:val="20"/>
              </w:rPr>
              <w:t> </w:t>
            </w:r>
          </w:p>
        </w:tc>
        <w:tc>
          <w:tcPr>
            <w:tcW w:w="0" w:type="auto"/>
            <w:hideMark/>
          </w:tcPr>
          <w:p w14:paraId="68DE35A7" w14:textId="77777777" w:rsidR="00000000" w:rsidRDefault="009027A3">
            <w:pPr>
              <w:rPr>
                <w:rFonts w:eastAsia="Times New Roman"/>
                <w:sz w:val="20"/>
                <w:szCs w:val="20"/>
              </w:rPr>
            </w:pPr>
            <w:r>
              <w:rPr>
                <w:rFonts w:eastAsia="Times New Roman"/>
                <w:sz w:val="20"/>
                <w:szCs w:val="20"/>
              </w:rPr>
              <w:t>●</w:t>
            </w:r>
          </w:p>
        </w:tc>
        <w:tc>
          <w:tcPr>
            <w:tcW w:w="0" w:type="auto"/>
            <w:hideMark/>
          </w:tcPr>
          <w:p w14:paraId="2FBD2F98" w14:textId="77777777" w:rsidR="00000000" w:rsidRDefault="009027A3">
            <w:pPr>
              <w:jc w:val="both"/>
              <w:rPr>
                <w:rFonts w:eastAsia="Times New Roman"/>
                <w:sz w:val="20"/>
                <w:szCs w:val="20"/>
              </w:rPr>
            </w:pPr>
            <w:r>
              <w:rPr>
                <w:rFonts w:eastAsia="Times New Roman"/>
                <w:sz w:val="20"/>
                <w:szCs w:val="20"/>
              </w:rPr>
              <w:t>our ability to attract and retain key officers and employees, and the continued involvement of Mahmud Haq as Executive Chairman and A. Hadi Chaudhry as Chief Executive Officer and President, all of which</w:t>
            </w:r>
            <w:r>
              <w:rPr>
                <w:rFonts w:eastAsia="Times New Roman"/>
                <w:sz w:val="20"/>
                <w:szCs w:val="20"/>
              </w:rPr>
              <w:t xml:space="preserve"> are critical to our ongoing operations, growing our business and integrating of our newly acquired businesses;</w:t>
            </w:r>
          </w:p>
        </w:tc>
      </w:tr>
      <w:tr w:rsidR="00000000" w14:paraId="678494C4" w14:textId="77777777">
        <w:tc>
          <w:tcPr>
            <w:tcW w:w="0" w:type="auto"/>
            <w:hideMark/>
          </w:tcPr>
          <w:p w14:paraId="78C49963" w14:textId="77777777" w:rsidR="00000000" w:rsidRDefault="009027A3">
            <w:pPr>
              <w:rPr>
                <w:rFonts w:eastAsia="Times New Roman"/>
                <w:sz w:val="20"/>
                <w:szCs w:val="20"/>
              </w:rPr>
            </w:pPr>
            <w:r>
              <w:rPr>
                <w:rFonts w:eastAsia="Times New Roman"/>
                <w:sz w:val="20"/>
                <w:szCs w:val="20"/>
              </w:rPr>
              <w:t> </w:t>
            </w:r>
          </w:p>
        </w:tc>
        <w:tc>
          <w:tcPr>
            <w:tcW w:w="0" w:type="auto"/>
            <w:hideMark/>
          </w:tcPr>
          <w:p w14:paraId="293D5943" w14:textId="77777777" w:rsidR="00000000" w:rsidRDefault="009027A3">
            <w:pPr>
              <w:rPr>
                <w:rFonts w:eastAsia="Times New Roman"/>
                <w:sz w:val="20"/>
                <w:szCs w:val="20"/>
              </w:rPr>
            </w:pPr>
            <w:r>
              <w:rPr>
                <w:rFonts w:eastAsia="Times New Roman"/>
                <w:sz w:val="20"/>
                <w:szCs w:val="20"/>
              </w:rPr>
              <w:t>●</w:t>
            </w:r>
          </w:p>
        </w:tc>
        <w:tc>
          <w:tcPr>
            <w:tcW w:w="0" w:type="auto"/>
            <w:hideMark/>
          </w:tcPr>
          <w:p w14:paraId="31962134" w14:textId="77777777" w:rsidR="00000000" w:rsidRDefault="009027A3">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14:paraId="22DD0A88" w14:textId="77777777">
        <w:tc>
          <w:tcPr>
            <w:tcW w:w="0" w:type="auto"/>
            <w:hideMark/>
          </w:tcPr>
          <w:p w14:paraId="644C0AFA" w14:textId="77777777" w:rsidR="00000000" w:rsidRDefault="009027A3">
            <w:pPr>
              <w:rPr>
                <w:rFonts w:eastAsia="Times New Roman"/>
                <w:sz w:val="20"/>
                <w:szCs w:val="20"/>
              </w:rPr>
            </w:pPr>
            <w:r>
              <w:rPr>
                <w:rFonts w:eastAsia="Times New Roman"/>
                <w:sz w:val="20"/>
                <w:szCs w:val="20"/>
              </w:rPr>
              <w:t> </w:t>
            </w:r>
          </w:p>
        </w:tc>
        <w:tc>
          <w:tcPr>
            <w:tcW w:w="0" w:type="auto"/>
            <w:hideMark/>
          </w:tcPr>
          <w:p w14:paraId="544E089D" w14:textId="77777777" w:rsidR="00000000" w:rsidRDefault="009027A3">
            <w:pPr>
              <w:rPr>
                <w:rFonts w:eastAsia="Times New Roman"/>
                <w:sz w:val="20"/>
                <w:szCs w:val="20"/>
              </w:rPr>
            </w:pPr>
            <w:r>
              <w:rPr>
                <w:rFonts w:eastAsia="Times New Roman"/>
                <w:sz w:val="20"/>
                <w:szCs w:val="20"/>
              </w:rPr>
              <w:t>●</w:t>
            </w:r>
          </w:p>
        </w:tc>
        <w:tc>
          <w:tcPr>
            <w:tcW w:w="0" w:type="auto"/>
            <w:hideMark/>
          </w:tcPr>
          <w:p w14:paraId="50AD492C" w14:textId="77777777" w:rsidR="00000000" w:rsidRDefault="009027A3">
            <w:pPr>
              <w:jc w:val="both"/>
              <w:rPr>
                <w:rFonts w:eastAsia="Times New Roman"/>
                <w:sz w:val="20"/>
                <w:szCs w:val="20"/>
              </w:rPr>
            </w:pPr>
            <w:r>
              <w:rPr>
                <w:rFonts w:eastAsia="Times New Roman"/>
                <w:sz w:val="20"/>
                <w:szCs w:val="20"/>
              </w:rPr>
              <w:t>our ability to pay our monthly preferred dividends to the holders of our Series A Preferred Stock;</w:t>
            </w:r>
          </w:p>
        </w:tc>
      </w:tr>
    </w:tbl>
    <w:p w14:paraId="14E9CC50" w14:textId="77777777" w:rsidR="00000000" w:rsidRDefault="009027A3">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8306"/>
      </w:tblGrid>
      <w:tr w:rsidR="00000000" w14:paraId="5CA24B0C" w14:textId="77777777">
        <w:trPr>
          <w:divId w:val="871963366"/>
        </w:trPr>
        <w:tc>
          <w:tcPr>
            <w:tcW w:w="5000" w:type="pct"/>
            <w:hideMark/>
          </w:tcPr>
          <w:p w14:paraId="684FE8C9" w14:textId="77777777" w:rsidR="00000000" w:rsidRDefault="009027A3">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0A826BE" w14:textId="77777777">
        <w:tc>
          <w:tcPr>
            <w:tcW w:w="5000" w:type="pct"/>
            <w:hideMark/>
          </w:tcPr>
          <w:p w14:paraId="5925F801" w14:textId="77777777" w:rsidR="00000000" w:rsidRDefault="009027A3">
            <w:pPr>
              <w:rPr>
                <w:rFonts w:eastAsia="Times New Roman"/>
                <w:sz w:val="20"/>
                <w:szCs w:val="20"/>
              </w:rPr>
            </w:pPr>
            <w:r>
              <w:rPr>
                <w:rFonts w:eastAsia="Times New Roman"/>
                <w:sz w:val="20"/>
                <w:szCs w:val="20"/>
              </w:rPr>
              <w:t> </w:t>
            </w:r>
          </w:p>
        </w:tc>
      </w:tr>
    </w:tbl>
    <w:p w14:paraId="6DE2FB79"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DDDAAE2" w14:textId="77777777">
        <w:tc>
          <w:tcPr>
            <w:tcW w:w="360" w:type="dxa"/>
            <w:hideMark/>
          </w:tcPr>
          <w:p w14:paraId="37D6307E" w14:textId="77777777" w:rsidR="00000000" w:rsidRDefault="009027A3">
            <w:pPr>
              <w:rPr>
                <w:rFonts w:eastAsia="Times New Roman"/>
                <w:sz w:val="20"/>
                <w:szCs w:val="20"/>
              </w:rPr>
            </w:pPr>
            <w:r>
              <w:rPr>
                <w:rFonts w:eastAsia="Times New Roman"/>
                <w:sz w:val="20"/>
                <w:szCs w:val="20"/>
              </w:rPr>
              <w:t> </w:t>
            </w:r>
          </w:p>
        </w:tc>
        <w:tc>
          <w:tcPr>
            <w:tcW w:w="360" w:type="dxa"/>
            <w:hideMark/>
          </w:tcPr>
          <w:p w14:paraId="2F0F1C07" w14:textId="77777777" w:rsidR="00000000" w:rsidRDefault="009027A3">
            <w:pPr>
              <w:rPr>
                <w:rFonts w:eastAsia="Times New Roman"/>
                <w:sz w:val="20"/>
                <w:szCs w:val="20"/>
              </w:rPr>
            </w:pPr>
            <w:r>
              <w:rPr>
                <w:rFonts w:eastAsia="Times New Roman"/>
                <w:sz w:val="20"/>
                <w:szCs w:val="20"/>
              </w:rPr>
              <w:t>●</w:t>
            </w:r>
          </w:p>
        </w:tc>
        <w:tc>
          <w:tcPr>
            <w:tcW w:w="0" w:type="auto"/>
            <w:hideMark/>
          </w:tcPr>
          <w:p w14:paraId="71B3129B" w14:textId="77777777" w:rsidR="00000000" w:rsidRDefault="009027A3">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14:paraId="4D05748B" w14:textId="77777777">
        <w:tc>
          <w:tcPr>
            <w:tcW w:w="0" w:type="auto"/>
            <w:hideMark/>
          </w:tcPr>
          <w:p w14:paraId="3BF19391" w14:textId="77777777" w:rsidR="00000000" w:rsidRDefault="009027A3">
            <w:pPr>
              <w:rPr>
                <w:rFonts w:eastAsia="Times New Roman"/>
                <w:sz w:val="20"/>
                <w:szCs w:val="20"/>
              </w:rPr>
            </w:pPr>
            <w:r>
              <w:rPr>
                <w:rFonts w:eastAsia="Times New Roman"/>
                <w:sz w:val="20"/>
                <w:szCs w:val="20"/>
              </w:rPr>
              <w:t> </w:t>
            </w:r>
          </w:p>
        </w:tc>
        <w:tc>
          <w:tcPr>
            <w:tcW w:w="0" w:type="auto"/>
            <w:hideMark/>
          </w:tcPr>
          <w:p w14:paraId="3DB6F812" w14:textId="77777777" w:rsidR="00000000" w:rsidRDefault="009027A3">
            <w:pPr>
              <w:rPr>
                <w:rFonts w:eastAsia="Times New Roman"/>
                <w:sz w:val="20"/>
                <w:szCs w:val="20"/>
              </w:rPr>
            </w:pPr>
            <w:r>
              <w:rPr>
                <w:rFonts w:eastAsia="Times New Roman"/>
                <w:sz w:val="20"/>
                <w:szCs w:val="20"/>
              </w:rPr>
              <w:t>●</w:t>
            </w:r>
          </w:p>
        </w:tc>
        <w:tc>
          <w:tcPr>
            <w:tcW w:w="0" w:type="auto"/>
            <w:hideMark/>
          </w:tcPr>
          <w:p w14:paraId="2F578E93" w14:textId="77777777" w:rsidR="00000000" w:rsidRDefault="009027A3">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spread of the COVID-19 pandemic and the impact it may have on our operations, the demand for our services, and economic activity in general; and</w:t>
            </w:r>
          </w:p>
        </w:tc>
      </w:tr>
      <w:tr w:rsidR="00000000" w14:paraId="1CE65109" w14:textId="77777777">
        <w:tc>
          <w:tcPr>
            <w:tcW w:w="0" w:type="auto"/>
            <w:hideMark/>
          </w:tcPr>
          <w:p w14:paraId="6554DBD9" w14:textId="77777777" w:rsidR="00000000" w:rsidRDefault="009027A3">
            <w:pPr>
              <w:rPr>
                <w:rFonts w:eastAsia="Times New Roman"/>
                <w:sz w:val="20"/>
                <w:szCs w:val="20"/>
              </w:rPr>
            </w:pPr>
            <w:r>
              <w:rPr>
                <w:rFonts w:eastAsia="Times New Roman"/>
                <w:sz w:val="20"/>
                <w:szCs w:val="20"/>
              </w:rPr>
              <w:t> </w:t>
            </w:r>
          </w:p>
        </w:tc>
        <w:tc>
          <w:tcPr>
            <w:tcW w:w="0" w:type="auto"/>
            <w:hideMark/>
          </w:tcPr>
          <w:p w14:paraId="03830E7E" w14:textId="77777777" w:rsidR="00000000" w:rsidRDefault="009027A3">
            <w:pPr>
              <w:rPr>
                <w:rFonts w:eastAsia="Times New Roman"/>
                <w:sz w:val="20"/>
                <w:szCs w:val="20"/>
              </w:rPr>
            </w:pPr>
            <w:r>
              <w:rPr>
                <w:rFonts w:eastAsia="Times New Roman"/>
                <w:sz w:val="20"/>
                <w:szCs w:val="20"/>
              </w:rPr>
              <w:t>●</w:t>
            </w:r>
          </w:p>
        </w:tc>
        <w:tc>
          <w:tcPr>
            <w:tcW w:w="0" w:type="auto"/>
            <w:hideMark/>
          </w:tcPr>
          <w:p w14:paraId="55CFB883" w14:textId="77777777" w:rsidR="00000000" w:rsidRDefault="009027A3">
            <w:pPr>
              <w:jc w:val="both"/>
              <w:rPr>
                <w:rFonts w:eastAsia="Times New Roman"/>
                <w:sz w:val="20"/>
                <w:szCs w:val="20"/>
              </w:rPr>
            </w:pPr>
            <w:r>
              <w:rPr>
                <w:rFonts w:eastAsia="Times New Roman"/>
                <w:sz w:val="20"/>
                <w:szCs w:val="20"/>
              </w:rPr>
              <w:t>our ability to keep and increase market acceptanc</w:t>
            </w:r>
            <w:r>
              <w:rPr>
                <w:rFonts w:eastAsia="Times New Roman"/>
                <w:sz w:val="20"/>
                <w:szCs w:val="20"/>
              </w:rPr>
              <w:t>e of our products and services.</w:t>
            </w:r>
          </w:p>
        </w:tc>
      </w:tr>
    </w:tbl>
    <w:p w14:paraId="4ABF78C5" w14:textId="77777777" w:rsidR="00000000" w:rsidRDefault="009027A3">
      <w:pPr>
        <w:pStyle w:val="a3"/>
        <w:spacing w:before="0" w:beforeAutospacing="0" w:after="0" w:afterAutospacing="0"/>
        <w:jc w:val="both"/>
        <w:rPr>
          <w:sz w:val="20"/>
          <w:szCs w:val="20"/>
        </w:rPr>
      </w:pPr>
      <w:r>
        <w:rPr>
          <w:i/>
          <w:iCs/>
          <w:sz w:val="20"/>
          <w:szCs w:val="20"/>
        </w:rPr>
        <w:t> </w:t>
      </w:r>
    </w:p>
    <w:p w14:paraId="2E8907BE" w14:textId="77777777" w:rsidR="00000000" w:rsidRDefault="009027A3">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Quarterly Report on Form 10-Q are reasonable, we cannot guarantee future results, levels of activity, performance, or</w:t>
      </w:r>
      <w:r>
        <w:rPr>
          <w:i/>
          <w:iCs/>
          <w:sz w:val="20"/>
          <w:szCs w:val="20"/>
        </w:rPr>
        <w:t xml:space="preserve"> achievements. Except as required by law, we are under no duty to update or revise any of such forward-looking statements, whether as a result of new information, future events, or otherwise, after the date of this Quarterly Report on Form 10-Q.</w:t>
      </w:r>
    </w:p>
    <w:p w14:paraId="59FAC642" w14:textId="77777777" w:rsidR="00000000" w:rsidRDefault="009027A3">
      <w:pPr>
        <w:pStyle w:val="a3"/>
        <w:spacing w:before="0" w:beforeAutospacing="0" w:after="0" w:afterAutospacing="0"/>
        <w:ind w:firstLine="480"/>
        <w:jc w:val="both"/>
        <w:rPr>
          <w:sz w:val="20"/>
          <w:szCs w:val="20"/>
        </w:rPr>
      </w:pPr>
      <w:r>
        <w:rPr>
          <w:i/>
          <w:iCs/>
          <w:sz w:val="20"/>
          <w:szCs w:val="20"/>
        </w:rPr>
        <w:t> </w:t>
      </w:r>
    </w:p>
    <w:p w14:paraId="0494C1B3" w14:textId="77777777" w:rsidR="00000000" w:rsidRDefault="009027A3">
      <w:pPr>
        <w:pStyle w:val="a3"/>
        <w:spacing w:before="0" w:beforeAutospacing="0" w:after="0" w:afterAutospacing="0"/>
        <w:jc w:val="both"/>
        <w:rPr>
          <w:sz w:val="20"/>
          <w:szCs w:val="20"/>
        </w:rPr>
      </w:pPr>
      <w:r>
        <w:rPr>
          <w:i/>
          <w:iCs/>
          <w:sz w:val="20"/>
          <w:szCs w:val="20"/>
        </w:rPr>
        <w:t>You shou</w:t>
      </w:r>
      <w:r>
        <w:rPr>
          <w:i/>
          <w:iCs/>
          <w:sz w:val="20"/>
          <w:szCs w:val="20"/>
        </w:rPr>
        <w:t>ld read this Quarterly Report on Form 10-Q with the understanding that our actual future results, levels of activity, performance and events and circumstances may be materially different from what we expect.</w:t>
      </w:r>
    </w:p>
    <w:p w14:paraId="59D79CD5" w14:textId="77777777" w:rsidR="00000000" w:rsidRDefault="009027A3">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F9E59E4" w14:textId="77777777">
        <w:trPr>
          <w:divId w:val="313415551"/>
        </w:trPr>
        <w:tc>
          <w:tcPr>
            <w:tcW w:w="5000" w:type="pct"/>
            <w:hideMark/>
          </w:tcPr>
          <w:p w14:paraId="3FA8890C" w14:textId="77777777" w:rsidR="00000000" w:rsidRDefault="009027A3">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6DED22D" w14:textId="77777777">
        <w:tc>
          <w:tcPr>
            <w:tcW w:w="5000" w:type="pct"/>
            <w:hideMark/>
          </w:tcPr>
          <w:p w14:paraId="38EB5313" w14:textId="77777777" w:rsidR="00000000" w:rsidRDefault="009027A3">
            <w:pPr>
              <w:rPr>
                <w:rFonts w:eastAsia="Times New Roman"/>
                <w:sz w:val="20"/>
                <w:szCs w:val="20"/>
              </w:rPr>
            </w:pPr>
            <w:r>
              <w:rPr>
                <w:rFonts w:eastAsia="Times New Roman"/>
                <w:sz w:val="20"/>
                <w:szCs w:val="20"/>
              </w:rPr>
              <w:t> </w:t>
            </w:r>
          </w:p>
        </w:tc>
      </w:tr>
    </w:tbl>
    <w:p w14:paraId="1D31CCC2" w14:textId="77777777" w:rsidR="00000000" w:rsidRDefault="009027A3">
      <w:pPr>
        <w:pStyle w:val="a3"/>
        <w:spacing w:before="0" w:beforeAutospacing="0" w:after="0" w:afterAutospacing="0"/>
        <w:jc w:val="center"/>
        <w:rPr>
          <w:sz w:val="20"/>
          <w:szCs w:val="20"/>
        </w:rPr>
      </w:pPr>
      <w:r>
        <w:rPr>
          <w:sz w:val="20"/>
          <w:szCs w:val="20"/>
        </w:rPr>
        <w:t> </w:t>
      </w:r>
    </w:p>
    <w:p w14:paraId="1A890219" w14:textId="77777777" w:rsidR="00000000" w:rsidRDefault="009027A3">
      <w:pPr>
        <w:pStyle w:val="a3"/>
        <w:spacing w:before="0" w:beforeAutospacing="0" w:after="0" w:afterAutospacing="0"/>
        <w:jc w:val="center"/>
        <w:rPr>
          <w:sz w:val="20"/>
          <w:szCs w:val="20"/>
        </w:rPr>
      </w:pPr>
      <w:bookmarkStart w:id="1" w:name="a_001"/>
      <w:bookmarkEnd w:id="1"/>
      <w:r>
        <w:rPr>
          <w:b/>
          <w:bCs/>
          <w:sz w:val="20"/>
          <w:szCs w:val="20"/>
        </w:rPr>
        <w:t xml:space="preserve">PART </w:t>
      </w:r>
      <w:r>
        <w:rPr>
          <w:b/>
          <w:bCs/>
          <w:sz w:val="20"/>
          <w:szCs w:val="20"/>
        </w:rPr>
        <w:t>I. FINANCIAL INFORMATION</w:t>
      </w:r>
    </w:p>
    <w:p w14:paraId="152247D6" w14:textId="77777777" w:rsidR="00000000" w:rsidRDefault="009027A3">
      <w:pPr>
        <w:pStyle w:val="a3"/>
        <w:spacing w:before="0" w:beforeAutospacing="0" w:after="0" w:afterAutospacing="0"/>
        <w:jc w:val="center"/>
        <w:rPr>
          <w:sz w:val="20"/>
          <w:szCs w:val="20"/>
        </w:rPr>
      </w:pPr>
      <w:r>
        <w:rPr>
          <w:sz w:val="20"/>
          <w:szCs w:val="20"/>
        </w:rPr>
        <w:t>Item 1. Condensed Consolidated Financial Statements</w:t>
      </w:r>
    </w:p>
    <w:p w14:paraId="5F2A8C8B" w14:textId="77777777" w:rsidR="00000000" w:rsidRDefault="009027A3">
      <w:pPr>
        <w:pStyle w:val="a3"/>
        <w:spacing w:before="0" w:beforeAutospacing="0" w:after="0" w:afterAutospacing="0"/>
        <w:jc w:val="center"/>
        <w:rPr>
          <w:sz w:val="20"/>
          <w:szCs w:val="20"/>
        </w:rPr>
      </w:pPr>
      <w:r>
        <w:rPr>
          <w:b/>
          <w:bCs/>
          <w:sz w:val="20"/>
          <w:szCs w:val="20"/>
        </w:rPr>
        <w:t>CARECLOUD, INC.</w:t>
      </w:r>
    </w:p>
    <w:p w14:paraId="7E5EAC59" w14:textId="77777777" w:rsidR="00000000" w:rsidRDefault="009027A3">
      <w:pPr>
        <w:pStyle w:val="a3"/>
        <w:spacing w:before="0" w:beforeAutospacing="0" w:after="0" w:afterAutospacing="0"/>
        <w:jc w:val="center"/>
        <w:rPr>
          <w:sz w:val="20"/>
          <w:szCs w:val="20"/>
        </w:rPr>
      </w:pPr>
      <w:bookmarkStart w:id="2" w:name="a_002"/>
      <w:bookmarkEnd w:id="2"/>
      <w:r>
        <w:rPr>
          <w:b/>
          <w:bCs/>
          <w:sz w:val="20"/>
          <w:szCs w:val="20"/>
        </w:rPr>
        <w:t>CONDENSED CONSOLIDATED BALANCE SHEETS</w:t>
      </w:r>
    </w:p>
    <w:p w14:paraId="1106DC34" w14:textId="77777777" w:rsidR="00000000" w:rsidRDefault="009027A3">
      <w:pPr>
        <w:pStyle w:val="a3"/>
        <w:spacing w:before="0" w:beforeAutospacing="0" w:after="0" w:afterAutospacing="0"/>
        <w:jc w:val="center"/>
        <w:rPr>
          <w:sz w:val="20"/>
          <w:szCs w:val="20"/>
        </w:rPr>
      </w:pPr>
      <w:r>
        <w:rPr>
          <w:sz w:val="20"/>
          <w:szCs w:val="20"/>
        </w:rPr>
        <w:t>(</w:t>
      </w:r>
      <w:r>
        <w:rPr>
          <w:sz w:val="20"/>
          <w:szCs w:val="20"/>
          <w:u w:val="single"/>
        </w:rPr>
        <w:t>$ in thousands, except share and per share amounts</w:t>
      </w:r>
      <w:r>
        <w:rPr>
          <w:sz w:val="20"/>
          <w:szCs w:val="20"/>
        </w:rPr>
        <w:t>)</w:t>
      </w:r>
    </w:p>
    <w:p w14:paraId="4F3A72C2"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14:paraId="12970EDB" w14:textId="77777777">
        <w:tc>
          <w:tcPr>
            <w:tcW w:w="0" w:type="auto"/>
            <w:vAlign w:val="bottom"/>
            <w:hideMark/>
          </w:tcPr>
          <w:p w14:paraId="10515B57"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C29CA6F"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0A47D626" w14:textId="77777777" w:rsidR="00000000" w:rsidRDefault="009027A3">
            <w:pPr>
              <w:jc w:val="center"/>
              <w:rPr>
                <w:rFonts w:eastAsia="Times New Roman"/>
                <w:b/>
                <w:bCs/>
                <w:sz w:val="20"/>
                <w:szCs w:val="20"/>
              </w:rPr>
            </w:pPr>
            <w:r>
              <w:rPr>
                <w:rFonts w:eastAsia="Times New Roman"/>
                <w:b/>
                <w:bCs/>
                <w:sz w:val="20"/>
                <w:szCs w:val="20"/>
              </w:rPr>
              <w:t>March 31,</w:t>
            </w:r>
          </w:p>
        </w:tc>
        <w:tc>
          <w:tcPr>
            <w:tcW w:w="0" w:type="auto"/>
            <w:vAlign w:val="bottom"/>
            <w:hideMark/>
          </w:tcPr>
          <w:p w14:paraId="00EF30C6" w14:textId="77777777" w:rsidR="00000000" w:rsidRDefault="009027A3">
            <w:pPr>
              <w:rPr>
                <w:rFonts w:eastAsia="Times New Roman"/>
                <w:b/>
                <w:bCs/>
                <w:sz w:val="20"/>
                <w:szCs w:val="20"/>
              </w:rPr>
            </w:pPr>
            <w:r>
              <w:rPr>
                <w:rFonts w:eastAsia="Times New Roman"/>
                <w:b/>
                <w:bCs/>
                <w:sz w:val="20"/>
                <w:szCs w:val="20"/>
              </w:rPr>
              <w:t> </w:t>
            </w:r>
          </w:p>
        </w:tc>
        <w:tc>
          <w:tcPr>
            <w:tcW w:w="0" w:type="auto"/>
            <w:vAlign w:val="bottom"/>
            <w:hideMark/>
          </w:tcPr>
          <w:p w14:paraId="732EBB8C"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62DDDCB9" w14:textId="77777777" w:rsidR="00000000" w:rsidRDefault="009027A3">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74699C1E" w14:textId="77777777" w:rsidR="00000000" w:rsidRDefault="009027A3">
            <w:pPr>
              <w:rPr>
                <w:rFonts w:eastAsia="Times New Roman"/>
                <w:b/>
                <w:bCs/>
                <w:sz w:val="20"/>
                <w:szCs w:val="20"/>
              </w:rPr>
            </w:pPr>
            <w:r>
              <w:rPr>
                <w:rFonts w:eastAsia="Times New Roman"/>
                <w:b/>
                <w:bCs/>
                <w:sz w:val="20"/>
                <w:szCs w:val="20"/>
              </w:rPr>
              <w:t> </w:t>
            </w:r>
          </w:p>
        </w:tc>
      </w:tr>
      <w:tr w:rsidR="00000000" w14:paraId="02DB7F96" w14:textId="77777777">
        <w:tc>
          <w:tcPr>
            <w:tcW w:w="0" w:type="auto"/>
            <w:vAlign w:val="bottom"/>
            <w:hideMark/>
          </w:tcPr>
          <w:p w14:paraId="4821A706"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E11654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661A73"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4116B38"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4B1B1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B5AE95E"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9B794FD" w14:textId="77777777" w:rsidR="00000000" w:rsidRDefault="009027A3">
            <w:pPr>
              <w:rPr>
                <w:rFonts w:eastAsia="Times New Roman"/>
                <w:b/>
                <w:bCs/>
                <w:sz w:val="20"/>
                <w:szCs w:val="20"/>
              </w:rPr>
            </w:pPr>
            <w:r>
              <w:rPr>
                <w:rFonts w:eastAsia="Times New Roman"/>
                <w:b/>
                <w:bCs/>
                <w:sz w:val="20"/>
                <w:szCs w:val="20"/>
              </w:rPr>
              <w:t> </w:t>
            </w:r>
          </w:p>
        </w:tc>
      </w:tr>
      <w:tr w:rsidR="00000000" w14:paraId="5979887D" w14:textId="77777777">
        <w:tc>
          <w:tcPr>
            <w:tcW w:w="0" w:type="auto"/>
            <w:vAlign w:val="bottom"/>
            <w:hideMark/>
          </w:tcPr>
          <w:p w14:paraId="39BA5085"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3BAFCC8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6246D340" w14:textId="77777777" w:rsidR="00000000" w:rsidRDefault="009027A3">
            <w:pPr>
              <w:jc w:val="center"/>
              <w:rPr>
                <w:rFonts w:eastAsia="Times New Roman"/>
                <w:b/>
                <w:bCs/>
                <w:sz w:val="20"/>
                <w:szCs w:val="20"/>
              </w:rPr>
            </w:pPr>
            <w:r>
              <w:rPr>
                <w:rFonts w:eastAsia="Times New Roman"/>
                <w:b/>
                <w:bCs/>
                <w:sz w:val="20"/>
                <w:szCs w:val="20"/>
              </w:rPr>
              <w:t>(Unaudited)</w:t>
            </w:r>
          </w:p>
        </w:tc>
        <w:tc>
          <w:tcPr>
            <w:tcW w:w="0" w:type="auto"/>
            <w:vAlign w:val="bottom"/>
            <w:hideMark/>
          </w:tcPr>
          <w:p w14:paraId="52232786" w14:textId="77777777" w:rsidR="00000000" w:rsidRDefault="009027A3">
            <w:pPr>
              <w:rPr>
                <w:rFonts w:eastAsia="Times New Roman"/>
                <w:b/>
                <w:bCs/>
                <w:sz w:val="20"/>
                <w:szCs w:val="20"/>
              </w:rPr>
            </w:pPr>
            <w:r>
              <w:rPr>
                <w:rFonts w:eastAsia="Times New Roman"/>
                <w:b/>
                <w:bCs/>
                <w:sz w:val="20"/>
                <w:szCs w:val="20"/>
              </w:rPr>
              <w:t> </w:t>
            </w:r>
          </w:p>
        </w:tc>
        <w:tc>
          <w:tcPr>
            <w:tcW w:w="0" w:type="auto"/>
            <w:vAlign w:val="bottom"/>
            <w:hideMark/>
          </w:tcPr>
          <w:p w14:paraId="29B02163"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64FDA768"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720C35D1" w14:textId="77777777" w:rsidR="00000000" w:rsidRDefault="009027A3">
            <w:pPr>
              <w:rPr>
                <w:rFonts w:eastAsia="Times New Roman"/>
                <w:sz w:val="20"/>
                <w:szCs w:val="20"/>
              </w:rPr>
            </w:pPr>
            <w:r>
              <w:rPr>
                <w:rFonts w:eastAsia="Times New Roman"/>
                <w:sz w:val="20"/>
                <w:szCs w:val="20"/>
              </w:rPr>
              <w:t> </w:t>
            </w:r>
          </w:p>
        </w:tc>
      </w:tr>
      <w:tr w:rsidR="00000000" w14:paraId="29846442" w14:textId="77777777">
        <w:tc>
          <w:tcPr>
            <w:tcW w:w="0" w:type="auto"/>
            <w:shd w:val="clear" w:color="auto" w:fill="CCEEFF"/>
            <w:vAlign w:val="bottom"/>
            <w:hideMark/>
          </w:tcPr>
          <w:p w14:paraId="2675FD1A" w14:textId="77777777" w:rsidR="00000000" w:rsidRDefault="009027A3">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177B922F" w14:textId="77777777" w:rsidR="00000000" w:rsidRDefault="009027A3">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7AA3D05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C8D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B215C" w14:textId="77777777" w:rsidR="00000000" w:rsidRDefault="009027A3">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6F4BA3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2F6D7" w14:textId="77777777" w:rsidR="00000000" w:rsidRDefault="009027A3">
            <w:pPr>
              <w:rPr>
                <w:rFonts w:eastAsia="Times New Roman"/>
                <w:sz w:val="20"/>
                <w:szCs w:val="20"/>
              </w:rPr>
            </w:pPr>
            <w:r>
              <w:rPr>
                <w:rFonts w:eastAsia="Times New Roman"/>
                <w:sz w:val="20"/>
                <w:szCs w:val="20"/>
              </w:rPr>
              <w:t> </w:t>
            </w:r>
          </w:p>
        </w:tc>
      </w:tr>
      <w:tr w:rsidR="00000000" w14:paraId="3D2BAD14" w14:textId="77777777">
        <w:tc>
          <w:tcPr>
            <w:tcW w:w="0" w:type="auto"/>
            <w:shd w:val="clear" w:color="auto" w:fill="FFFFFF"/>
            <w:vAlign w:val="bottom"/>
            <w:hideMark/>
          </w:tcPr>
          <w:p w14:paraId="5706FCC2" w14:textId="77777777" w:rsidR="00000000" w:rsidRDefault="009027A3">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421B94F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2D9BB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AD3B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588AA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CB7E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16A1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DF06D0"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151DF9" w14:textId="77777777" w:rsidR="00000000" w:rsidRDefault="009027A3">
            <w:pPr>
              <w:rPr>
                <w:rFonts w:eastAsia="Times New Roman"/>
                <w:sz w:val="20"/>
                <w:szCs w:val="20"/>
              </w:rPr>
            </w:pPr>
            <w:r>
              <w:rPr>
                <w:rFonts w:eastAsia="Times New Roman"/>
                <w:sz w:val="20"/>
                <w:szCs w:val="20"/>
              </w:rPr>
              <w:t> </w:t>
            </w:r>
          </w:p>
        </w:tc>
      </w:tr>
      <w:tr w:rsidR="00000000" w14:paraId="70818763" w14:textId="77777777">
        <w:tc>
          <w:tcPr>
            <w:tcW w:w="3000" w:type="pct"/>
            <w:shd w:val="clear" w:color="auto" w:fill="CCEEFF"/>
            <w:tcMar>
              <w:top w:w="0" w:type="dxa"/>
              <w:left w:w="200" w:type="dxa"/>
              <w:bottom w:w="0" w:type="dxa"/>
              <w:right w:w="0" w:type="dxa"/>
            </w:tcMar>
            <w:vAlign w:val="bottom"/>
            <w:hideMark/>
          </w:tcPr>
          <w:p w14:paraId="4F9BA704" w14:textId="77777777" w:rsidR="00000000" w:rsidRDefault="009027A3">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21631A9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011B41"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2F7F701F" w14:textId="77777777" w:rsidR="00000000" w:rsidRDefault="009027A3">
            <w:pPr>
              <w:jc w:val="right"/>
              <w:rPr>
                <w:rFonts w:eastAsia="Times New Roman"/>
                <w:sz w:val="20"/>
                <w:szCs w:val="20"/>
              </w:rPr>
            </w:pPr>
            <w:r>
              <w:rPr>
                <w:rFonts w:eastAsia="Times New Roman"/>
                <w:sz w:val="20"/>
                <w:szCs w:val="20"/>
              </w:rPr>
              <w:t>20,995</w:t>
            </w:r>
          </w:p>
        </w:tc>
        <w:tc>
          <w:tcPr>
            <w:tcW w:w="50" w:type="pct"/>
            <w:shd w:val="clear" w:color="auto" w:fill="CCEEFF"/>
            <w:vAlign w:val="bottom"/>
            <w:hideMark/>
          </w:tcPr>
          <w:p w14:paraId="46FD1121"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586FDD8"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C54606"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691C2613" w14:textId="77777777" w:rsidR="00000000" w:rsidRDefault="009027A3">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14:paraId="77ED9532" w14:textId="77777777" w:rsidR="00000000" w:rsidRDefault="009027A3">
            <w:pPr>
              <w:rPr>
                <w:rFonts w:eastAsia="Times New Roman"/>
                <w:sz w:val="20"/>
                <w:szCs w:val="20"/>
              </w:rPr>
            </w:pPr>
            <w:r>
              <w:rPr>
                <w:rFonts w:eastAsia="Times New Roman"/>
                <w:sz w:val="20"/>
                <w:szCs w:val="20"/>
              </w:rPr>
              <w:t> </w:t>
            </w:r>
          </w:p>
        </w:tc>
      </w:tr>
      <w:tr w:rsidR="00000000" w14:paraId="1D39A2E8" w14:textId="77777777">
        <w:tc>
          <w:tcPr>
            <w:tcW w:w="0" w:type="auto"/>
            <w:shd w:val="clear" w:color="auto" w:fill="FFFFFF"/>
            <w:tcMar>
              <w:top w:w="0" w:type="dxa"/>
              <w:left w:w="200" w:type="dxa"/>
              <w:bottom w:w="0" w:type="dxa"/>
              <w:right w:w="0" w:type="dxa"/>
            </w:tcMar>
            <w:vAlign w:val="bottom"/>
            <w:hideMark/>
          </w:tcPr>
          <w:p w14:paraId="3433D448" w14:textId="77777777" w:rsidR="00000000" w:rsidRDefault="009027A3">
            <w:pPr>
              <w:rPr>
                <w:rFonts w:eastAsia="Times New Roman"/>
                <w:sz w:val="20"/>
                <w:szCs w:val="20"/>
              </w:rPr>
            </w:pPr>
            <w:r>
              <w:rPr>
                <w:rFonts w:eastAsia="Times New Roman"/>
                <w:sz w:val="20"/>
                <w:szCs w:val="20"/>
              </w:rPr>
              <w:t>Accounts receivable - net, of allowance for doubtful accounts of $517 and $522 at March 31, 2021 and December 31, 2020, respectively</w:t>
            </w:r>
          </w:p>
        </w:tc>
        <w:tc>
          <w:tcPr>
            <w:tcW w:w="0" w:type="auto"/>
            <w:shd w:val="clear" w:color="auto" w:fill="FFFFFF"/>
            <w:vAlign w:val="bottom"/>
            <w:hideMark/>
          </w:tcPr>
          <w:p w14:paraId="436396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5D15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8BC075" w14:textId="77777777" w:rsidR="00000000" w:rsidRDefault="009027A3">
            <w:pPr>
              <w:jc w:val="right"/>
              <w:rPr>
                <w:rFonts w:eastAsia="Times New Roman"/>
                <w:sz w:val="20"/>
                <w:szCs w:val="20"/>
              </w:rPr>
            </w:pPr>
            <w:r>
              <w:rPr>
                <w:rFonts w:eastAsia="Times New Roman"/>
                <w:sz w:val="20"/>
                <w:szCs w:val="20"/>
              </w:rPr>
              <w:t>12,419</w:t>
            </w:r>
          </w:p>
        </w:tc>
        <w:tc>
          <w:tcPr>
            <w:tcW w:w="0" w:type="auto"/>
            <w:shd w:val="clear" w:color="auto" w:fill="FFFFFF"/>
            <w:vAlign w:val="bottom"/>
            <w:hideMark/>
          </w:tcPr>
          <w:p w14:paraId="70630C8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4E14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31DD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D5C30" w14:textId="77777777" w:rsidR="00000000" w:rsidRDefault="009027A3">
            <w:pPr>
              <w:jc w:val="right"/>
              <w:rPr>
                <w:rFonts w:eastAsia="Times New Roman"/>
                <w:sz w:val="20"/>
                <w:szCs w:val="20"/>
              </w:rPr>
            </w:pPr>
            <w:r>
              <w:rPr>
                <w:rFonts w:eastAsia="Times New Roman"/>
                <w:sz w:val="20"/>
                <w:szCs w:val="20"/>
              </w:rPr>
              <w:t>12,089</w:t>
            </w:r>
          </w:p>
        </w:tc>
        <w:tc>
          <w:tcPr>
            <w:tcW w:w="0" w:type="auto"/>
            <w:shd w:val="clear" w:color="auto" w:fill="FFFFFF"/>
            <w:vAlign w:val="bottom"/>
            <w:hideMark/>
          </w:tcPr>
          <w:p w14:paraId="60865A0E" w14:textId="77777777" w:rsidR="00000000" w:rsidRDefault="009027A3">
            <w:pPr>
              <w:rPr>
                <w:rFonts w:eastAsia="Times New Roman"/>
                <w:sz w:val="20"/>
                <w:szCs w:val="20"/>
              </w:rPr>
            </w:pPr>
            <w:r>
              <w:rPr>
                <w:rFonts w:eastAsia="Times New Roman"/>
                <w:sz w:val="20"/>
                <w:szCs w:val="20"/>
              </w:rPr>
              <w:t> </w:t>
            </w:r>
          </w:p>
        </w:tc>
      </w:tr>
      <w:tr w:rsidR="00000000" w14:paraId="3468EDC5" w14:textId="77777777">
        <w:tc>
          <w:tcPr>
            <w:tcW w:w="0" w:type="auto"/>
            <w:shd w:val="clear" w:color="auto" w:fill="CCEEFF"/>
            <w:tcMar>
              <w:top w:w="0" w:type="dxa"/>
              <w:left w:w="200" w:type="dxa"/>
              <w:bottom w:w="0" w:type="dxa"/>
              <w:right w:w="0" w:type="dxa"/>
            </w:tcMar>
            <w:vAlign w:val="bottom"/>
            <w:hideMark/>
          </w:tcPr>
          <w:p w14:paraId="472B4D43" w14:textId="77777777" w:rsidR="00000000" w:rsidRDefault="009027A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633FD8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126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89839" w14:textId="77777777" w:rsidR="00000000" w:rsidRDefault="009027A3">
            <w:pPr>
              <w:jc w:val="right"/>
              <w:rPr>
                <w:rFonts w:eastAsia="Times New Roman"/>
                <w:sz w:val="20"/>
                <w:szCs w:val="20"/>
              </w:rPr>
            </w:pPr>
            <w:r>
              <w:rPr>
                <w:rFonts w:eastAsia="Times New Roman"/>
                <w:sz w:val="20"/>
                <w:szCs w:val="20"/>
              </w:rPr>
              <w:t>4,375</w:t>
            </w:r>
          </w:p>
        </w:tc>
        <w:tc>
          <w:tcPr>
            <w:tcW w:w="0" w:type="auto"/>
            <w:shd w:val="clear" w:color="auto" w:fill="CCEEFF"/>
            <w:vAlign w:val="bottom"/>
            <w:hideMark/>
          </w:tcPr>
          <w:p w14:paraId="6424A1F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656F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689AE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0C3902" w14:textId="77777777" w:rsidR="00000000" w:rsidRDefault="009027A3">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14:paraId="71F3E36E" w14:textId="77777777" w:rsidR="00000000" w:rsidRDefault="009027A3">
            <w:pPr>
              <w:rPr>
                <w:rFonts w:eastAsia="Times New Roman"/>
                <w:sz w:val="20"/>
                <w:szCs w:val="20"/>
              </w:rPr>
            </w:pPr>
            <w:r>
              <w:rPr>
                <w:rFonts w:eastAsia="Times New Roman"/>
                <w:sz w:val="20"/>
                <w:szCs w:val="20"/>
              </w:rPr>
              <w:t> </w:t>
            </w:r>
          </w:p>
        </w:tc>
      </w:tr>
      <w:tr w:rsidR="00000000" w14:paraId="7EDAA918" w14:textId="77777777">
        <w:tc>
          <w:tcPr>
            <w:tcW w:w="0" w:type="auto"/>
            <w:shd w:val="clear" w:color="auto" w:fill="FFFFFF"/>
            <w:tcMar>
              <w:top w:w="0" w:type="dxa"/>
              <w:left w:w="200" w:type="dxa"/>
              <w:bottom w:w="0" w:type="dxa"/>
              <w:right w:w="0" w:type="dxa"/>
            </w:tcMar>
            <w:vAlign w:val="bottom"/>
            <w:hideMark/>
          </w:tcPr>
          <w:p w14:paraId="38766D51" w14:textId="77777777" w:rsidR="00000000" w:rsidRDefault="009027A3">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324C92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0A6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8779F" w14:textId="77777777" w:rsidR="00000000" w:rsidRDefault="009027A3">
            <w:pPr>
              <w:jc w:val="right"/>
              <w:rPr>
                <w:rFonts w:eastAsia="Times New Roman"/>
                <w:sz w:val="20"/>
                <w:szCs w:val="20"/>
              </w:rPr>
            </w:pPr>
            <w:r>
              <w:rPr>
                <w:rFonts w:eastAsia="Times New Roman"/>
                <w:sz w:val="20"/>
                <w:szCs w:val="20"/>
              </w:rPr>
              <w:t>379</w:t>
            </w:r>
          </w:p>
        </w:tc>
        <w:tc>
          <w:tcPr>
            <w:tcW w:w="0" w:type="auto"/>
            <w:shd w:val="clear" w:color="auto" w:fill="FFFFFF"/>
            <w:vAlign w:val="bottom"/>
            <w:hideMark/>
          </w:tcPr>
          <w:p w14:paraId="0F81F0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71F2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42338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C02D52" w14:textId="77777777" w:rsidR="00000000" w:rsidRDefault="009027A3">
            <w:pPr>
              <w:jc w:val="right"/>
              <w:rPr>
                <w:rFonts w:eastAsia="Times New Roman"/>
                <w:sz w:val="20"/>
                <w:szCs w:val="20"/>
              </w:rPr>
            </w:pPr>
            <w:r>
              <w:rPr>
                <w:rFonts w:eastAsia="Times New Roman"/>
                <w:sz w:val="20"/>
                <w:szCs w:val="20"/>
              </w:rPr>
              <w:t>399</w:t>
            </w:r>
          </w:p>
        </w:tc>
        <w:tc>
          <w:tcPr>
            <w:tcW w:w="0" w:type="auto"/>
            <w:shd w:val="clear" w:color="auto" w:fill="FFFFFF"/>
            <w:vAlign w:val="bottom"/>
            <w:hideMark/>
          </w:tcPr>
          <w:p w14:paraId="449763C0" w14:textId="77777777" w:rsidR="00000000" w:rsidRDefault="009027A3">
            <w:pPr>
              <w:rPr>
                <w:rFonts w:eastAsia="Times New Roman"/>
                <w:sz w:val="20"/>
                <w:szCs w:val="20"/>
              </w:rPr>
            </w:pPr>
            <w:r>
              <w:rPr>
                <w:rFonts w:eastAsia="Times New Roman"/>
                <w:sz w:val="20"/>
                <w:szCs w:val="20"/>
              </w:rPr>
              <w:t> </w:t>
            </w:r>
          </w:p>
        </w:tc>
      </w:tr>
      <w:tr w:rsidR="00000000" w14:paraId="0F057A3E" w14:textId="77777777">
        <w:tc>
          <w:tcPr>
            <w:tcW w:w="0" w:type="auto"/>
            <w:shd w:val="clear" w:color="auto" w:fill="CCEEFF"/>
            <w:tcMar>
              <w:top w:w="0" w:type="dxa"/>
              <w:left w:w="200" w:type="dxa"/>
              <w:bottom w:w="0" w:type="dxa"/>
              <w:right w:w="0" w:type="dxa"/>
            </w:tcMar>
            <w:vAlign w:val="bottom"/>
            <w:hideMark/>
          </w:tcPr>
          <w:p w14:paraId="25960797" w14:textId="77777777" w:rsidR="00000000" w:rsidRDefault="009027A3">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07ADE7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F83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73FB5E" w14:textId="77777777" w:rsidR="00000000" w:rsidRDefault="009027A3">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537F16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10F6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968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FF8D8" w14:textId="77777777" w:rsidR="00000000" w:rsidRDefault="009027A3">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417A61C4" w14:textId="77777777" w:rsidR="00000000" w:rsidRDefault="009027A3">
            <w:pPr>
              <w:rPr>
                <w:rFonts w:eastAsia="Times New Roman"/>
                <w:sz w:val="20"/>
                <w:szCs w:val="20"/>
              </w:rPr>
            </w:pPr>
            <w:r>
              <w:rPr>
                <w:rFonts w:eastAsia="Times New Roman"/>
                <w:sz w:val="20"/>
                <w:szCs w:val="20"/>
              </w:rPr>
              <w:t> </w:t>
            </w:r>
          </w:p>
        </w:tc>
      </w:tr>
      <w:tr w:rsidR="00000000" w14:paraId="0416E19A" w14:textId="77777777">
        <w:tc>
          <w:tcPr>
            <w:tcW w:w="0" w:type="auto"/>
            <w:shd w:val="clear" w:color="auto" w:fill="FFFFFF"/>
            <w:tcMar>
              <w:top w:w="0" w:type="dxa"/>
              <w:left w:w="200" w:type="dxa"/>
              <w:bottom w:w="30" w:type="dxa"/>
              <w:right w:w="0" w:type="dxa"/>
            </w:tcMar>
            <w:vAlign w:val="bottom"/>
            <w:hideMark/>
          </w:tcPr>
          <w:p w14:paraId="602F4E6D" w14:textId="77777777" w:rsidR="00000000" w:rsidRDefault="009027A3">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11E0846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43AD2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573757" w14:textId="77777777" w:rsidR="00000000" w:rsidRDefault="009027A3">
            <w:pPr>
              <w:jc w:val="right"/>
              <w:rPr>
                <w:rFonts w:eastAsia="Times New Roman"/>
                <w:sz w:val="20"/>
                <w:szCs w:val="20"/>
              </w:rPr>
            </w:pPr>
            <w:r>
              <w:rPr>
                <w:rFonts w:eastAsia="Times New Roman"/>
                <w:sz w:val="20"/>
                <w:szCs w:val="20"/>
              </w:rPr>
              <w:t>7,067</w:t>
            </w:r>
          </w:p>
        </w:tc>
        <w:tc>
          <w:tcPr>
            <w:tcW w:w="0" w:type="auto"/>
            <w:shd w:val="clear" w:color="auto" w:fill="FFFFFF"/>
            <w:tcMar>
              <w:top w:w="0" w:type="dxa"/>
              <w:left w:w="0" w:type="dxa"/>
              <w:bottom w:w="30" w:type="dxa"/>
              <w:right w:w="0" w:type="dxa"/>
            </w:tcMar>
            <w:vAlign w:val="bottom"/>
            <w:hideMark/>
          </w:tcPr>
          <w:p w14:paraId="24F2F40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78867D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047EE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84DE39" w14:textId="77777777" w:rsidR="00000000" w:rsidRDefault="009027A3">
            <w:pPr>
              <w:jc w:val="right"/>
              <w:rPr>
                <w:rFonts w:eastAsia="Times New Roman"/>
                <w:sz w:val="20"/>
                <w:szCs w:val="20"/>
              </w:rPr>
            </w:pPr>
            <w:r>
              <w:rPr>
                <w:rFonts w:eastAsia="Times New Roman"/>
                <w:sz w:val="20"/>
                <w:szCs w:val="20"/>
              </w:rPr>
              <w:t>7,288</w:t>
            </w:r>
          </w:p>
        </w:tc>
        <w:tc>
          <w:tcPr>
            <w:tcW w:w="0" w:type="auto"/>
            <w:shd w:val="clear" w:color="auto" w:fill="FFFFFF"/>
            <w:tcMar>
              <w:top w:w="0" w:type="dxa"/>
              <w:left w:w="0" w:type="dxa"/>
              <w:bottom w:w="30" w:type="dxa"/>
              <w:right w:w="0" w:type="dxa"/>
            </w:tcMar>
            <w:vAlign w:val="bottom"/>
            <w:hideMark/>
          </w:tcPr>
          <w:p w14:paraId="2E4E120A" w14:textId="77777777" w:rsidR="00000000" w:rsidRDefault="009027A3">
            <w:pPr>
              <w:rPr>
                <w:rFonts w:eastAsia="Times New Roman"/>
                <w:sz w:val="20"/>
                <w:szCs w:val="20"/>
              </w:rPr>
            </w:pPr>
            <w:r>
              <w:rPr>
                <w:rFonts w:eastAsia="Times New Roman"/>
                <w:sz w:val="20"/>
                <w:szCs w:val="20"/>
              </w:rPr>
              <w:t> </w:t>
            </w:r>
          </w:p>
        </w:tc>
      </w:tr>
      <w:tr w:rsidR="00000000" w14:paraId="7EC6C14F" w14:textId="77777777">
        <w:tc>
          <w:tcPr>
            <w:tcW w:w="0" w:type="auto"/>
            <w:shd w:val="clear" w:color="auto" w:fill="CCEEFF"/>
            <w:tcMar>
              <w:top w:w="0" w:type="dxa"/>
              <w:left w:w="400" w:type="dxa"/>
              <w:bottom w:w="0" w:type="dxa"/>
              <w:right w:w="0" w:type="dxa"/>
            </w:tcMar>
            <w:vAlign w:val="bottom"/>
            <w:hideMark/>
          </w:tcPr>
          <w:p w14:paraId="7CD98DDC" w14:textId="77777777" w:rsidR="00000000" w:rsidRDefault="009027A3">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412424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9D5F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4AB43" w14:textId="77777777" w:rsidR="00000000" w:rsidRDefault="009027A3">
            <w:pPr>
              <w:jc w:val="right"/>
              <w:rPr>
                <w:rFonts w:eastAsia="Times New Roman"/>
                <w:sz w:val="20"/>
                <w:szCs w:val="20"/>
              </w:rPr>
            </w:pPr>
            <w:r>
              <w:rPr>
                <w:rFonts w:eastAsia="Times New Roman"/>
                <w:sz w:val="20"/>
                <w:szCs w:val="20"/>
              </w:rPr>
              <w:t>45,248</w:t>
            </w:r>
          </w:p>
        </w:tc>
        <w:tc>
          <w:tcPr>
            <w:tcW w:w="0" w:type="auto"/>
            <w:shd w:val="clear" w:color="auto" w:fill="CCEEFF"/>
            <w:vAlign w:val="bottom"/>
            <w:hideMark/>
          </w:tcPr>
          <w:p w14:paraId="38DADF5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B7CB3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B4A4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5C7A94" w14:textId="77777777" w:rsidR="00000000" w:rsidRDefault="009027A3">
            <w:pPr>
              <w:jc w:val="right"/>
              <w:rPr>
                <w:rFonts w:eastAsia="Times New Roman"/>
                <w:sz w:val="20"/>
                <w:szCs w:val="20"/>
              </w:rPr>
            </w:pPr>
            <w:r>
              <w:rPr>
                <w:rFonts w:eastAsia="Times New Roman"/>
                <w:sz w:val="20"/>
                <w:szCs w:val="20"/>
              </w:rPr>
              <w:t>44,819</w:t>
            </w:r>
          </w:p>
        </w:tc>
        <w:tc>
          <w:tcPr>
            <w:tcW w:w="0" w:type="auto"/>
            <w:shd w:val="clear" w:color="auto" w:fill="CCEEFF"/>
            <w:vAlign w:val="bottom"/>
            <w:hideMark/>
          </w:tcPr>
          <w:p w14:paraId="15D746E0" w14:textId="77777777" w:rsidR="00000000" w:rsidRDefault="009027A3">
            <w:pPr>
              <w:rPr>
                <w:rFonts w:eastAsia="Times New Roman"/>
                <w:sz w:val="20"/>
                <w:szCs w:val="20"/>
              </w:rPr>
            </w:pPr>
            <w:r>
              <w:rPr>
                <w:rFonts w:eastAsia="Times New Roman"/>
                <w:sz w:val="20"/>
                <w:szCs w:val="20"/>
              </w:rPr>
              <w:t> </w:t>
            </w:r>
          </w:p>
        </w:tc>
      </w:tr>
      <w:tr w:rsidR="00000000" w14:paraId="01F76805" w14:textId="77777777">
        <w:tc>
          <w:tcPr>
            <w:tcW w:w="0" w:type="auto"/>
            <w:shd w:val="clear" w:color="auto" w:fill="FFFFFF"/>
            <w:tcMar>
              <w:top w:w="0" w:type="dxa"/>
              <w:left w:w="200" w:type="dxa"/>
              <w:bottom w:w="0" w:type="dxa"/>
              <w:right w:w="0" w:type="dxa"/>
            </w:tcMar>
            <w:vAlign w:val="bottom"/>
            <w:hideMark/>
          </w:tcPr>
          <w:p w14:paraId="29F2EDE9" w14:textId="77777777" w:rsidR="00000000" w:rsidRDefault="009027A3">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679DC1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0260D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AD0C8" w14:textId="77777777" w:rsidR="00000000" w:rsidRDefault="009027A3">
            <w:pPr>
              <w:jc w:val="right"/>
              <w:rPr>
                <w:rFonts w:eastAsia="Times New Roman"/>
                <w:sz w:val="20"/>
                <w:szCs w:val="20"/>
              </w:rPr>
            </w:pPr>
            <w:r>
              <w:rPr>
                <w:rFonts w:eastAsia="Times New Roman"/>
                <w:sz w:val="20"/>
                <w:szCs w:val="20"/>
              </w:rPr>
              <w:t>5,323</w:t>
            </w:r>
          </w:p>
        </w:tc>
        <w:tc>
          <w:tcPr>
            <w:tcW w:w="0" w:type="auto"/>
            <w:shd w:val="clear" w:color="auto" w:fill="FFFFFF"/>
            <w:vAlign w:val="bottom"/>
            <w:hideMark/>
          </w:tcPr>
          <w:p w14:paraId="293861F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354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5C0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12ED0" w14:textId="77777777" w:rsidR="00000000" w:rsidRDefault="009027A3">
            <w:pPr>
              <w:jc w:val="right"/>
              <w:rPr>
                <w:rFonts w:eastAsia="Times New Roman"/>
                <w:sz w:val="20"/>
                <w:szCs w:val="20"/>
              </w:rPr>
            </w:pPr>
            <w:r>
              <w:rPr>
                <w:rFonts w:eastAsia="Times New Roman"/>
                <w:sz w:val="20"/>
                <w:szCs w:val="20"/>
              </w:rPr>
              <w:t>4,921</w:t>
            </w:r>
          </w:p>
        </w:tc>
        <w:tc>
          <w:tcPr>
            <w:tcW w:w="0" w:type="auto"/>
            <w:shd w:val="clear" w:color="auto" w:fill="FFFFFF"/>
            <w:vAlign w:val="bottom"/>
            <w:hideMark/>
          </w:tcPr>
          <w:p w14:paraId="3FFDAD8A" w14:textId="77777777" w:rsidR="00000000" w:rsidRDefault="009027A3">
            <w:pPr>
              <w:rPr>
                <w:rFonts w:eastAsia="Times New Roman"/>
                <w:sz w:val="20"/>
                <w:szCs w:val="20"/>
              </w:rPr>
            </w:pPr>
            <w:r>
              <w:rPr>
                <w:rFonts w:eastAsia="Times New Roman"/>
                <w:sz w:val="20"/>
                <w:szCs w:val="20"/>
              </w:rPr>
              <w:t> </w:t>
            </w:r>
          </w:p>
        </w:tc>
      </w:tr>
      <w:tr w:rsidR="00000000" w14:paraId="101BBC44" w14:textId="77777777">
        <w:tc>
          <w:tcPr>
            <w:tcW w:w="0" w:type="auto"/>
            <w:shd w:val="clear" w:color="auto" w:fill="CCEEFF"/>
            <w:tcMar>
              <w:top w:w="0" w:type="dxa"/>
              <w:left w:w="200" w:type="dxa"/>
              <w:bottom w:w="0" w:type="dxa"/>
              <w:right w:w="0" w:type="dxa"/>
            </w:tcMar>
            <w:vAlign w:val="bottom"/>
            <w:hideMark/>
          </w:tcPr>
          <w:p w14:paraId="0B5E35FA" w14:textId="77777777" w:rsidR="00000000" w:rsidRDefault="009027A3">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3849671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5328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FD9F5" w14:textId="77777777" w:rsidR="00000000" w:rsidRDefault="009027A3">
            <w:pPr>
              <w:jc w:val="right"/>
              <w:rPr>
                <w:rFonts w:eastAsia="Times New Roman"/>
                <w:sz w:val="20"/>
                <w:szCs w:val="20"/>
              </w:rPr>
            </w:pPr>
            <w:r>
              <w:rPr>
                <w:rFonts w:eastAsia="Times New Roman"/>
                <w:sz w:val="20"/>
                <w:szCs w:val="20"/>
              </w:rPr>
              <w:t>7,075</w:t>
            </w:r>
          </w:p>
        </w:tc>
        <w:tc>
          <w:tcPr>
            <w:tcW w:w="0" w:type="auto"/>
            <w:shd w:val="clear" w:color="auto" w:fill="CCEEFF"/>
            <w:vAlign w:val="bottom"/>
            <w:hideMark/>
          </w:tcPr>
          <w:p w14:paraId="430943F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19B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B04E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375D2B" w14:textId="77777777" w:rsidR="00000000" w:rsidRDefault="009027A3">
            <w:pPr>
              <w:jc w:val="right"/>
              <w:rPr>
                <w:rFonts w:eastAsia="Times New Roman"/>
                <w:sz w:val="20"/>
                <w:szCs w:val="20"/>
              </w:rPr>
            </w:pPr>
            <w:r>
              <w:rPr>
                <w:rFonts w:eastAsia="Times New Roman"/>
                <w:sz w:val="20"/>
                <w:szCs w:val="20"/>
              </w:rPr>
              <w:t>7,743</w:t>
            </w:r>
          </w:p>
        </w:tc>
        <w:tc>
          <w:tcPr>
            <w:tcW w:w="0" w:type="auto"/>
            <w:shd w:val="clear" w:color="auto" w:fill="CCEEFF"/>
            <w:vAlign w:val="bottom"/>
            <w:hideMark/>
          </w:tcPr>
          <w:p w14:paraId="55FE1941" w14:textId="77777777" w:rsidR="00000000" w:rsidRDefault="009027A3">
            <w:pPr>
              <w:rPr>
                <w:rFonts w:eastAsia="Times New Roman"/>
                <w:sz w:val="20"/>
                <w:szCs w:val="20"/>
              </w:rPr>
            </w:pPr>
            <w:r>
              <w:rPr>
                <w:rFonts w:eastAsia="Times New Roman"/>
                <w:sz w:val="20"/>
                <w:szCs w:val="20"/>
              </w:rPr>
              <w:t> </w:t>
            </w:r>
          </w:p>
        </w:tc>
      </w:tr>
      <w:tr w:rsidR="00000000" w14:paraId="5CE17EC9" w14:textId="77777777">
        <w:tc>
          <w:tcPr>
            <w:tcW w:w="0" w:type="auto"/>
            <w:shd w:val="clear" w:color="auto" w:fill="FFFFFF"/>
            <w:tcMar>
              <w:top w:w="0" w:type="dxa"/>
              <w:left w:w="200" w:type="dxa"/>
              <w:bottom w:w="0" w:type="dxa"/>
              <w:right w:w="0" w:type="dxa"/>
            </w:tcMar>
            <w:vAlign w:val="bottom"/>
            <w:hideMark/>
          </w:tcPr>
          <w:p w14:paraId="13123487" w14:textId="77777777" w:rsidR="00000000" w:rsidRDefault="009027A3">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3C75DE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454A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04843" w14:textId="77777777" w:rsidR="00000000" w:rsidRDefault="009027A3">
            <w:pPr>
              <w:jc w:val="right"/>
              <w:rPr>
                <w:rFonts w:eastAsia="Times New Roman"/>
                <w:sz w:val="20"/>
                <w:szCs w:val="20"/>
              </w:rPr>
            </w:pPr>
            <w:r>
              <w:rPr>
                <w:rFonts w:eastAsia="Times New Roman"/>
                <w:sz w:val="20"/>
                <w:szCs w:val="20"/>
              </w:rPr>
              <w:t>29,166</w:t>
            </w:r>
          </w:p>
        </w:tc>
        <w:tc>
          <w:tcPr>
            <w:tcW w:w="0" w:type="auto"/>
            <w:shd w:val="clear" w:color="auto" w:fill="FFFFFF"/>
            <w:vAlign w:val="bottom"/>
            <w:hideMark/>
          </w:tcPr>
          <w:p w14:paraId="70C0F1A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3802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8A5B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980B7" w14:textId="77777777" w:rsidR="00000000" w:rsidRDefault="009027A3">
            <w:pPr>
              <w:jc w:val="right"/>
              <w:rPr>
                <w:rFonts w:eastAsia="Times New Roman"/>
                <w:sz w:val="20"/>
                <w:szCs w:val="20"/>
              </w:rPr>
            </w:pPr>
            <w:r>
              <w:rPr>
                <w:rFonts w:eastAsia="Times New Roman"/>
                <w:sz w:val="20"/>
                <w:szCs w:val="20"/>
              </w:rPr>
              <w:t>29,978</w:t>
            </w:r>
          </w:p>
        </w:tc>
        <w:tc>
          <w:tcPr>
            <w:tcW w:w="0" w:type="auto"/>
            <w:shd w:val="clear" w:color="auto" w:fill="FFFFFF"/>
            <w:vAlign w:val="bottom"/>
            <w:hideMark/>
          </w:tcPr>
          <w:p w14:paraId="1C2BF1A1" w14:textId="77777777" w:rsidR="00000000" w:rsidRDefault="009027A3">
            <w:pPr>
              <w:rPr>
                <w:rFonts w:eastAsia="Times New Roman"/>
                <w:sz w:val="20"/>
                <w:szCs w:val="20"/>
              </w:rPr>
            </w:pPr>
            <w:r>
              <w:rPr>
                <w:rFonts w:eastAsia="Times New Roman"/>
                <w:sz w:val="20"/>
                <w:szCs w:val="20"/>
              </w:rPr>
              <w:t> </w:t>
            </w:r>
          </w:p>
        </w:tc>
      </w:tr>
      <w:tr w:rsidR="00000000" w14:paraId="5627B95F" w14:textId="77777777">
        <w:tc>
          <w:tcPr>
            <w:tcW w:w="0" w:type="auto"/>
            <w:shd w:val="clear" w:color="auto" w:fill="CCEEFF"/>
            <w:tcMar>
              <w:top w:w="0" w:type="dxa"/>
              <w:left w:w="200" w:type="dxa"/>
              <w:bottom w:w="0" w:type="dxa"/>
              <w:right w:w="0" w:type="dxa"/>
            </w:tcMar>
            <w:vAlign w:val="bottom"/>
            <w:hideMark/>
          </w:tcPr>
          <w:p w14:paraId="51C9C1EE" w14:textId="77777777" w:rsidR="00000000" w:rsidRDefault="009027A3">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4421AA4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EC92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6AE36" w14:textId="77777777" w:rsidR="00000000" w:rsidRDefault="009027A3">
            <w:pPr>
              <w:jc w:val="right"/>
              <w:rPr>
                <w:rFonts w:eastAsia="Times New Roman"/>
                <w:sz w:val="20"/>
                <w:szCs w:val="20"/>
              </w:rPr>
            </w:pPr>
            <w:r>
              <w:rPr>
                <w:rFonts w:eastAsia="Times New Roman"/>
                <w:sz w:val="20"/>
                <w:szCs w:val="20"/>
              </w:rPr>
              <w:t>49,291</w:t>
            </w:r>
          </w:p>
        </w:tc>
        <w:tc>
          <w:tcPr>
            <w:tcW w:w="0" w:type="auto"/>
            <w:shd w:val="clear" w:color="auto" w:fill="CCEEFF"/>
            <w:vAlign w:val="bottom"/>
            <w:hideMark/>
          </w:tcPr>
          <w:p w14:paraId="0B1622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3ED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8321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56B74" w14:textId="77777777" w:rsidR="00000000" w:rsidRDefault="009027A3">
            <w:pPr>
              <w:jc w:val="right"/>
              <w:rPr>
                <w:rFonts w:eastAsia="Times New Roman"/>
                <w:sz w:val="20"/>
                <w:szCs w:val="20"/>
              </w:rPr>
            </w:pPr>
            <w:r>
              <w:rPr>
                <w:rFonts w:eastAsia="Times New Roman"/>
                <w:sz w:val="20"/>
                <w:szCs w:val="20"/>
              </w:rPr>
              <w:t>49,291</w:t>
            </w:r>
          </w:p>
        </w:tc>
        <w:tc>
          <w:tcPr>
            <w:tcW w:w="0" w:type="auto"/>
            <w:shd w:val="clear" w:color="auto" w:fill="CCEEFF"/>
            <w:vAlign w:val="bottom"/>
            <w:hideMark/>
          </w:tcPr>
          <w:p w14:paraId="7C57FA3C" w14:textId="77777777" w:rsidR="00000000" w:rsidRDefault="009027A3">
            <w:pPr>
              <w:rPr>
                <w:rFonts w:eastAsia="Times New Roman"/>
                <w:sz w:val="20"/>
                <w:szCs w:val="20"/>
              </w:rPr>
            </w:pPr>
            <w:r>
              <w:rPr>
                <w:rFonts w:eastAsia="Times New Roman"/>
                <w:sz w:val="20"/>
                <w:szCs w:val="20"/>
              </w:rPr>
              <w:t> </w:t>
            </w:r>
          </w:p>
        </w:tc>
      </w:tr>
      <w:tr w:rsidR="00000000" w14:paraId="38646BBB" w14:textId="77777777">
        <w:tc>
          <w:tcPr>
            <w:tcW w:w="0" w:type="auto"/>
            <w:shd w:val="clear" w:color="auto" w:fill="FFFFFF"/>
            <w:tcMar>
              <w:top w:w="0" w:type="dxa"/>
              <w:left w:w="200" w:type="dxa"/>
              <w:bottom w:w="30" w:type="dxa"/>
              <w:right w:w="0" w:type="dxa"/>
            </w:tcMar>
            <w:vAlign w:val="bottom"/>
            <w:hideMark/>
          </w:tcPr>
          <w:p w14:paraId="4CFF5457" w14:textId="77777777" w:rsidR="00000000" w:rsidRDefault="009027A3">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7A537DD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0FCB6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FB9CC4" w14:textId="77777777" w:rsidR="00000000" w:rsidRDefault="009027A3">
            <w:pPr>
              <w:jc w:val="right"/>
              <w:rPr>
                <w:rFonts w:eastAsia="Times New Roman"/>
                <w:sz w:val="20"/>
                <w:szCs w:val="20"/>
              </w:rPr>
            </w:pPr>
            <w:r>
              <w:rPr>
                <w:rFonts w:eastAsia="Times New Roman"/>
                <w:sz w:val="20"/>
                <w:szCs w:val="20"/>
              </w:rPr>
              <w:t>1,323</w:t>
            </w:r>
          </w:p>
        </w:tc>
        <w:tc>
          <w:tcPr>
            <w:tcW w:w="0" w:type="auto"/>
            <w:shd w:val="clear" w:color="auto" w:fill="FFFFFF"/>
            <w:tcMar>
              <w:top w:w="0" w:type="dxa"/>
              <w:left w:w="0" w:type="dxa"/>
              <w:bottom w:w="30" w:type="dxa"/>
              <w:right w:w="0" w:type="dxa"/>
            </w:tcMar>
            <w:vAlign w:val="bottom"/>
            <w:hideMark/>
          </w:tcPr>
          <w:p w14:paraId="57B9DD6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06F75D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0950A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685822" w14:textId="77777777" w:rsidR="00000000" w:rsidRDefault="009027A3">
            <w:pPr>
              <w:jc w:val="right"/>
              <w:rPr>
                <w:rFonts w:eastAsia="Times New Roman"/>
                <w:sz w:val="20"/>
                <w:szCs w:val="20"/>
              </w:rPr>
            </w:pPr>
            <w:r>
              <w:rPr>
                <w:rFonts w:eastAsia="Times New Roman"/>
                <w:sz w:val="20"/>
                <w:szCs w:val="20"/>
              </w:rPr>
              <w:t>1,247</w:t>
            </w:r>
          </w:p>
        </w:tc>
        <w:tc>
          <w:tcPr>
            <w:tcW w:w="0" w:type="auto"/>
            <w:shd w:val="clear" w:color="auto" w:fill="FFFFFF"/>
            <w:tcMar>
              <w:top w:w="0" w:type="dxa"/>
              <w:left w:w="0" w:type="dxa"/>
              <w:bottom w:w="30" w:type="dxa"/>
              <w:right w:w="0" w:type="dxa"/>
            </w:tcMar>
            <w:vAlign w:val="bottom"/>
            <w:hideMark/>
          </w:tcPr>
          <w:p w14:paraId="1509EA0B" w14:textId="77777777" w:rsidR="00000000" w:rsidRDefault="009027A3">
            <w:pPr>
              <w:rPr>
                <w:rFonts w:eastAsia="Times New Roman"/>
                <w:sz w:val="20"/>
                <w:szCs w:val="20"/>
              </w:rPr>
            </w:pPr>
            <w:r>
              <w:rPr>
                <w:rFonts w:eastAsia="Times New Roman"/>
                <w:sz w:val="20"/>
                <w:szCs w:val="20"/>
              </w:rPr>
              <w:t> </w:t>
            </w:r>
          </w:p>
        </w:tc>
      </w:tr>
      <w:tr w:rsidR="00000000" w14:paraId="601E76A5" w14:textId="77777777">
        <w:tc>
          <w:tcPr>
            <w:tcW w:w="0" w:type="auto"/>
            <w:shd w:val="clear" w:color="auto" w:fill="CCEEFF"/>
            <w:tcMar>
              <w:top w:w="0" w:type="dxa"/>
              <w:left w:w="0" w:type="dxa"/>
              <w:bottom w:w="50" w:type="dxa"/>
              <w:right w:w="0" w:type="dxa"/>
            </w:tcMar>
            <w:vAlign w:val="bottom"/>
            <w:hideMark/>
          </w:tcPr>
          <w:p w14:paraId="7F85C690" w14:textId="77777777" w:rsidR="00000000" w:rsidRDefault="009027A3">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4A1F762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404891D"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0CFA4C" w14:textId="77777777" w:rsidR="00000000" w:rsidRDefault="009027A3">
            <w:pPr>
              <w:jc w:val="right"/>
              <w:rPr>
                <w:rFonts w:eastAsia="Times New Roman"/>
                <w:sz w:val="20"/>
                <w:szCs w:val="20"/>
              </w:rPr>
            </w:pPr>
            <w:r>
              <w:rPr>
                <w:rFonts w:eastAsia="Times New Roman"/>
                <w:sz w:val="20"/>
                <w:szCs w:val="20"/>
              </w:rPr>
              <w:t>137,426</w:t>
            </w:r>
          </w:p>
        </w:tc>
        <w:tc>
          <w:tcPr>
            <w:tcW w:w="0" w:type="auto"/>
            <w:shd w:val="clear" w:color="auto" w:fill="CCEEFF"/>
            <w:tcMar>
              <w:top w:w="0" w:type="dxa"/>
              <w:left w:w="0" w:type="dxa"/>
              <w:bottom w:w="50" w:type="dxa"/>
              <w:right w:w="0" w:type="dxa"/>
            </w:tcMar>
            <w:vAlign w:val="bottom"/>
            <w:hideMark/>
          </w:tcPr>
          <w:p w14:paraId="65EB0A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4FEC8F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D71486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DF2B377" w14:textId="77777777" w:rsidR="00000000" w:rsidRDefault="009027A3">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14:paraId="22DBAA3C" w14:textId="77777777" w:rsidR="00000000" w:rsidRDefault="009027A3">
            <w:pPr>
              <w:rPr>
                <w:rFonts w:eastAsia="Times New Roman"/>
                <w:sz w:val="20"/>
                <w:szCs w:val="20"/>
              </w:rPr>
            </w:pPr>
            <w:r>
              <w:rPr>
                <w:rFonts w:eastAsia="Times New Roman"/>
                <w:sz w:val="20"/>
                <w:szCs w:val="20"/>
              </w:rPr>
              <w:t> </w:t>
            </w:r>
          </w:p>
        </w:tc>
      </w:tr>
      <w:tr w:rsidR="00000000" w14:paraId="1022A9D4" w14:textId="77777777">
        <w:tc>
          <w:tcPr>
            <w:tcW w:w="0" w:type="auto"/>
            <w:shd w:val="clear" w:color="auto" w:fill="FFFFFF"/>
            <w:vAlign w:val="bottom"/>
            <w:hideMark/>
          </w:tcPr>
          <w:p w14:paraId="0BBA7049" w14:textId="77777777" w:rsidR="00000000" w:rsidRDefault="009027A3">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0A7259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0451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7707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C1D7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78F10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3A1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1EB85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931F3F" w14:textId="77777777" w:rsidR="00000000" w:rsidRDefault="009027A3">
            <w:pPr>
              <w:rPr>
                <w:rFonts w:eastAsia="Times New Roman"/>
                <w:sz w:val="20"/>
                <w:szCs w:val="20"/>
              </w:rPr>
            </w:pPr>
            <w:r>
              <w:rPr>
                <w:rFonts w:eastAsia="Times New Roman"/>
                <w:sz w:val="20"/>
                <w:szCs w:val="20"/>
              </w:rPr>
              <w:t> </w:t>
            </w:r>
          </w:p>
        </w:tc>
      </w:tr>
      <w:tr w:rsidR="00000000" w14:paraId="6F5A682F" w14:textId="77777777">
        <w:tc>
          <w:tcPr>
            <w:tcW w:w="0" w:type="auto"/>
            <w:shd w:val="clear" w:color="auto" w:fill="CCEEFF"/>
            <w:vAlign w:val="bottom"/>
            <w:hideMark/>
          </w:tcPr>
          <w:p w14:paraId="1CD9D9E6" w14:textId="77777777" w:rsidR="00000000" w:rsidRDefault="009027A3">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6C8902A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7A00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3F56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EA52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469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EE52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9A5F3"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C04D18" w14:textId="77777777" w:rsidR="00000000" w:rsidRDefault="009027A3">
            <w:pPr>
              <w:rPr>
                <w:rFonts w:eastAsia="Times New Roman"/>
                <w:sz w:val="20"/>
                <w:szCs w:val="20"/>
              </w:rPr>
            </w:pPr>
            <w:r>
              <w:rPr>
                <w:rFonts w:eastAsia="Times New Roman"/>
                <w:sz w:val="20"/>
                <w:szCs w:val="20"/>
              </w:rPr>
              <w:t> </w:t>
            </w:r>
          </w:p>
        </w:tc>
      </w:tr>
      <w:tr w:rsidR="00000000" w14:paraId="78B8B369" w14:textId="77777777">
        <w:tc>
          <w:tcPr>
            <w:tcW w:w="0" w:type="auto"/>
            <w:shd w:val="clear" w:color="auto" w:fill="FFFFFF"/>
            <w:tcMar>
              <w:top w:w="0" w:type="dxa"/>
              <w:left w:w="200" w:type="dxa"/>
              <w:bottom w:w="0" w:type="dxa"/>
              <w:right w:w="0" w:type="dxa"/>
            </w:tcMar>
            <w:vAlign w:val="bottom"/>
            <w:hideMark/>
          </w:tcPr>
          <w:p w14:paraId="7A5BC470" w14:textId="77777777" w:rsidR="00000000" w:rsidRDefault="009027A3">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2D8BF62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ED436"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4FD0159A" w14:textId="77777777" w:rsidR="00000000" w:rsidRDefault="009027A3">
            <w:pPr>
              <w:jc w:val="right"/>
              <w:rPr>
                <w:rFonts w:eastAsia="Times New Roman"/>
                <w:sz w:val="20"/>
                <w:szCs w:val="20"/>
              </w:rPr>
            </w:pPr>
            <w:r>
              <w:rPr>
                <w:rFonts w:eastAsia="Times New Roman"/>
                <w:sz w:val="20"/>
                <w:szCs w:val="20"/>
              </w:rPr>
              <w:t>4,734</w:t>
            </w:r>
          </w:p>
        </w:tc>
        <w:tc>
          <w:tcPr>
            <w:tcW w:w="0" w:type="auto"/>
            <w:shd w:val="clear" w:color="auto" w:fill="FFFFFF"/>
            <w:vAlign w:val="bottom"/>
            <w:hideMark/>
          </w:tcPr>
          <w:p w14:paraId="7CD983B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E19D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51D606"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18C6F41" w14:textId="77777777" w:rsidR="00000000" w:rsidRDefault="009027A3">
            <w:pPr>
              <w:jc w:val="right"/>
              <w:rPr>
                <w:rFonts w:eastAsia="Times New Roman"/>
                <w:sz w:val="20"/>
                <w:szCs w:val="20"/>
              </w:rPr>
            </w:pPr>
            <w:r>
              <w:rPr>
                <w:rFonts w:eastAsia="Times New Roman"/>
                <w:sz w:val="20"/>
                <w:szCs w:val="20"/>
              </w:rPr>
              <w:t>6,461</w:t>
            </w:r>
          </w:p>
        </w:tc>
        <w:tc>
          <w:tcPr>
            <w:tcW w:w="0" w:type="auto"/>
            <w:shd w:val="clear" w:color="auto" w:fill="FFFFFF"/>
            <w:vAlign w:val="bottom"/>
            <w:hideMark/>
          </w:tcPr>
          <w:p w14:paraId="339510F7" w14:textId="77777777" w:rsidR="00000000" w:rsidRDefault="009027A3">
            <w:pPr>
              <w:rPr>
                <w:rFonts w:eastAsia="Times New Roman"/>
                <w:sz w:val="20"/>
                <w:szCs w:val="20"/>
              </w:rPr>
            </w:pPr>
            <w:r>
              <w:rPr>
                <w:rFonts w:eastAsia="Times New Roman"/>
                <w:sz w:val="20"/>
                <w:szCs w:val="20"/>
              </w:rPr>
              <w:t> </w:t>
            </w:r>
          </w:p>
        </w:tc>
      </w:tr>
      <w:tr w:rsidR="00000000" w14:paraId="0B793034" w14:textId="77777777">
        <w:tc>
          <w:tcPr>
            <w:tcW w:w="0" w:type="auto"/>
            <w:shd w:val="clear" w:color="auto" w:fill="CCEEFF"/>
            <w:tcMar>
              <w:top w:w="0" w:type="dxa"/>
              <w:left w:w="200" w:type="dxa"/>
              <w:bottom w:w="0" w:type="dxa"/>
              <w:right w:w="0" w:type="dxa"/>
            </w:tcMar>
            <w:vAlign w:val="bottom"/>
            <w:hideMark/>
          </w:tcPr>
          <w:p w14:paraId="60C7C19F" w14:textId="77777777" w:rsidR="00000000" w:rsidRDefault="009027A3">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6A5BE1F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91F4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15FAD" w14:textId="77777777" w:rsidR="00000000" w:rsidRDefault="009027A3">
            <w:pPr>
              <w:jc w:val="right"/>
              <w:rPr>
                <w:rFonts w:eastAsia="Times New Roman"/>
                <w:sz w:val="20"/>
                <w:szCs w:val="20"/>
              </w:rPr>
            </w:pPr>
            <w:r>
              <w:rPr>
                <w:rFonts w:eastAsia="Times New Roman"/>
                <w:sz w:val="20"/>
                <w:szCs w:val="20"/>
              </w:rPr>
              <w:t>2,040</w:t>
            </w:r>
          </w:p>
        </w:tc>
        <w:tc>
          <w:tcPr>
            <w:tcW w:w="0" w:type="auto"/>
            <w:shd w:val="clear" w:color="auto" w:fill="CCEEFF"/>
            <w:vAlign w:val="bottom"/>
            <w:hideMark/>
          </w:tcPr>
          <w:p w14:paraId="5A303FD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F27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D286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3217A" w14:textId="77777777" w:rsidR="00000000" w:rsidRDefault="009027A3">
            <w:pPr>
              <w:jc w:val="right"/>
              <w:rPr>
                <w:rFonts w:eastAsia="Times New Roman"/>
                <w:sz w:val="20"/>
                <w:szCs w:val="20"/>
              </w:rPr>
            </w:pPr>
            <w:r>
              <w:rPr>
                <w:rFonts w:eastAsia="Times New Roman"/>
                <w:sz w:val="20"/>
                <w:szCs w:val="20"/>
              </w:rPr>
              <w:t>2,590</w:t>
            </w:r>
          </w:p>
        </w:tc>
        <w:tc>
          <w:tcPr>
            <w:tcW w:w="0" w:type="auto"/>
            <w:shd w:val="clear" w:color="auto" w:fill="CCEEFF"/>
            <w:vAlign w:val="bottom"/>
            <w:hideMark/>
          </w:tcPr>
          <w:p w14:paraId="5918120C" w14:textId="77777777" w:rsidR="00000000" w:rsidRDefault="009027A3">
            <w:pPr>
              <w:rPr>
                <w:rFonts w:eastAsia="Times New Roman"/>
                <w:sz w:val="20"/>
                <w:szCs w:val="20"/>
              </w:rPr>
            </w:pPr>
            <w:r>
              <w:rPr>
                <w:rFonts w:eastAsia="Times New Roman"/>
                <w:sz w:val="20"/>
                <w:szCs w:val="20"/>
              </w:rPr>
              <w:t> </w:t>
            </w:r>
          </w:p>
        </w:tc>
      </w:tr>
      <w:tr w:rsidR="00000000" w14:paraId="2D6358A0" w14:textId="77777777">
        <w:tc>
          <w:tcPr>
            <w:tcW w:w="0" w:type="auto"/>
            <w:shd w:val="clear" w:color="auto" w:fill="FFFFFF"/>
            <w:tcMar>
              <w:top w:w="0" w:type="dxa"/>
              <w:left w:w="200" w:type="dxa"/>
              <w:bottom w:w="0" w:type="dxa"/>
              <w:right w:w="0" w:type="dxa"/>
            </w:tcMar>
            <w:vAlign w:val="bottom"/>
            <w:hideMark/>
          </w:tcPr>
          <w:p w14:paraId="433AE633" w14:textId="77777777" w:rsidR="00000000" w:rsidRDefault="009027A3">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459E0B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C04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92D56" w14:textId="77777777" w:rsidR="00000000" w:rsidRDefault="009027A3">
            <w:pPr>
              <w:jc w:val="right"/>
              <w:rPr>
                <w:rFonts w:eastAsia="Times New Roman"/>
                <w:sz w:val="20"/>
                <w:szCs w:val="20"/>
              </w:rPr>
            </w:pPr>
            <w:r>
              <w:rPr>
                <w:rFonts w:eastAsia="Times New Roman"/>
                <w:sz w:val="20"/>
                <w:szCs w:val="20"/>
              </w:rPr>
              <w:t>10,215</w:t>
            </w:r>
          </w:p>
        </w:tc>
        <w:tc>
          <w:tcPr>
            <w:tcW w:w="0" w:type="auto"/>
            <w:shd w:val="clear" w:color="auto" w:fill="FFFFFF"/>
            <w:vAlign w:val="bottom"/>
            <w:hideMark/>
          </w:tcPr>
          <w:p w14:paraId="319D08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512D3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40DE9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81C7F" w14:textId="77777777" w:rsidR="00000000" w:rsidRDefault="009027A3">
            <w:pPr>
              <w:jc w:val="right"/>
              <w:rPr>
                <w:rFonts w:eastAsia="Times New Roman"/>
                <w:sz w:val="20"/>
                <w:szCs w:val="20"/>
              </w:rPr>
            </w:pPr>
            <w:r>
              <w:rPr>
                <w:rFonts w:eastAsia="Times New Roman"/>
                <w:sz w:val="20"/>
                <w:szCs w:val="20"/>
              </w:rPr>
              <w:t>8,501</w:t>
            </w:r>
          </w:p>
        </w:tc>
        <w:tc>
          <w:tcPr>
            <w:tcW w:w="0" w:type="auto"/>
            <w:shd w:val="clear" w:color="auto" w:fill="FFFFFF"/>
            <w:vAlign w:val="bottom"/>
            <w:hideMark/>
          </w:tcPr>
          <w:p w14:paraId="505A25A7" w14:textId="77777777" w:rsidR="00000000" w:rsidRDefault="009027A3">
            <w:pPr>
              <w:rPr>
                <w:rFonts w:eastAsia="Times New Roman"/>
                <w:sz w:val="20"/>
                <w:szCs w:val="20"/>
              </w:rPr>
            </w:pPr>
            <w:r>
              <w:rPr>
                <w:rFonts w:eastAsia="Times New Roman"/>
                <w:sz w:val="20"/>
                <w:szCs w:val="20"/>
              </w:rPr>
              <w:t> </w:t>
            </w:r>
          </w:p>
        </w:tc>
      </w:tr>
      <w:tr w:rsidR="00000000" w14:paraId="1FFC26BE" w14:textId="77777777">
        <w:tc>
          <w:tcPr>
            <w:tcW w:w="0" w:type="auto"/>
            <w:shd w:val="clear" w:color="auto" w:fill="CCEEFF"/>
            <w:tcMar>
              <w:top w:w="0" w:type="dxa"/>
              <w:left w:w="200" w:type="dxa"/>
              <w:bottom w:w="0" w:type="dxa"/>
              <w:right w:w="0" w:type="dxa"/>
            </w:tcMar>
            <w:vAlign w:val="bottom"/>
            <w:hideMark/>
          </w:tcPr>
          <w:p w14:paraId="574BCD9D" w14:textId="77777777" w:rsidR="00000000" w:rsidRDefault="009027A3">
            <w:pPr>
              <w:rPr>
                <w:rFonts w:eastAsia="Times New Roman"/>
                <w:sz w:val="20"/>
                <w:szCs w:val="20"/>
              </w:rPr>
            </w:pPr>
            <w:r>
              <w:rPr>
                <w:rFonts w:eastAsia="Times New Roman"/>
                <w:sz w:val="20"/>
                <w:szCs w:val="20"/>
              </w:rPr>
              <w:t>Operating lease liability (current portion)</w:t>
            </w:r>
          </w:p>
        </w:tc>
        <w:tc>
          <w:tcPr>
            <w:tcW w:w="0" w:type="auto"/>
            <w:shd w:val="clear" w:color="auto" w:fill="CCEEFF"/>
            <w:vAlign w:val="bottom"/>
            <w:hideMark/>
          </w:tcPr>
          <w:p w14:paraId="121BD18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3266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513E3" w14:textId="77777777" w:rsidR="00000000" w:rsidRDefault="009027A3">
            <w:pPr>
              <w:jc w:val="right"/>
              <w:rPr>
                <w:rFonts w:eastAsia="Times New Roman"/>
                <w:sz w:val="20"/>
                <w:szCs w:val="20"/>
              </w:rPr>
            </w:pPr>
            <w:r>
              <w:rPr>
                <w:rFonts w:eastAsia="Times New Roman"/>
                <w:sz w:val="20"/>
                <w:szCs w:val="20"/>
              </w:rPr>
              <w:t>4,236</w:t>
            </w:r>
          </w:p>
        </w:tc>
        <w:tc>
          <w:tcPr>
            <w:tcW w:w="0" w:type="auto"/>
            <w:shd w:val="clear" w:color="auto" w:fill="CCEEFF"/>
            <w:vAlign w:val="bottom"/>
            <w:hideMark/>
          </w:tcPr>
          <w:p w14:paraId="1878B67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FCEC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E26C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1FDF9" w14:textId="77777777" w:rsidR="00000000" w:rsidRDefault="009027A3">
            <w:pPr>
              <w:jc w:val="right"/>
              <w:rPr>
                <w:rFonts w:eastAsia="Times New Roman"/>
                <w:sz w:val="20"/>
                <w:szCs w:val="20"/>
              </w:rPr>
            </w:pPr>
            <w:r>
              <w:rPr>
                <w:rFonts w:eastAsia="Times New Roman"/>
                <w:sz w:val="20"/>
                <w:szCs w:val="20"/>
              </w:rPr>
              <w:t>4,729</w:t>
            </w:r>
          </w:p>
        </w:tc>
        <w:tc>
          <w:tcPr>
            <w:tcW w:w="0" w:type="auto"/>
            <w:shd w:val="clear" w:color="auto" w:fill="CCEEFF"/>
            <w:vAlign w:val="bottom"/>
            <w:hideMark/>
          </w:tcPr>
          <w:p w14:paraId="32A93251" w14:textId="77777777" w:rsidR="00000000" w:rsidRDefault="009027A3">
            <w:pPr>
              <w:rPr>
                <w:rFonts w:eastAsia="Times New Roman"/>
                <w:sz w:val="20"/>
                <w:szCs w:val="20"/>
              </w:rPr>
            </w:pPr>
            <w:r>
              <w:rPr>
                <w:rFonts w:eastAsia="Times New Roman"/>
                <w:sz w:val="20"/>
                <w:szCs w:val="20"/>
              </w:rPr>
              <w:t> </w:t>
            </w:r>
          </w:p>
        </w:tc>
      </w:tr>
      <w:tr w:rsidR="00000000" w14:paraId="34EE5A0E" w14:textId="77777777">
        <w:tc>
          <w:tcPr>
            <w:tcW w:w="0" w:type="auto"/>
            <w:shd w:val="clear" w:color="auto" w:fill="FFFFFF"/>
            <w:tcMar>
              <w:top w:w="0" w:type="dxa"/>
              <w:left w:w="200" w:type="dxa"/>
              <w:bottom w:w="0" w:type="dxa"/>
              <w:right w:w="0" w:type="dxa"/>
            </w:tcMar>
            <w:vAlign w:val="bottom"/>
            <w:hideMark/>
          </w:tcPr>
          <w:p w14:paraId="27670E48" w14:textId="77777777" w:rsidR="00000000" w:rsidRDefault="009027A3">
            <w:pPr>
              <w:rPr>
                <w:rFonts w:eastAsia="Times New Roman"/>
                <w:sz w:val="20"/>
                <w:szCs w:val="20"/>
              </w:rPr>
            </w:pPr>
            <w:r>
              <w:rPr>
                <w:rFonts w:eastAsia="Times New Roman"/>
                <w:sz w:val="20"/>
                <w:szCs w:val="20"/>
              </w:rPr>
              <w:t>Deferred revenue (current portion)</w:t>
            </w:r>
          </w:p>
        </w:tc>
        <w:tc>
          <w:tcPr>
            <w:tcW w:w="0" w:type="auto"/>
            <w:shd w:val="clear" w:color="auto" w:fill="FFFFFF"/>
            <w:vAlign w:val="bottom"/>
            <w:hideMark/>
          </w:tcPr>
          <w:p w14:paraId="379BB0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CEE8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6D5A1" w14:textId="77777777" w:rsidR="00000000" w:rsidRDefault="009027A3">
            <w:pPr>
              <w:jc w:val="right"/>
              <w:rPr>
                <w:rFonts w:eastAsia="Times New Roman"/>
                <w:sz w:val="20"/>
                <w:szCs w:val="20"/>
              </w:rPr>
            </w:pPr>
            <w:r>
              <w:rPr>
                <w:rFonts w:eastAsia="Times New Roman"/>
                <w:sz w:val="20"/>
                <w:szCs w:val="20"/>
              </w:rPr>
              <w:t>1,225</w:t>
            </w:r>
          </w:p>
        </w:tc>
        <w:tc>
          <w:tcPr>
            <w:tcW w:w="0" w:type="auto"/>
            <w:shd w:val="clear" w:color="auto" w:fill="FFFFFF"/>
            <w:vAlign w:val="bottom"/>
            <w:hideMark/>
          </w:tcPr>
          <w:p w14:paraId="200E6A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CDC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287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20F77E" w14:textId="77777777" w:rsidR="00000000" w:rsidRDefault="009027A3">
            <w:pPr>
              <w:jc w:val="right"/>
              <w:rPr>
                <w:rFonts w:eastAsia="Times New Roman"/>
                <w:sz w:val="20"/>
                <w:szCs w:val="20"/>
              </w:rPr>
            </w:pPr>
            <w:r>
              <w:rPr>
                <w:rFonts w:eastAsia="Times New Roman"/>
                <w:sz w:val="20"/>
                <w:szCs w:val="20"/>
              </w:rPr>
              <w:t>1,173</w:t>
            </w:r>
          </w:p>
        </w:tc>
        <w:tc>
          <w:tcPr>
            <w:tcW w:w="0" w:type="auto"/>
            <w:shd w:val="clear" w:color="auto" w:fill="FFFFFF"/>
            <w:vAlign w:val="bottom"/>
            <w:hideMark/>
          </w:tcPr>
          <w:p w14:paraId="52C399C1" w14:textId="77777777" w:rsidR="00000000" w:rsidRDefault="009027A3">
            <w:pPr>
              <w:rPr>
                <w:rFonts w:eastAsia="Times New Roman"/>
                <w:sz w:val="20"/>
                <w:szCs w:val="20"/>
              </w:rPr>
            </w:pPr>
            <w:r>
              <w:rPr>
                <w:rFonts w:eastAsia="Times New Roman"/>
                <w:sz w:val="20"/>
                <w:szCs w:val="20"/>
              </w:rPr>
              <w:t> </w:t>
            </w:r>
          </w:p>
        </w:tc>
      </w:tr>
      <w:tr w:rsidR="00000000" w14:paraId="693408D7" w14:textId="77777777">
        <w:tc>
          <w:tcPr>
            <w:tcW w:w="0" w:type="auto"/>
            <w:shd w:val="clear" w:color="auto" w:fill="CCEEFF"/>
            <w:tcMar>
              <w:top w:w="0" w:type="dxa"/>
              <w:left w:w="200" w:type="dxa"/>
              <w:bottom w:w="0" w:type="dxa"/>
              <w:right w:w="0" w:type="dxa"/>
            </w:tcMar>
            <w:vAlign w:val="bottom"/>
            <w:hideMark/>
          </w:tcPr>
          <w:p w14:paraId="370195DE" w14:textId="77777777" w:rsidR="00000000" w:rsidRDefault="009027A3">
            <w:pPr>
              <w:rPr>
                <w:rFonts w:eastAsia="Times New Roman"/>
                <w:sz w:val="20"/>
                <w:szCs w:val="20"/>
              </w:rPr>
            </w:pPr>
            <w:r>
              <w:rPr>
                <w:rFonts w:eastAsia="Times New Roman"/>
                <w:sz w:val="20"/>
                <w:szCs w:val="20"/>
              </w:rPr>
              <w:t>Accrued liability to related party</w:t>
            </w:r>
          </w:p>
        </w:tc>
        <w:tc>
          <w:tcPr>
            <w:tcW w:w="0" w:type="auto"/>
            <w:shd w:val="clear" w:color="auto" w:fill="CCEEFF"/>
            <w:vAlign w:val="bottom"/>
            <w:hideMark/>
          </w:tcPr>
          <w:p w14:paraId="52DF23C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6BDF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AA37A"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49DE360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B28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2D4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9124D"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51B0081C" w14:textId="77777777" w:rsidR="00000000" w:rsidRDefault="009027A3">
            <w:pPr>
              <w:rPr>
                <w:rFonts w:eastAsia="Times New Roman"/>
                <w:sz w:val="20"/>
                <w:szCs w:val="20"/>
              </w:rPr>
            </w:pPr>
            <w:r>
              <w:rPr>
                <w:rFonts w:eastAsia="Times New Roman"/>
                <w:sz w:val="20"/>
                <w:szCs w:val="20"/>
              </w:rPr>
              <w:t> </w:t>
            </w:r>
          </w:p>
        </w:tc>
      </w:tr>
      <w:tr w:rsidR="00000000" w14:paraId="48A8CB8F" w14:textId="77777777">
        <w:tc>
          <w:tcPr>
            <w:tcW w:w="0" w:type="auto"/>
            <w:shd w:val="clear" w:color="auto" w:fill="FFFFFF"/>
            <w:tcMar>
              <w:top w:w="0" w:type="dxa"/>
              <w:left w:w="200" w:type="dxa"/>
              <w:bottom w:w="0" w:type="dxa"/>
              <w:right w:w="0" w:type="dxa"/>
            </w:tcMar>
            <w:vAlign w:val="bottom"/>
            <w:hideMark/>
          </w:tcPr>
          <w:p w14:paraId="0C4404D0" w14:textId="77777777" w:rsidR="00000000" w:rsidRDefault="009027A3">
            <w:pPr>
              <w:rPr>
                <w:rFonts w:eastAsia="Times New Roman"/>
                <w:sz w:val="20"/>
                <w:szCs w:val="20"/>
              </w:rPr>
            </w:pPr>
            <w:r>
              <w:rPr>
                <w:rFonts w:eastAsia="Times New Roman"/>
                <w:sz w:val="20"/>
                <w:szCs w:val="20"/>
              </w:rPr>
              <w:lastRenderedPageBreak/>
              <w:t>Deferred payroll taxes</w:t>
            </w:r>
          </w:p>
        </w:tc>
        <w:tc>
          <w:tcPr>
            <w:tcW w:w="0" w:type="auto"/>
            <w:shd w:val="clear" w:color="auto" w:fill="FFFFFF"/>
            <w:vAlign w:val="bottom"/>
            <w:hideMark/>
          </w:tcPr>
          <w:p w14:paraId="287957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B700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759ABA" w14:textId="77777777" w:rsidR="00000000" w:rsidRDefault="009027A3">
            <w:pPr>
              <w:jc w:val="right"/>
              <w:rPr>
                <w:rFonts w:eastAsia="Times New Roman"/>
                <w:sz w:val="20"/>
                <w:szCs w:val="20"/>
              </w:rPr>
            </w:pPr>
            <w:r>
              <w:rPr>
                <w:rFonts w:eastAsia="Times New Roman"/>
                <w:sz w:val="20"/>
                <w:szCs w:val="20"/>
              </w:rPr>
              <w:t>927</w:t>
            </w:r>
          </w:p>
        </w:tc>
        <w:tc>
          <w:tcPr>
            <w:tcW w:w="0" w:type="auto"/>
            <w:shd w:val="clear" w:color="auto" w:fill="FFFFFF"/>
            <w:vAlign w:val="bottom"/>
            <w:hideMark/>
          </w:tcPr>
          <w:p w14:paraId="25BDB7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3FF77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05E74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64E43" w14:textId="77777777" w:rsidR="00000000" w:rsidRDefault="009027A3">
            <w:pPr>
              <w:jc w:val="right"/>
              <w:rPr>
                <w:rFonts w:eastAsia="Times New Roman"/>
                <w:sz w:val="20"/>
                <w:szCs w:val="20"/>
              </w:rPr>
            </w:pPr>
            <w:r>
              <w:rPr>
                <w:rFonts w:eastAsia="Times New Roman"/>
                <w:sz w:val="20"/>
                <w:szCs w:val="20"/>
              </w:rPr>
              <w:t>927</w:t>
            </w:r>
          </w:p>
        </w:tc>
        <w:tc>
          <w:tcPr>
            <w:tcW w:w="0" w:type="auto"/>
            <w:shd w:val="clear" w:color="auto" w:fill="FFFFFF"/>
            <w:vAlign w:val="bottom"/>
            <w:hideMark/>
          </w:tcPr>
          <w:p w14:paraId="7F750E0B" w14:textId="77777777" w:rsidR="00000000" w:rsidRDefault="009027A3">
            <w:pPr>
              <w:rPr>
                <w:rFonts w:eastAsia="Times New Roman"/>
                <w:sz w:val="20"/>
                <w:szCs w:val="20"/>
              </w:rPr>
            </w:pPr>
            <w:r>
              <w:rPr>
                <w:rFonts w:eastAsia="Times New Roman"/>
                <w:sz w:val="20"/>
                <w:szCs w:val="20"/>
              </w:rPr>
              <w:t> </w:t>
            </w:r>
          </w:p>
        </w:tc>
      </w:tr>
      <w:tr w:rsidR="00000000" w14:paraId="6BE32B03" w14:textId="77777777">
        <w:tc>
          <w:tcPr>
            <w:tcW w:w="0" w:type="auto"/>
            <w:shd w:val="clear" w:color="auto" w:fill="CCEEFF"/>
            <w:tcMar>
              <w:top w:w="0" w:type="dxa"/>
              <w:left w:w="200" w:type="dxa"/>
              <w:bottom w:w="0" w:type="dxa"/>
              <w:right w:w="0" w:type="dxa"/>
            </w:tcMar>
            <w:vAlign w:val="bottom"/>
            <w:hideMark/>
          </w:tcPr>
          <w:p w14:paraId="0E9607B1" w14:textId="77777777" w:rsidR="00000000" w:rsidRDefault="009027A3">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14:paraId="2CB1C3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5FA2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AEFFB" w14:textId="77777777" w:rsidR="00000000" w:rsidRDefault="009027A3">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14:paraId="6355380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3B8E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8D3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32D0E" w14:textId="77777777" w:rsidR="00000000" w:rsidRDefault="009027A3">
            <w:pPr>
              <w:jc w:val="right"/>
              <w:rPr>
                <w:rFonts w:eastAsia="Times New Roman"/>
                <w:sz w:val="20"/>
                <w:szCs w:val="20"/>
              </w:rPr>
            </w:pPr>
            <w:r>
              <w:rPr>
                <w:rFonts w:eastAsia="Times New Roman"/>
                <w:sz w:val="20"/>
                <w:szCs w:val="20"/>
              </w:rPr>
              <w:t>401</w:t>
            </w:r>
          </w:p>
        </w:tc>
        <w:tc>
          <w:tcPr>
            <w:tcW w:w="0" w:type="auto"/>
            <w:shd w:val="clear" w:color="auto" w:fill="CCEEFF"/>
            <w:vAlign w:val="bottom"/>
            <w:hideMark/>
          </w:tcPr>
          <w:p w14:paraId="26B43F0A" w14:textId="77777777" w:rsidR="00000000" w:rsidRDefault="009027A3">
            <w:pPr>
              <w:rPr>
                <w:rFonts w:eastAsia="Times New Roman"/>
                <w:sz w:val="20"/>
                <w:szCs w:val="20"/>
              </w:rPr>
            </w:pPr>
            <w:r>
              <w:rPr>
                <w:rFonts w:eastAsia="Times New Roman"/>
                <w:sz w:val="20"/>
                <w:szCs w:val="20"/>
              </w:rPr>
              <w:t> </w:t>
            </w:r>
          </w:p>
        </w:tc>
      </w:tr>
      <w:tr w:rsidR="00000000" w14:paraId="691D19BD" w14:textId="77777777">
        <w:tc>
          <w:tcPr>
            <w:tcW w:w="0" w:type="auto"/>
            <w:shd w:val="clear" w:color="auto" w:fill="FFFFFF"/>
            <w:tcMar>
              <w:top w:w="0" w:type="dxa"/>
              <w:left w:w="200" w:type="dxa"/>
              <w:bottom w:w="30" w:type="dxa"/>
              <w:right w:w="0" w:type="dxa"/>
            </w:tcMar>
            <w:vAlign w:val="bottom"/>
            <w:hideMark/>
          </w:tcPr>
          <w:p w14:paraId="04F5FDC4" w14:textId="77777777" w:rsidR="00000000" w:rsidRDefault="009027A3">
            <w:pPr>
              <w:rPr>
                <w:rFonts w:eastAsia="Times New Roman"/>
                <w:sz w:val="20"/>
                <w:szCs w:val="20"/>
              </w:rPr>
            </w:pPr>
            <w:r>
              <w:rPr>
                <w:rFonts w:eastAsia="Times New Roman"/>
                <w:sz w:val="20"/>
                <w:szCs w:val="20"/>
              </w:rPr>
              <w:t>Dividend payable</w:t>
            </w:r>
          </w:p>
        </w:tc>
        <w:tc>
          <w:tcPr>
            <w:tcW w:w="0" w:type="auto"/>
            <w:shd w:val="clear" w:color="auto" w:fill="FFFFFF"/>
            <w:tcMar>
              <w:top w:w="0" w:type="dxa"/>
              <w:left w:w="0" w:type="dxa"/>
              <w:bottom w:w="30" w:type="dxa"/>
              <w:right w:w="0" w:type="dxa"/>
            </w:tcMar>
            <w:vAlign w:val="bottom"/>
            <w:hideMark/>
          </w:tcPr>
          <w:p w14:paraId="6C14FC6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24D29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AFC166" w14:textId="77777777" w:rsidR="00000000" w:rsidRDefault="009027A3">
            <w:pPr>
              <w:jc w:val="right"/>
              <w:rPr>
                <w:rFonts w:eastAsia="Times New Roman"/>
                <w:sz w:val="20"/>
                <w:szCs w:val="20"/>
              </w:rPr>
            </w:pPr>
            <w:r>
              <w:rPr>
                <w:rFonts w:eastAsia="Times New Roman"/>
                <w:sz w:val="20"/>
                <w:szCs w:val="20"/>
              </w:rPr>
              <w:t>3,777</w:t>
            </w:r>
          </w:p>
        </w:tc>
        <w:tc>
          <w:tcPr>
            <w:tcW w:w="0" w:type="auto"/>
            <w:shd w:val="clear" w:color="auto" w:fill="FFFFFF"/>
            <w:tcMar>
              <w:top w:w="0" w:type="dxa"/>
              <w:left w:w="0" w:type="dxa"/>
              <w:bottom w:w="30" w:type="dxa"/>
              <w:right w:w="0" w:type="dxa"/>
            </w:tcMar>
            <w:vAlign w:val="bottom"/>
            <w:hideMark/>
          </w:tcPr>
          <w:p w14:paraId="109B381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C4135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25C40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DECDFD" w14:textId="77777777" w:rsidR="00000000" w:rsidRDefault="009027A3">
            <w:pPr>
              <w:jc w:val="right"/>
              <w:rPr>
                <w:rFonts w:eastAsia="Times New Roman"/>
                <w:sz w:val="20"/>
                <w:szCs w:val="20"/>
              </w:rPr>
            </w:pPr>
            <w:r>
              <w:rPr>
                <w:rFonts w:eastAsia="Times New Roman"/>
                <w:sz w:val="20"/>
                <w:szCs w:val="20"/>
              </w:rPr>
              <w:t>4,241</w:t>
            </w:r>
          </w:p>
        </w:tc>
        <w:tc>
          <w:tcPr>
            <w:tcW w:w="0" w:type="auto"/>
            <w:shd w:val="clear" w:color="auto" w:fill="FFFFFF"/>
            <w:tcMar>
              <w:top w:w="0" w:type="dxa"/>
              <w:left w:w="0" w:type="dxa"/>
              <w:bottom w:w="30" w:type="dxa"/>
              <w:right w:w="0" w:type="dxa"/>
            </w:tcMar>
            <w:vAlign w:val="bottom"/>
            <w:hideMark/>
          </w:tcPr>
          <w:p w14:paraId="5B911D47" w14:textId="77777777" w:rsidR="00000000" w:rsidRDefault="009027A3">
            <w:pPr>
              <w:rPr>
                <w:rFonts w:eastAsia="Times New Roman"/>
                <w:sz w:val="20"/>
                <w:szCs w:val="20"/>
              </w:rPr>
            </w:pPr>
            <w:r>
              <w:rPr>
                <w:rFonts w:eastAsia="Times New Roman"/>
                <w:sz w:val="20"/>
                <w:szCs w:val="20"/>
              </w:rPr>
              <w:t> </w:t>
            </w:r>
          </w:p>
        </w:tc>
      </w:tr>
      <w:tr w:rsidR="00000000" w14:paraId="348D3FF1" w14:textId="77777777">
        <w:tc>
          <w:tcPr>
            <w:tcW w:w="0" w:type="auto"/>
            <w:shd w:val="clear" w:color="auto" w:fill="CCEEFF"/>
            <w:tcMar>
              <w:top w:w="0" w:type="dxa"/>
              <w:left w:w="400" w:type="dxa"/>
              <w:bottom w:w="0" w:type="dxa"/>
              <w:right w:w="0" w:type="dxa"/>
            </w:tcMar>
            <w:vAlign w:val="bottom"/>
            <w:hideMark/>
          </w:tcPr>
          <w:p w14:paraId="1C715C8D" w14:textId="77777777" w:rsidR="00000000" w:rsidRDefault="009027A3">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43F84E7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7CC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C9C4E" w14:textId="77777777" w:rsidR="00000000" w:rsidRDefault="009027A3">
            <w:pPr>
              <w:jc w:val="right"/>
              <w:rPr>
                <w:rFonts w:eastAsia="Times New Roman"/>
                <w:sz w:val="20"/>
                <w:szCs w:val="20"/>
              </w:rPr>
            </w:pPr>
            <w:r>
              <w:rPr>
                <w:rFonts w:eastAsia="Times New Roman"/>
                <w:sz w:val="20"/>
                <w:szCs w:val="20"/>
              </w:rPr>
              <w:t>27,322</w:t>
            </w:r>
          </w:p>
        </w:tc>
        <w:tc>
          <w:tcPr>
            <w:tcW w:w="0" w:type="auto"/>
            <w:shd w:val="clear" w:color="auto" w:fill="CCEEFF"/>
            <w:vAlign w:val="bottom"/>
            <w:hideMark/>
          </w:tcPr>
          <w:p w14:paraId="32F4FC6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83F1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DD7C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FE5E85" w14:textId="77777777" w:rsidR="00000000" w:rsidRDefault="009027A3">
            <w:pPr>
              <w:jc w:val="right"/>
              <w:rPr>
                <w:rFonts w:eastAsia="Times New Roman"/>
                <w:sz w:val="20"/>
                <w:szCs w:val="20"/>
              </w:rPr>
            </w:pPr>
            <w:r>
              <w:rPr>
                <w:rFonts w:eastAsia="Times New Roman"/>
                <w:sz w:val="20"/>
                <w:szCs w:val="20"/>
              </w:rPr>
              <w:t>29,024</w:t>
            </w:r>
          </w:p>
        </w:tc>
        <w:tc>
          <w:tcPr>
            <w:tcW w:w="0" w:type="auto"/>
            <w:shd w:val="clear" w:color="auto" w:fill="CCEEFF"/>
            <w:vAlign w:val="bottom"/>
            <w:hideMark/>
          </w:tcPr>
          <w:p w14:paraId="3F7CDF3F" w14:textId="77777777" w:rsidR="00000000" w:rsidRDefault="009027A3">
            <w:pPr>
              <w:rPr>
                <w:rFonts w:eastAsia="Times New Roman"/>
                <w:sz w:val="20"/>
                <w:szCs w:val="20"/>
              </w:rPr>
            </w:pPr>
            <w:r>
              <w:rPr>
                <w:rFonts w:eastAsia="Times New Roman"/>
                <w:sz w:val="20"/>
                <w:szCs w:val="20"/>
              </w:rPr>
              <w:t> </w:t>
            </w:r>
          </w:p>
        </w:tc>
      </w:tr>
      <w:tr w:rsidR="00000000" w14:paraId="7AEAA0DD" w14:textId="77777777">
        <w:tc>
          <w:tcPr>
            <w:tcW w:w="0" w:type="auto"/>
            <w:shd w:val="clear" w:color="auto" w:fill="FFFFFF"/>
            <w:tcMar>
              <w:top w:w="0" w:type="dxa"/>
              <w:left w:w="200" w:type="dxa"/>
              <w:bottom w:w="0" w:type="dxa"/>
              <w:right w:w="0" w:type="dxa"/>
            </w:tcMar>
            <w:vAlign w:val="bottom"/>
            <w:hideMark/>
          </w:tcPr>
          <w:p w14:paraId="29DAC20A" w14:textId="77777777" w:rsidR="00000000" w:rsidRDefault="009027A3">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14:paraId="4852CA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D6AE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BCDA8" w14:textId="77777777" w:rsidR="00000000" w:rsidRDefault="009027A3">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4E2D6B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EA2F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FA9C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626B9A" w14:textId="77777777" w:rsidR="00000000" w:rsidRDefault="009027A3">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03C6C119" w14:textId="77777777" w:rsidR="00000000" w:rsidRDefault="009027A3">
            <w:pPr>
              <w:rPr>
                <w:rFonts w:eastAsia="Times New Roman"/>
                <w:sz w:val="20"/>
                <w:szCs w:val="20"/>
              </w:rPr>
            </w:pPr>
            <w:r>
              <w:rPr>
                <w:rFonts w:eastAsia="Times New Roman"/>
                <w:sz w:val="20"/>
                <w:szCs w:val="20"/>
              </w:rPr>
              <w:t> </w:t>
            </w:r>
          </w:p>
        </w:tc>
      </w:tr>
      <w:tr w:rsidR="00000000" w14:paraId="231D629D" w14:textId="77777777">
        <w:tc>
          <w:tcPr>
            <w:tcW w:w="0" w:type="auto"/>
            <w:shd w:val="clear" w:color="auto" w:fill="CCEEFF"/>
            <w:tcMar>
              <w:top w:w="0" w:type="dxa"/>
              <w:left w:w="200" w:type="dxa"/>
              <w:bottom w:w="0" w:type="dxa"/>
              <w:right w:w="0" w:type="dxa"/>
            </w:tcMar>
            <w:vAlign w:val="bottom"/>
            <w:hideMark/>
          </w:tcPr>
          <w:p w14:paraId="162A34C0" w14:textId="77777777" w:rsidR="00000000" w:rsidRDefault="009027A3">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14:paraId="6C3663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600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ECB92" w14:textId="77777777" w:rsidR="00000000" w:rsidRDefault="009027A3">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14:paraId="23B490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758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CCCB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9B2103" w14:textId="77777777" w:rsidR="00000000" w:rsidRDefault="009027A3">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14:paraId="524E5B9C" w14:textId="77777777" w:rsidR="00000000" w:rsidRDefault="009027A3">
            <w:pPr>
              <w:rPr>
                <w:rFonts w:eastAsia="Times New Roman"/>
                <w:sz w:val="20"/>
                <w:szCs w:val="20"/>
              </w:rPr>
            </w:pPr>
            <w:r>
              <w:rPr>
                <w:rFonts w:eastAsia="Times New Roman"/>
                <w:sz w:val="20"/>
                <w:szCs w:val="20"/>
              </w:rPr>
              <w:t> </w:t>
            </w:r>
          </w:p>
        </w:tc>
      </w:tr>
      <w:tr w:rsidR="00000000" w14:paraId="3ED4A0CF" w14:textId="77777777">
        <w:tc>
          <w:tcPr>
            <w:tcW w:w="0" w:type="auto"/>
            <w:shd w:val="clear" w:color="auto" w:fill="FFFFFF"/>
            <w:tcMar>
              <w:top w:w="0" w:type="dxa"/>
              <w:left w:w="200" w:type="dxa"/>
              <w:bottom w:w="0" w:type="dxa"/>
              <w:right w:w="0" w:type="dxa"/>
            </w:tcMar>
            <w:vAlign w:val="bottom"/>
            <w:hideMark/>
          </w:tcPr>
          <w:p w14:paraId="395CECF0" w14:textId="77777777" w:rsidR="00000000" w:rsidRDefault="009027A3">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14:paraId="3CFA8D1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03F7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ADC42" w14:textId="77777777" w:rsidR="00000000" w:rsidRDefault="009027A3">
            <w:pPr>
              <w:jc w:val="right"/>
              <w:rPr>
                <w:rFonts w:eastAsia="Times New Roman"/>
                <w:sz w:val="20"/>
                <w:szCs w:val="20"/>
              </w:rPr>
            </w:pPr>
            <w:r>
              <w:rPr>
                <w:rFonts w:eastAsia="Times New Roman"/>
                <w:sz w:val="20"/>
                <w:szCs w:val="20"/>
              </w:rPr>
              <w:t>5,220</w:t>
            </w:r>
          </w:p>
        </w:tc>
        <w:tc>
          <w:tcPr>
            <w:tcW w:w="0" w:type="auto"/>
            <w:shd w:val="clear" w:color="auto" w:fill="FFFFFF"/>
            <w:vAlign w:val="bottom"/>
            <w:hideMark/>
          </w:tcPr>
          <w:p w14:paraId="5950C51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5D9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99F0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74860" w14:textId="77777777" w:rsidR="00000000" w:rsidRDefault="009027A3">
            <w:pPr>
              <w:jc w:val="right"/>
              <w:rPr>
                <w:rFonts w:eastAsia="Times New Roman"/>
                <w:sz w:val="20"/>
                <w:szCs w:val="20"/>
              </w:rPr>
            </w:pPr>
            <w:r>
              <w:rPr>
                <w:rFonts w:eastAsia="Times New Roman"/>
                <w:sz w:val="20"/>
                <w:szCs w:val="20"/>
              </w:rPr>
              <w:t>6,297</w:t>
            </w:r>
          </w:p>
        </w:tc>
        <w:tc>
          <w:tcPr>
            <w:tcW w:w="0" w:type="auto"/>
            <w:shd w:val="clear" w:color="auto" w:fill="FFFFFF"/>
            <w:vAlign w:val="bottom"/>
            <w:hideMark/>
          </w:tcPr>
          <w:p w14:paraId="2A2093D8" w14:textId="77777777" w:rsidR="00000000" w:rsidRDefault="009027A3">
            <w:pPr>
              <w:rPr>
                <w:rFonts w:eastAsia="Times New Roman"/>
                <w:sz w:val="20"/>
                <w:szCs w:val="20"/>
              </w:rPr>
            </w:pPr>
            <w:r>
              <w:rPr>
                <w:rFonts w:eastAsia="Times New Roman"/>
                <w:sz w:val="20"/>
                <w:szCs w:val="20"/>
              </w:rPr>
              <w:t> </w:t>
            </w:r>
          </w:p>
        </w:tc>
      </w:tr>
      <w:tr w:rsidR="00000000" w14:paraId="66AC17A7" w14:textId="77777777">
        <w:tc>
          <w:tcPr>
            <w:tcW w:w="0" w:type="auto"/>
            <w:shd w:val="clear" w:color="auto" w:fill="CCEEFF"/>
            <w:tcMar>
              <w:top w:w="0" w:type="dxa"/>
              <w:left w:w="200" w:type="dxa"/>
              <w:bottom w:w="0" w:type="dxa"/>
              <w:right w:w="0" w:type="dxa"/>
            </w:tcMar>
            <w:vAlign w:val="bottom"/>
            <w:hideMark/>
          </w:tcPr>
          <w:p w14:paraId="7E29E8C8" w14:textId="77777777" w:rsidR="00000000" w:rsidRDefault="009027A3">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28D43A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D544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6DA71" w14:textId="77777777" w:rsidR="00000000" w:rsidRDefault="009027A3">
            <w:pPr>
              <w:jc w:val="right"/>
              <w:rPr>
                <w:rFonts w:eastAsia="Times New Roman"/>
                <w:sz w:val="20"/>
                <w:szCs w:val="20"/>
              </w:rPr>
            </w:pPr>
            <w:r>
              <w:rPr>
                <w:rFonts w:eastAsia="Times New Roman"/>
                <w:sz w:val="20"/>
                <w:szCs w:val="20"/>
              </w:rPr>
              <w:t>285</w:t>
            </w:r>
          </w:p>
        </w:tc>
        <w:tc>
          <w:tcPr>
            <w:tcW w:w="0" w:type="auto"/>
            <w:shd w:val="clear" w:color="auto" w:fill="CCEEFF"/>
            <w:vAlign w:val="bottom"/>
            <w:hideMark/>
          </w:tcPr>
          <w:p w14:paraId="1A27192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D1A5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7D99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933DDC" w14:textId="77777777" w:rsidR="00000000" w:rsidRDefault="009027A3">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14:paraId="50B9101D" w14:textId="77777777" w:rsidR="00000000" w:rsidRDefault="009027A3">
            <w:pPr>
              <w:rPr>
                <w:rFonts w:eastAsia="Times New Roman"/>
                <w:sz w:val="20"/>
                <w:szCs w:val="20"/>
              </w:rPr>
            </w:pPr>
            <w:r>
              <w:rPr>
                <w:rFonts w:eastAsia="Times New Roman"/>
                <w:sz w:val="20"/>
                <w:szCs w:val="20"/>
              </w:rPr>
              <w:t> </w:t>
            </w:r>
          </w:p>
        </w:tc>
      </w:tr>
      <w:tr w:rsidR="00000000" w14:paraId="0ED8DF50" w14:textId="77777777">
        <w:tc>
          <w:tcPr>
            <w:tcW w:w="0" w:type="auto"/>
            <w:shd w:val="clear" w:color="auto" w:fill="FFFFFF"/>
            <w:tcMar>
              <w:top w:w="0" w:type="dxa"/>
              <w:left w:w="200" w:type="dxa"/>
              <w:bottom w:w="30" w:type="dxa"/>
              <w:right w:w="0" w:type="dxa"/>
            </w:tcMar>
            <w:vAlign w:val="bottom"/>
            <w:hideMark/>
          </w:tcPr>
          <w:p w14:paraId="731449D1" w14:textId="77777777" w:rsidR="00000000" w:rsidRDefault="009027A3">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14:paraId="6C60C33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2D412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28ABCF" w14:textId="77777777" w:rsidR="00000000" w:rsidRDefault="009027A3">
            <w:pPr>
              <w:jc w:val="right"/>
              <w:rPr>
                <w:rFonts w:eastAsia="Times New Roman"/>
                <w:sz w:val="20"/>
                <w:szCs w:val="20"/>
              </w:rPr>
            </w:pPr>
            <w:r>
              <w:rPr>
                <w:rFonts w:eastAsia="Times New Roman"/>
                <w:sz w:val="20"/>
                <w:szCs w:val="20"/>
              </w:rPr>
              <w:t>124</w:t>
            </w:r>
          </w:p>
        </w:tc>
        <w:tc>
          <w:tcPr>
            <w:tcW w:w="0" w:type="auto"/>
            <w:shd w:val="clear" w:color="auto" w:fill="FFFFFF"/>
            <w:tcMar>
              <w:top w:w="0" w:type="dxa"/>
              <w:left w:w="0" w:type="dxa"/>
              <w:bottom w:w="30" w:type="dxa"/>
              <w:right w:w="0" w:type="dxa"/>
            </w:tcMar>
            <w:vAlign w:val="bottom"/>
            <w:hideMark/>
          </w:tcPr>
          <w:p w14:paraId="79542B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05299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18FD1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B22B87" w14:textId="77777777" w:rsidR="00000000" w:rsidRDefault="009027A3">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30" w:type="dxa"/>
              <w:right w:w="0" w:type="dxa"/>
            </w:tcMar>
            <w:vAlign w:val="bottom"/>
            <w:hideMark/>
          </w:tcPr>
          <w:p w14:paraId="2D3CC185" w14:textId="77777777" w:rsidR="00000000" w:rsidRDefault="009027A3">
            <w:pPr>
              <w:rPr>
                <w:rFonts w:eastAsia="Times New Roman"/>
                <w:sz w:val="20"/>
                <w:szCs w:val="20"/>
              </w:rPr>
            </w:pPr>
            <w:r>
              <w:rPr>
                <w:rFonts w:eastAsia="Times New Roman"/>
                <w:sz w:val="20"/>
                <w:szCs w:val="20"/>
              </w:rPr>
              <w:t> </w:t>
            </w:r>
          </w:p>
        </w:tc>
      </w:tr>
      <w:tr w:rsidR="00000000" w14:paraId="0B3921C4" w14:textId="77777777">
        <w:tc>
          <w:tcPr>
            <w:tcW w:w="0" w:type="auto"/>
            <w:shd w:val="clear" w:color="auto" w:fill="CCEEFF"/>
            <w:tcMar>
              <w:top w:w="0" w:type="dxa"/>
              <w:left w:w="400" w:type="dxa"/>
              <w:bottom w:w="0" w:type="dxa"/>
              <w:right w:w="0" w:type="dxa"/>
            </w:tcMar>
            <w:vAlign w:val="bottom"/>
            <w:hideMark/>
          </w:tcPr>
          <w:p w14:paraId="30FBCB4B" w14:textId="77777777" w:rsidR="00000000" w:rsidRDefault="009027A3">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14:paraId="46B2BDC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28859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98DD92" w14:textId="77777777" w:rsidR="00000000" w:rsidRDefault="009027A3">
            <w:pPr>
              <w:jc w:val="right"/>
              <w:rPr>
                <w:rFonts w:eastAsia="Times New Roman"/>
                <w:sz w:val="20"/>
                <w:szCs w:val="20"/>
              </w:rPr>
            </w:pPr>
            <w:r>
              <w:rPr>
                <w:rFonts w:eastAsia="Times New Roman"/>
                <w:sz w:val="20"/>
                <w:szCs w:val="20"/>
              </w:rPr>
              <w:t>33,913</w:t>
            </w:r>
          </w:p>
        </w:tc>
        <w:tc>
          <w:tcPr>
            <w:tcW w:w="0" w:type="auto"/>
            <w:shd w:val="clear" w:color="auto" w:fill="CCEEFF"/>
            <w:vAlign w:val="bottom"/>
            <w:hideMark/>
          </w:tcPr>
          <w:p w14:paraId="3E7918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A75D1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BA1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69E59" w14:textId="77777777" w:rsidR="00000000" w:rsidRDefault="009027A3">
            <w:pPr>
              <w:jc w:val="right"/>
              <w:rPr>
                <w:rFonts w:eastAsia="Times New Roman"/>
                <w:sz w:val="20"/>
                <w:szCs w:val="20"/>
              </w:rPr>
            </w:pPr>
            <w:r>
              <w:rPr>
                <w:rFonts w:eastAsia="Times New Roman"/>
                <w:sz w:val="20"/>
                <w:szCs w:val="20"/>
              </w:rPr>
              <w:t>36,754</w:t>
            </w:r>
          </w:p>
        </w:tc>
        <w:tc>
          <w:tcPr>
            <w:tcW w:w="0" w:type="auto"/>
            <w:shd w:val="clear" w:color="auto" w:fill="CCEEFF"/>
            <w:vAlign w:val="bottom"/>
            <w:hideMark/>
          </w:tcPr>
          <w:p w14:paraId="67D5AC1F" w14:textId="77777777" w:rsidR="00000000" w:rsidRDefault="009027A3">
            <w:pPr>
              <w:rPr>
                <w:rFonts w:eastAsia="Times New Roman"/>
                <w:sz w:val="20"/>
                <w:szCs w:val="20"/>
              </w:rPr>
            </w:pPr>
            <w:r>
              <w:rPr>
                <w:rFonts w:eastAsia="Times New Roman"/>
                <w:sz w:val="20"/>
                <w:szCs w:val="20"/>
              </w:rPr>
              <w:t> </w:t>
            </w:r>
          </w:p>
        </w:tc>
      </w:tr>
      <w:tr w:rsidR="00000000" w14:paraId="4B8D0C68" w14:textId="77777777">
        <w:tc>
          <w:tcPr>
            <w:tcW w:w="0" w:type="auto"/>
            <w:shd w:val="clear" w:color="auto" w:fill="FFFFFF"/>
            <w:vAlign w:val="bottom"/>
            <w:hideMark/>
          </w:tcPr>
          <w:p w14:paraId="29D12363" w14:textId="77777777" w:rsidR="00000000" w:rsidRDefault="009027A3">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14:paraId="574755D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61BB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2DF53"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4E5F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DFD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818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4A33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472617" w14:textId="77777777" w:rsidR="00000000" w:rsidRDefault="009027A3">
            <w:pPr>
              <w:rPr>
                <w:rFonts w:eastAsia="Times New Roman"/>
                <w:sz w:val="20"/>
                <w:szCs w:val="20"/>
              </w:rPr>
            </w:pPr>
            <w:r>
              <w:rPr>
                <w:rFonts w:eastAsia="Times New Roman"/>
                <w:sz w:val="20"/>
                <w:szCs w:val="20"/>
              </w:rPr>
              <w:t> </w:t>
            </w:r>
          </w:p>
        </w:tc>
      </w:tr>
      <w:tr w:rsidR="00000000" w14:paraId="33383337" w14:textId="77777777">
        <w:tc>
          <w:tcPr>
            <w:tcW w:w="0" w:type="auto"/>
            <w:shd w:val="clear" w:color="auto" w:fill="CCEEFF"/>
            <w:vAlign w:val="bottom"/>
            <w:hideMark/>
          </w:tcPr>
          <w:p w14:paraId="7D21D9A1" w14:textId="77777777" w:rsidR="00000000" w:rsidRDefault="009027A3">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14:paraId="16A6EC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C229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8E37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FC406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3F6A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F54F0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585F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5197C4" w14:textId="77777777" w:rsidR="00000000" w:rsidRDefault="009027A3">
            <w:pPr>
              <w:rPr>
                <w:rFonts w:eastAsia="Times New Roman"/>
                <w:sz w:val="20"/>
                <w:szCs w:val="20"/>
              </w:rPr>
            </w:pPr>
            <w:r>
              <w:rPr>
                <w:rFonts w:eastAsia="Times New Roman"/>
                <w:sz w:val="20"/>
                <w:szCs w:val="20"/>
              </w:rPr>
              <w:t> </w:t>
            </w:r>
          </w:p>
        </w:tc>
      </w:tr>
      <w:tr w:rsidR="00000000" w14:paraId="347E6361" w14:textId="77777777">
        <w:tc>
          <w:tcPr>
            <w:tcW w:w="0" w:type="auto"/>
            <w:shd w:val="clear" w:color="auto" w:fill="FFFFFF"/>
            <w:vAlign w:val="bottom"/>
            <w:hideMark/>
          </w:tcPr>
          <w:p w14:paraId="0E1185F2" w14:textId="77777777" w:rsidR="00000000" w:rsidRDefault="009027A3">
            <w:pPr>
              <w:rPr>
                <w:rFonts w:eastAsia="Times New Roman"/>
                <w:sz w:val="20"/>
                <w:szCs w:val="20"/>
              </w:rPr>
            </w:pPr>
            <w:r>
              <w:rPr>
                <w:rFonts w:eastAsia="Times New Roman"/>
                <w:sz w:val="20"/>
                <w:szCs w:val="20"/>
              </w:rPr>
              <w:t>Preferred stock, $0.001 par value  - authorized 7,000,000 shares at March 31, 2021 and December 31, 2020; issued and outstanding 5,502,961 and 5,475,279 shares at March 31, 2021 and December 31, 2020, respectively</w:t>
            </w:r>
          </w:p>
        </w:tc>
        <w:tc>
          <w:tcPr>
            <w:tcW w:w="0" w:type="auto"/>
            <w:shd w:val="clear" w:color="auto" w:fill="FFFFFF"/>
            <w:vAlign w:val="bottom"/>
            <w:hideMark/>
          </w:tcPr>
          <w:p w14:paraId="514C5A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7F60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B76262" w14:textId="77777777" w:rsidR="00000000" w:rsidRDefault="009027A3">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14:paraId="0E4627A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B70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6F7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0C02A" w14:textId="77777777" w:rsidR="00000000" w:rsidRDefault="009027A3">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14:paraId="31A8D19E" w14:textId="77777777" w:rsidR="00000000" w:rsidRDefault="009027A3">
            <w:pPr>
              <w:rPr>
                <w:rFonts w:eastAsia="Times New Roman"/>
                <w:sz w:val="20"/>
                <w:szCs w:val="20"/>
              </w:rPr>
            </w:pPr>
            <w:r>
              <w:rPr>
                <w:rFonts w:eastAsia="Times New Roman"/>
                <w:sz w:val="20"/>
                <w:szCs w:val="20"/>
              </w:rPr>
              <w:t> </w:t>
            </w:r>
          </w:p>
        </w:tc>
      </w:tr>
      <w:tr w:rsidR="00000000" w14:paraId="28BA2A4A" w14:textId="77777777">
        <w:tc>
          <w:tcPr>
            <w:tcW w:w="0" w:type="auto"/>
            <w:shd w:val="clear" w:color="auto" w:fill="CCEEFF"/>
            <w:vAlign w:val="bottom"/>
            <w:hideMark/>
          </w:tcPr>
          <w:p w14:paraId="6FB756ED" w14:textId="77777777" w:rsidR="00000000" w:rsidRDefault="009027A3">
            <w:pPr>
              <w:rPr>
                <w:rFonts w:eastAsia="Times New Roman"/>
                <w:sz w:val="20"/>
                <w:szCs w:val="20"/>
              </w:rPr>
            </w:pPr>
            <w:r>
              <w:rPr>
                <w:rFonts w:eastAsia="Times New Roman"/>
                <w:sz w:val="20"/>
                <w:szCs w:val="20"/>
              </w:rPr>
              <w:t xml:space="preserve">Common stock, $0.001 par value - authorized 29,000,000 shares at March 31, 2021 and December 31, 2020; issued 15,140,589 and 14,121,044 shares at March 31, 2021 and December 31, 2020, respectively; 14,399,790 and 13,380,245 shares outstanding at March 31, </w:t>
            </w:r>
            <w:r>
              <w:rPr>
                <w:rFonts w:eastAsia="Times New Roman"/>
                <w:sz w:val="20"/>
                <w:szCs w:val="20"/>
              </w:rPr>
              <w:t>2021 and December 31, 2020,  respectively</w:t>
            </w:r>
          </w:p>
        </w:tc>
        <w:tc>
          <w:tcPr>
            <w:tcW w:w="0" w:type="auto"/>
            <w:shd w:val="clear" w:color="auto" w:fill="CCEEFF"/>
            <w:vAlign w:val="bottom"/>
            <w:hideMark/>
          </w:tcPr>
          <w:p w14:paraId="678EC85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9AB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87579" w14:textId="77777777" w:rsidR="00000000" w:rsidRDefault="009027A3">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14:paraId="305F8FA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7CF3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74617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CFEAF" w14:textId="77777777" w:rsidR="00000000" w:rsidRDefault="009027A3">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14:paraId="2F53463C" w14:textId="77777777" w:rsidR="00000000" w:rsidRDefault="009027A3">
            <w:pPr>
              <w:rPr>
                <w:rFonts w:eastAsia="Times New Roman"/>
                <w:sz w:val="20"/>
                <w:szCs w:val="20"/>
              </w:rPr>
            </w:pPr>
            <w:r>
              <w:rPr>
                <w:rFonts w:eastAsia="Times New Roman"/>
                <w:sz w:val="20"/>
                <w:szCs w:val="20"/>
              </w:rPr>
              <w:t> </w:t>
            </w:r>
          </w:p>
        </w:tc>
      </w:tr>
      <w:tr w:rsidR="00000000" w14:paraId="6B823256" w14:textId="77777777">
        <w:tc>
          <w:tcPr>
            <w:tcW w:w="0" w:type="auto"/>
            <w:shd w:val="clear" w:color="auto" w:fill="FFFFFF"/>
            <w:vAlign w:val="bottom"/>
            <w:hideMark/>
          </w:tcPr>
          <w:p w14:paraId="08F51F18" w14:textId="77777777" w:rsidR="00000000" w:rsidRDefault="009027A3">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14:paraId="3EB696C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295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8AC17" w14:textId="77777777" w:rsidR="00000000" w:rsidRDefault="009027A3">
            <w:pPr>
              <w:jc w:val="right"/>
              <w:rPr>
                <w:rFonts w:eastAsia="Times New Roman"/>
                <w:sz w:val="20"/>
                <w:szCs w:val="20"/>
              </w:rPr>
            </w:pPr>
            <w:r>
              <w:rPr>
                <w:rFonts w:eastAsia="Times New Roman"/>
                <w:sz w:val="20"/>
                <w:szCs w:val="20"/>
              </w:rPr>
              <w:t>140,666</w:t>
            </w:r>
          </w:p>
        </w:tc>
        <w:tc>
          <w:tcPr>
            <w:tcW w:w="0" w:type="auto"/>
            <w:shd w:val="clear" w:color="auto" w:fill="FFFFFF"/>
            <w:vAlign w:val="bottom"/>
            <w:hideMark/>
          </w:tcPr>
          <w:p w14:paraId="5AEEBC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70C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8779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21422" w14:textId="77777777" w:rsidR="00000000" w:rsidRDefault="009027A3">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14:paraId="1A8B427B" w14:textId="77777777" w:rsidR="00000000" w:rsidRDefault="009027A3">
            <w:pPr>
              <w:rPr>
                <w:rFonts w:eastAsia="Times New Roman"/>
                <w:sz w:val="20"/>
                <w:szCs w:val="20"/>
              </w:rPr>
            </w:pPr>
            <w:r>
              <w:rPr>
                <w:rFonts w:eastAsia="Times New Roman"/>
                <w:sz w:val="20"/>
                <w:szCs w:val="20"/>
              </w:rPr>
              <w:t> </w:t>
            </w:r>
          </w:p>
        </w:tc>
      </w:tr>
      <w:tr w:rsidR="00000000" w14:paraId="4C3C2510" w14:textId="77777777">
        <w:tc>
          <w:tcPr>
            <w:tcW w:w="0" w:type="auto"/>
            <w:shd w:val="clear" w:color="auto" w:fill="CCEEFF"/>
            <w:vAlign w:val="bottom"/>
            <w:hideMark/>
          </w:tcPr>
          <w:p w14:paraId="7CD1FC48" w14:textId="77777777" w:rsidR="00000000" w:rsidRDefault="009027A3">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14:paraId="1EC85DD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C54C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A840C" w14:textId="77777777" w:rsidR="00000000" w:rsidRDefault="009027A3">
            <w:pPr>
              <w:jc w:val="right"/>
              <w:rPr>
                <w:rFonts w:eastAsia="Times New Roman"/>
                <w:sz w:val="20"/>
                <w:szCs w:val="20"/>
              </w:rPr>
            </w:pPr>
            <w:r>
              <w:rPr>
                <w:rFonts w:eastAsia="Times New Roman"/>
                <w:sz w:val="20"/>
                <w:szCs w:val="20"/>
              </w:rPr>
              <w:t>(35,853</w:t>
            </w:r>
          </w:p>
        </w:tc>
        <w:tc>
          <w:tcPr>
            <w:tcW w:w="0" w:type="auto"/>
            <w:shd w:val="clear" w:color="auto" w:fill="CCEEFF"/>
            <w:vAlign w:val="bottom"/>
            <w:hideMark/>
          </w:tcPr>
          <w:p w14:paraId="29788991"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04244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A72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DB8994" w14:textId="77777777" w:rsidR="00000000" w:rsidRDefault="009027A3">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14:paraId="6A39F36A" w14:textId="77777777" w:rsidR="00000000" w:rsidRDefault="009027A3">
            <w:pPr>
              <w:rPr>
                <w:rFonts w:eastAsia="Times New Roman"/>
                <w:sz w:val="20"/>
                <w:szCs w:val="20"/>
              </w:rPr>
            </w:pPr>
            <w:r>
              <w:rPr>
                <w:rFonts w:eastAsia="Times New Roman"/>
                <w:sz w:val="20"/>
                <w:szCs w:val="20"/>
              </w:rPr>
              <w:t>)</w:t>
            </w:r>
          </w:p>
        </w:tc>
      </w:tr>
      <w:tr w:rsidR="00000000" w14:paraId="64F49CC0" w14:textId="77777777">
        <w:tc>
          <w:tcPr>
            <w:tcW w:w="0" w:type="auto"/>
            <w:shd w:val="clear" w:color="auto" w:fill="FFFFFF"/>
            <w:vAlign w:val="bottom"/>
            <w:hideMark/>
          </w:tcPr>
          <w:p w14:paraId="3A66C4CF" w14:textId="77777777" w:rsidR="00000000" w:rsidRDefault="009027A3">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14:paraId="139905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6CF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066D69" w14:textId="77777777" w:rsidR="00000000" w:rsidRDefault="009027A3">
            <w:pPr>
              <w:jc w:val="right"/>
              <w:rPr>
                <w:rFonts w:eastAsia="Times New Roman"/>
                <w:sz w:val="20"/>
                <w:szCs w:val="20"/>
              </w:rPr>
            </w:pPr>
            <w:r>
              <w:rPr>
                <w:rFonts w:eastAsia="Times New Roman"/>
                <w:sz w:val="20"/>
                <w:szCs w:val="20"/>
              </w:rPr>
              <w:t>(659</w:t>
            </w:r>
          </w:p>
        </w:tc>
        <w:tc>
          <w:tcPr>
            <w:tcW w:w="0" w:type="auto"/>
            <w:shd w:val="clear" w:color="auto" w:fill="FFFFFF"/>
            <w:vAlign w:val="bottom"/>
            <w:hideMark/>
          </w:tcPr>
          <w:p w14:paraId="26A00660"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6421515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94BF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5389F" w14:textId="77777777" w:rsidR="00000000" w:rsidRDefault="009027A3">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14:paraId="10FA1497" w14:textId="77777777" w:rsidR="00000000" w:rsidRDefault="009027A3">
            <w:pPr>
              <w:rPr>
                <w:rFonts w:eastAsia="Times New Roman"/>
                <w:sz w:val="20"/>
                <w:szCs w:val="20"/>
              </w:rPr>
            </w:pPr>
            <w:r>
              <w:rPr>
                <w:rFonts w:eastAsia="Times New Roman"/>
                <w:sz w:val="20"/>
                <w:szCs w:val="20"/>
              </w:rPr>
              <w:t>)</w:t>
            </w:r>
          </w:p>
        </w:tc>
      </w:tr>
      <w:tr w:rsidR="00000000" w14:paraId="31953436" w14:textId="77777777">
        <w:tc>
          <w:tcPr>
            <w:tcW w:w="0" w:type="auto"/>
            <w:shd w:val="clear" w:color="auto" w:fill="CCEEFF"/>
            <w:tcMar>
              <w:top w:w="0" w:type="dxa"/>
              <w:left w:w="0" w:type="dxa"/>
              <w:bottom w:w="30" w:type="dxa"/>
              <w:right w:w="0" w:type="dxa"/>
            </w:tcMar>
            <w:vAlign w:val="bottom"/>
            <w:hideMark/>
          </w:tcPr>
          <w:p w14:paraId="172E5EEC" w14:textId="77777777" w:rsidR="00000000" w:rsidRDefault="009027A3">
            <w:pPr>
              <w:rPr>
                <w:rFonts w:eastAsia="Times New Roman"/>
                <w:sz w:val="20"/>
                <w:szCs w:val="20"/>
              </w:rPr>
            </w:pPr>
            <w:r>
              <w:rPr>
                <w:rFonts w:eastAsia="Times New Roman"/>
                <w:sz w:val="20"/>
                <w:szCs w:val="20"/>
              </w:rPr>
              <w:t>Less: 740,799 common shares held in treasury, at cost at March 31, 2021 and December 31, 2020</w:t>
            </w:r>
          </w:p>
        </w:tc>
        <w:tc>
          <w:tcPr>
            <w:tcW w:w="0" w:type="auto"/>
            <w:shd w:val="clear" w:color="auto" w:fill="CCEEFF"/>
            <w:tcMar>
              <w:top w:w="0" w:type="dxa"/>
              <w:left w:w="0" w:type="dxa"/>
              <w:bottom w:w="30" w:type="dxa"/>
              <w:right w:w="0" w:type="dxa"/>
            </w:tcMar>
            <w:vAlign w:val="bottom"/>
            <w:hideMark/>
          </w:tcPr>
          <w:p w14:paraId="68FC502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9C193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8081DD" w14:textId="77777777" w:rsidR="00000000" w:rsidRDefault="009027A3">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14:paraId="4202D32D"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16C41A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1FC1D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5C3FF5" w14:textId="77777777" w:rsidR="00000000" w:rsidRDefault="009027A3">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14:paraId="300E59BB" w14:textId="77777777" w:rsidR="00000000" w:rsidRDefault="009027A3">
            <w:pPr>
              <w:rPr>
                <w:rFonts w:eastAsia="Times New Roman"/>
                <w:sz w:val="20"/>
                <w:szCs w:val="20"/>
              </w:rPr>
            </w:pPr>
            <w:r>
              <w:rPr>
                <w:rFonts w:eastAsia="Times New Roman"/>
                <w:sz w:val="20"/>
                <w:szCs w:val="20"/>
              </w:rPr>
              <w:t>)</w:t>
            </w:r>
          </w:p>
        </w:tc>
      </w:tr>
      <w:tr w:rsidR="00000000" w14:paraId="07ECF2DF" w14:textId="77777777">
        <w:tc>
          <w:tcPr>
            <w:tcW w:w="0" w:type="auto"/>
            <w:shd w:val="clear" w:color="auto" w:fill="FFFFFF"/>
            <w:tcMar>
              <w:top w:w="0" w:type="dxa"/>
              <w:left w:w="0" w:type="dxa"/>
              <w:bottom w:w="30" w:type="dxa"/>
              <w:right w:w="0" w:type="dxa"/>
            </w:tcMar>
            <w:vAlign w:val="bottom"/>
            <w:hideMark/>
          </w:tcPr>
          <w:p w14:paraId="4400D292" w14:textId="77777777" w:rsidR="00000000" w:rsidRDefault="009027A3">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14:paraId="6E9B102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C799E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684F4A" w14:textId="77777777" w:rsidR="00000000" w:rsidRDefault="009027A3">
            <w:pPr>
              <w:jc w:val="right"/>
              <w:rPr>
                <w:rFonts w:eastAsia="Times New Roman"/>
                <w:sz w:val="20"/>
                <w:szCs w:val="20"/>
              </w:rPr>
            </w:pPr>
            <w:r>
              <w:rPr>
                <w:rFonts w:eastAsia="Times New Roman"/>
                <w:sz w:val="20"/>
                <w:szCs w:val="20"/>
              </w:rPr>
              <w:t>103,513</w:t>
            </w:r>
          </w:p>
        </w:tc>
        <w:tc>
          <w:tcPr>
            <w:tcW w:w="0" w:type="auto"/>
            <w:shd w:val="clear" w:color="auto" w:fill="FFFFFF"/>
            <w:tcMar>
              <w:top w:w="0" w:type="dxa"/>
              <w:left w:w="0" w:type="dxa"/>
              <w:bottom w:w="30" w:type="dxa"/>
              <w:right w:w="0" w:type="dxa"/>
            </w:tcMar>
            <w:vAlign w:val="bottom"/>
            <w:hideMark/>
          </w:tcPr>
          <w:p w14:paraId="25B6CD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EF1A4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CEFF3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20AAAE" w14:textId="77777777" w:rsidR="00000000" w:rsidRDefault="009027A3">
            <w:pPr>
              <w:jc w:val="right"/>
              <w:rPr>
                <w:rFonts w:eastAsia="Times New Roman"/>
                <w:sz w:val="20"/>
                <w:szCs w:val="20"/>
              </w:rPr>
            </w:pPr>
            <w:r>
              <w:rPr>
                <w:rFonts w:eastAsia="Times New Roman"/>
                <w:sz w:val="20"/>
                <w:szCs w:val="20"/>
              </w:rPr>
              <w:t>101,245</w:t>
            </w:r>
          </w:p>
        </w:tc>
        <w:tc>
          <w:tcPr>
            <w:tcW w:w="0" w:type="auto"/>
            <w:shd w:val="clear" w:color="auto" w:fill="FFFFFF"/>
            <w:tcMar>
              <w:top w:w="0" w:type="dxa"/>
              <w:left w:w="0" w:type="dxa"/>
              <w:bottom w:w="30" w:type="dxa"/>
              <w:right w:w="0" w:type="dxa"/>
            </w:tcMar>
            <w:vAlign w:val="bottom"/>
            <w:hideMark/>
          </w:tcPr>
          <w:p w14:paraId="7740B1AB" w14:textId="77777777" w:rsidR="00000000" w:rsidRDefault="009027A3">
            <w:pPr>
              <w:rPr>
                <w:rFonts w:eastAsia="Times New Roman"/>
                <w:sz w:val="20"/>
                <w:szCs w:val="20"/>
              </w:rPr>
            </w:pPr>
            <w:r>
              <w:rPr>
                <w:rFonts w:eastAsia="Times New Roman"/>
                <w:sz w:val="20"/>
                <w:szCs w:val="20"/>
              </w:rPr>
              <w:t> </w:t>
            </w:r>
          </w:p>
        </w:tc>
      </w:tr>
      <w:tr w:rsidR="00000000" w14:paraId="507F4EFE" w14:textId="77777777">
        <w:tc>
          <w:tcPr>
            <w:tcW w:w="0" w:type="auto"/>
            <w:shd w:val="clear" w:color="auto" w:fill="CCEEFF"/>
            <w:tcMar>
              <w:top w:w="0" w:type="dxa"/>
              <w:left w:w="0" w:type="dxa"/>
              <w:bottom w:w="50" w:type="dxa"/>
              <w:right w:w="0" w:type="dxa"/>
            </w:tcMar>
            <w:vAlign w:val="bottom"/>
            <w:hideMark/>
          </w:tcPr>
          <w:p w14:paraId="282E1155" w14:textId="77777777" w:rsidR="00000000" w:rsidRDefault="009027A3">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14:paraId="0A5BA5D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F54F1D"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E905F7" w14:textId="77777777" w:rsidR="00000000" w:rsidRDefault="009027A3">
            <w:pPr>
              <w:jc w:val="right"/>
              <w:rPr>
                <w:rFonts w:eastAsia="Times New Roman"/>
                <w:sz w:val="20"/>
                <w:szCs w:val="20"/>
              </w:rPr>
            </w:pPr>
            <w:r>
              <w:rPr>
                <w:rFonts w:eastAsia="Times New Roman"/>
                <w:sz w:val="20"/>
                <w:szCs w:val="20"/>
              </w:rPr>
              <w:t>137,426</w:t>
            </w:r>
          </w:p>
        </w:tc>
        <w:tc>
          <w:tcPr>
            <w:tcW w:w="0" w:type="auto"/>
            <w:shd w:val="clear" w:color="auto" w:fill="CCEEFF"/>
            <w:tcMar>
              <w:top w:w="0" w:type="dxa"/>
              <w:left w:w="0" w:type="dxa"/>
              <w:bottom w:w="50" w:type="dxa"/>
              <w:right w:w="0" w:type="dxa"/>
            </w:tcMar>
            <w:vAlign w:val="bottom"/>
            <w:hideMark/>
          </w:tcPr>
          <w:p w14:paraId="0796CD7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F54338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48B25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EE31E2" w14:textId="77777777" w:rsidR="00000000" w:rsidRDefault="009027A3">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14:paraId="6BFC7E1F" w14:textId="77777777" w:rsidR="00000000" w:rsidRDefault="009027A3">
            <w:pPr>
              <w:rPr>
                <w:rFonts w:eastAsia="Times New Roman"/>
                <w:sz w:val="20"/>
                <w:szCs w:val="20"/>
              </w:rPr>
            </w:pPr>
            <w:r>
              <w:rPr>
                <w:rFonts w:eastAsia="Times New Roman"/>
                <w:sz w:val="20"/>
                <w:szCs w:val="20"/>
              </w:rPr>
              <w:t> </w:t>
            </w:r>
          </w:p>
        </w:tc>
      </w:tr>
    </w:tbl>
    <w:p w14:paraId="3F06371F" w14:textId="77777777" w:rsidR="00000000" w:rsidRDefault="009027A3">
      <w:pPr>
        <w:pStyle w:val="a3"/>
        <w:spacing w:before="0" w:beforeAutospacing="0" w:after="0" w:afterAutospacing="0"/>
        <w:rPr>
          <w:sz w:val="20"/>
          <w:szCs w:val="20"/>
        </w:rPr>
      </w:pPr>
      <w:r>
        <w:rPr>
          <w:sz w:val="20"/>
          <w:szCs w:val="20"/>
        </w:rPr>
        <w:t> </w:t>
      </w:r>
    </w:p>
    <w:p w14:paraId="6C7D79B9" w14:textId="77777777" w:rsidR="00000000" w:rsidRDefault="009027A3">
      <w:pPr>
        <w:pStyle w:val="a3"/>
        <w:spacing w:before="0" w:beforeAutospacing="0" w:after="0" w:afterAutospacing="0"/>
        <w:rPr>
          <w:sz w:val="20"/>
          <w:szCs w:val="20"/>
        </w:rPr>
      </w:pPr>
      <w:r>
        <w:rPr>
          <w:sz w:val="20"/>
          <w:szCs w:val="20"/>
        </w:rPr>
        <w:t>See notes to condensed consolidated financial statements.</w:t>
      </w:r>
    </w:p>
    <w:p w14:paraId="24B3A9C4"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6F83CF7" w14:textId="77777777">
        <w:trPr>
          <w:divId w:val="1638339036"/>
        </w:trPr>
        <w:tc>
          <w:tcPr>
            <w:tcW w:w="5000" w:type="pct"/>
            <w:hideMark/>
          </w:tcPr>
          <w:p w14:paraId="1B848BE9" w14:textId="77777777" w:rsidR="00000000" w:rsidRDefault="009027A3">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242A18BF" w14:textId="77777777">
        <w:tc>
          <w:tcPr>
            <w:tcW w:w="5000" w:type="pct"/>
            <w:hideMark/>
          </w:tcPr>
          <w:p w14:paraId="3C47A8F8" w14:textId="77777777" w:rsidR="00000000" w:rsidRDefault="009027A3">
            <w:pPr>
              <w:rPr>
                <w:rFonts w:eastAsia="Times New Roman"/>
                <w:sz w:val="20"/>
                <w:szCs w:val="20"/>
              </w:rPr>
            </w:pPr>
            <w:r>
              <w:rPr>
                <w:rFonts w:eastAsia="Times New Roman"/>
                <w:sz w:val="20"/>
                <w:szCs w:val="20"/>
              </w:rPr>
              <w:t> </w:t>
            </w:r>
          </w:p>
        </w:tc>
      </w:tr>
    </w:tbl>
    <w:p w14:paraId="7E042B61" w14:textId="77777777" w:rsidR="00000000" w:rsidRDefault="009027A3">
      <w:pPr>
        <w:pStyle w:val="a3"/>
        <w:spacing w:before="0" w:beforeAutospacing="0" w:after="0" w:afterAutospacing="0"/>
        <w:rPr>
          <w:sz w:val="20"/>
          <w:szCs w:val="20"/>
        </w:rPr>
      </w:pPr>
      <w:r>
        <w:rPr>
          <w:sz w:val="20"/>
          <w:szCs w:val="20"/>
        </w:rPr>
        <w:t> </w:t>
      </w:r>
    </w:p>
    <w:p w14:paraId="010119D5" w14:textId="77777777" w:rsidR="00000000" w:rsidRDefault="009027A3">
      <w:pPr>
        <w:pStyle w:val="a3"/>
        <w:spacing w:before="0" w:beforeAutospacing="0" w:after="0" w:afterAutospacing="0"/>
        <w:jc w:val="center"/>
        <w:rPr>
          <w:sz w:val="20"/>
          <w:szCs w:val="20"/>
        </w:rPr>
      </w:pPr>
      <w:r>
        <w:rPr>
          <w:b/>
          <w:bCs/>
          <w:sz w:val="20"/>
          <w:szCs w:val="20"/>
        </w:rPr>
        <w:t>CARECLOUD, INC.</w:t>
      </w:r>
    </w:p>
    <w:p w14:paraId="2248C1F1" w14:textId="77777777" w:rsidR="00000000" w:rsidRDefault="009027A3">
      <w:pPr>
        <w:pStyle w:val="a3"/>
        <w:spacing w:before="0" w:beforeAutospacing="0" w:after="0" w:afterAutospacing="0"/>
        <w:jc w:val="center"/>
        <w:rPr>
          <w:sz w:val="20"/>
          <w:szCs w:val="20"/>
        </w:rPr>
      </w:pPr>
      <w:bookmarkStart w:id="3" w:name="a_003"/>
      <w:bookmarkEnd w:id="3"/>
      <w:r>
        <w:rPr>
          <w:b/>
          <w:bCs/>
          <w:sz w:val="20"/>
          <w:szCs w:val="20"/>
        </w:rPr>
        <w:t>CONDENSED CONSOLIDATED STATEMENTS OF OPERATIONS (UNAUDITED)</w:t>
      </w:r>
    </w:p>
    <w:p w14:paraId="5C4511EB" w14:textId="77777777" w:rsidR="00000000" w:rsidRDefault="009027A3">
      <w:pPr>
        <w:pStyle w:val="a3"/>
        <w:spacing w:before="0" w:beforeAutospacing="0" w:after="0" w:afterAutospacing="0"/>
        <w:jc w:val="center"/>
        <w:rPr>
          <w:sz w:val="20"/>
          <w:szCs w:val="20"/>
        </w:rPr>
      </w:pPr>
      <w:r>
        <w:rPr>
          <w:b/>
          <w:bCs/>
          <w:sz w:val="20"/>
          <w:szCs w:val="20"/>
        </w:rPr>
        <w:t>FOR THE THREE MONTHS ENDED MARCH 31, 2021 AND 2020</w:t>
      </w:r>
    </w:p>
    <w:p w14:paraId="60CD41C4" w14:textId="77777777" w:rsidR="00000000" w:rsidRDefault="009027A3">
      <w:pPr>
        <w:pStyle w:val="a3"/>
        <w:spacing w:before="0" w:beforeAutospacing="0" w:after="0" w:afterAutospacing="0"/>
        <w:jc w:val="center"/>
        <w:rPr>
          <w:sz w:val="20"/>
          <w:szCs w:val="20"/>
        </w:rPr>
      </w:pPr>
      <w:r>
        <w:rPr>
          <w:sz w:val="20"/>
          <w:szCs w:val="20"/>
          <w:u w:val="single"/>
        </w:rPr>
        <w:t>($ in thousands, except share and per share amounts)</w:t>
      </w:r>
    </w:p>
    <w:p w14:paraId="3D60F92F"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707A42E" w14:textId="77777777">
        <w:tc>
          <w:tcPr>
            <w:tcW w:w="0" w:type="auto"/>
            <w:vAlign w:val="bottom"/>
            <w:hideMark/>
          </w:tcPr>
          <w:p w14:paraId="4C445904"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17B93B"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A29F0EA" w14:textId="77777777" w:rsidR="00000000" w:rsidRDefault="009027A3">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260C0AD0" w14:textId="77777777" w:rsidR="00000000" w:rsidRDefault="009027A3">
            <w:pPr>
              <w:rPr>
                <w:rFonts w:eastAsia="Times New Roman"/>
                <w:sz w:val="20"/>
                <w:szCs w:val="20"/>
              </w:rPr>
            </w:pPr>
            <w:r>
              <w:rPr>
                <w:rFonts w:eastAsia="Times New Roman"/>
                <w:sz w:val="20"/>
                <w:szCs w:val="20"/>
              </w:rPr>
              <w:t> </w:t>
            </w:r>
          </w:p>
        </w:tc>
      </w:tr>
      <w:tr w:rsidR="00000000" w14:paraId="134E5AE6" w14:textId="77777777">
        <w:tc>
          <w:tcPr>
            <w:tcW w:w="0" w:type="auto"/>
            <w:vAlign w:val="bottom"/>
            <w:hideMark/>
          </w:tcPr>
          <w:p w14:paraId="3B3251A7"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733E73"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2F7FE5"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D4A3DEC"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36566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9CCAAA"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117A629" w14:textId="77777777" w:rsidR="00000000" w:rsidRDefault="009027A3">
            <w:pPr>
              <w:rPr>
                <w:rFonts w:eastAsia="Times New Roman"/>
                <w:b/>
                <w:bCs/>
                <w:sz w:val="20"/>
                <w:szCs w:val="20"/>
              </w:rPr>
            </w:pPr>
            <w:r>
              <w:rPr>
                <w:rFonts w:eastAsia="Times New Roman"/>
                <w:b/>
                <w:bCs/>
                <w:sz w:val="20"/>
                <w:szCs w:val="20"/>
              </w:rPr>
              <w:t> </w:t>
            </w:r>
          </w:p>
        </w:tc>
      </w:tr>
      <w:tr w:rsidR="00000000" w14:paraId="7F1FEE1A" w14:textId="77777777">
        <w:tc>
          <w:tcPr>
            <w:tcW w:w="3000" w:type="pct"/>
            <w:shd w:val="clear" w:color="auto" w:fill="CCEEFF"/>
            <w:tcMar>
              <w:top w:w="0" w:type="dxa"/>
              <w:left w:w="0" w:type="dxa"/>
              <w:bottom w:w="30" w:type="dxa"/>
              <w:right w:w="0" w:type="dxa"/>
            </w:tcMar>
            <w:vAlign w:val="bottom"/>
            <w:hideMark/>
          </w:tcPr>
          <w:p w14:paraId="4001E187" w14:textId="77777777" w:rsidR="00000000" w:rsidRDefault="009027A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2335C5D2" w14:textId="77777777" w:rsidR="00000000" w:rsidRDefault="009027A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0F2D198" w14:textId="77777777" w:rsidR="00000000" w:rsidRDefault="009027A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5E5F98EC" w14:textId="77777777" w:rsidR="00000000" w:rsidRDefault="009027A3">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30" w:type="dxa"/>
              <w:right w:w="0" w:type="dxa"/>
            </w:tcMar>
            <w:vAlign w:val="bottom"/>
            <w:hideMark/>
          </w:tcPr>
          <w:p w14:paraId="147A745F"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38CF23CC" w14:textId="77777777" w:rsidR="00000000" w:rsidRDefault="009027A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D9D274A" w14:textId="77777777" w:rsidR="00000000" w:rsidRDefault="009027A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10F94E74" w14:textId="77777777" w:rsidR="00000000" w:rsidRDefault="009027A3">
            <w:pPr>
              <w:jc w:val="right"/>
              <w:rPr>
                <w:rFonts w:eastAsia="Times New Roman"/>
                <w:sz w:val="20"/>
                <w:szCs w:val="20"/>
              </w:rPr>
            </w:pPr>
            <w:r>
              <w:rPr>
                <w:rFonts w:eastAsia="Times New Roman"/>
                <w:sz w:val="20"/>
                <w:szCs w:val="20"/>
              </w:rPr>
              <w:t>21,867</w:t>
            </w:r>
          </w:p>
        </w:tc>
        <w:tc>
          <w:tcPr>
            <w:tcW w:w="50" w:type="pct"/>
            <w:shd w:val="clear" w:color="auto" w:fill="CCEEFF"/>
            <w:tcMar>
              <w:top w:w="0" w:type="dxa"/>
              <w:left w:w="0" w:type="dxa"/>
              <w:bottom w:w="30" w:type="dxa"/>
              <w:right w:w="0" w:type="dxa"/>
            </w:tcMar>
            <w:vAlign w:val="bottom"/>
            <w:hideMark/>
          </w:tcPr>
          <w:p w14:paraId="47436253" w14:textId="77777777" w:rsidR="00000000" w:rsidRDefault="009027A3">
            <w:pPr>
              <w:rPr>
                <w:rFonts w:eastAsia="Times New Roman"/>
                <w:sz w:val="20"/>
                <w:szCs w:val="20"/>
              </w:rPr>
            </w:pPr>
            <w:r>
              <w:rPr>
                <w:rFonts w:eastAsia="Times New Roman"/>
                <w:sz w:val="20"/>
                <w:szCs w:val="20"/>
              </w:rPr>
              <w:t> </w:t>
            </w:r>
          </w:p>
        </w:tc>
      </w:tr>
      <w:tr w:rsidR="00000000" w14:paraId="08A46C63" w14:textId="77777777">
        <w:tc>
          <w:tcPr>
            <w:tcW w:w="0" w:type="auto"/>
            <w:shd w:val="clear" w:color="auto" w:fill="FFFFFF"/>
            <w:vAlign w:val="bottom"/>
            <w:hideMark/>
          </w:tcPr>
          <w:p w14:paraId="06FE677D" w14:textId="77777777" w:rsidR="00000000" w:rsidRDefault="009027A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68D4EC9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864A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F09FC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2E27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6D86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976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439C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0A9935" w14:textId="77777777" w:rsidR="00000000" w:rsidRDefault="009027A3">
            <w:pPr>
              <w:rPr>
                <w:rFonts w:eastAsia="Times New Roman"/>
                <w:sz w:val="20"/>
                <w:szCs w:val="20"/>
              </w:rPr>
            </w:pPr>
            <w:r>
              <w:rPr>
                <w:rFonts w:eastAsia="Times New Roman"/>
                <w:sz w:val="20"/>
                <w:szCs w:val="20"/>
              </w:rPr>
              <w:t> </w:t>
            </w:r>
          </w:p>
        </w:tc>
      </w:tr>
      <w:tr w:rsidR="00000000" w14:paraId="426A81D6" w14:textId="77777777">
        <w:tc>
          <w:tcPr>
            <w:tcW w:w="0" w:type="auto"/>
            <w:shd w:val="clear" w:color="auto" w:fill="CCEEFF"/>
            <w:tcMar>
              <w:top w:w="0" w:type="dxa"/>
              <w:left w:w="200" w:type="dxa"/>
              <w:bottom w:w="0" w:type="dxa"/>
              <w:right w:w="0" w:type="dxa"/>
            </w:tcMar>
            <w:vAlign w:val="bottom"/>
            <w:hideMark/>
          </w:tcPr>
          <w:p w14:paraId="26DEB52F" w14:textId="77777777" w:rsidR="00000000" w:rsidRDefault="009027A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48D98DC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213D5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A62CE" w14:textId="77777777" w:rsidR="00000000" w:rsidRDefault="009027A3">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14:paraId="5DED67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703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E3EC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AAA5C" w14:textId="77777777" w:rsidR="00000000" w:rsidRDefault="009027A3">
            <w:pPr>
              <w:jc w:val="right"/>
              <w:rPr>
                <w:rFonts w:eastAsia="Times New Roman"/>
                <w:sz w:val="20"/>
                <w:szCs w:val="20"/>
              </w:rPr>
            </w:pPr>
            <w:r>
              <w:rPr>
                <w:rFonts w:eastAsia="Times New Roman"/>
                <w:sz w:val="20"/>
                <w:szCs w:val="20"/>
              </w:rPr>
              <w:t>13,567</w:t>
            </w:r>
          </w:p>
        </w:tc>
        <w:tc>
          <w:tcPr>
            <w:tcW w:w="0" w:type="auto"/>
            <w:shd w:val="clear" w:color="auto" w:fill="CCEEFF"/>
            <w:vAlign w:val="bottom"/>
            <w:hideMark/>
          </w:tcPr>
          <w:p w14:paraId="03467E5E" w14:textId="77777777" w:rsidR="00000000" w:rsidRDefault="009027A3">
            <w:pPr>
              <w:rPr>
                <w:rFonts w:eastAsia="Times New Roman"/>
                <w:sz w:val="20"/>
                <w:szCs w:val="20"/>
              </w:rPr>
            </w:pPr>
            <w:r>
              <w:rPr>
                <w:rFonts w:eastAsia="Times New Roman"/>
                <w:sz w:val="20"/>
                <w:szCs w:val="20"/>
              </w:rPr>
              <w:t> </w:t>
            </w:r>
          </w:p>
        </w:tc>
      </w:tr>
      <w:tr w:rsidR="00000000" w14:paraId="78D06594" w14:textId="77777777">
        <w:tc>
          <w:tcPr>
            <w:tcW w:w="0" w:type="auto"/>
            <w:shd w:val="clear" w:color="auto" w:fill="FFFFFF"/>
            <w:tcMar>
              <w:top w:w="0" w:type="dxa"/>
              <w:left w:w="200" w:type="dxa"/>
              <w:bottom w:w="0" w:type="dxa"/>
              <w:right w:w="0" w:type="dxa"/>
            </w:tcMar>
            <w:vAlign w:val="bottom"/>
            <w:hideMark/>
          </w:tcPr>
          <w:p w14:paraId="0B03D699"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2D4C6C9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FDC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320DC" w14:textId="77777777" w:rsidR="00000000" w:rsidRDefault="009027A3">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14:paraId="454083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0538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127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41C68E" w14:textId="77777777" w:rsidR="00000000" w:rsidRDefault="009027A3">
            <w:pPr>
              <w:jc w:val="right"/>
              <w:rPr>
                <w:rFonts w:eastAsia="Times New Roman"/>
                <w:sz w:val="20"/>
                <w:szCs w:val="20"/>
              </w:rPr>
            </w:pPr>
            <w:r>
              <w:rPr>
                <w:rFonts w:eastAsia="Times New Roman"/>
                <w:sz w:val="20"/>
                <w:szCs w:val="20"/>
              </w:rPr>
              <w:t>1,581</w:t>
            </w:r>
          </w:p>
        </w:tc>
        <w:tc>
          <w:tcPr>
            <w:tcW w:w="0" w:type="auto"/>
            <w:shd w:val="clear" w:color="auto" w:fill="FFFFFF"/>
            <w:vAlign w:val="bottom"/>
            <w:hideMark/>
          </w:tcPr>
          <w:p w14:paraId="266B2DFF" w14:textId="77777777" w:rsidR="00000000" w:rsidRDefault="009027A3">
            <w:pPr>
              <w:rPr>
                <w:rFonts w:eastAsia="Times New Roman"/>
                <w:sz w:val="20"/>
                <w:szCs w:val="20"/>
              </w:rPr>
            </w:pPr>
            <w:r>
              <w:rPr>
                <w:rFonts w:eastAsia="Times New Roman"/>
                <w:sz w:val="20"/>
                <w:szCs w:val="20"/>
              </w:rPr>
              <w:t> </w:t>
            </w:r>
          </w:p>
        </w:tc>
      </w:tr>
      <w:tr w:rsidR="00000000" w14:paraId="1D6B2646" w14:textId="77777777">
        <w:tc>
          <w:tcPr>
            <w:tcW w:w="0" w:type="auto"/>
            <w:shd w:val="clear" w:color="auto" w:fill="CCEEFF"/>
            <w:tcMar>
              <w:top w:w="0" w:type="dxa"/>
              <w:left w:w="200" w:type="dxa"/>
              <w:bottom w:w="0" w:type="dxa"/>
              <w:right w:w="0" w:type="dxa"/>
            </w:tcMar>
            <w:vAlign w:val="bottom"/>
            <w:hideMark/>
          </w:tcPr>
          <w:p w14:paraId="6DD5C5B7"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3D0EED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BA104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0E75C3" w14:textId="77777777" w:rsidR="00000000" w:rsidRDefault="009027A3">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14:paraId="2EC8A6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977A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1438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93CEF" w14:textId="77777777" w:rsidR="00000000" w:rsidRDefault="009027A3">
            <w:pPr>
              <w:jc w:val="right"/>
              <w:rPr>
                <w:rFonts w:eastAsia="Times New Roman"/>
                <w:sz w:val="20"/>
                <w:szCs w:val="20"/>
              </w:rPr>
            </w:pPr>
            <w:r>
              <w:rPr>
                <w:rFonts w:eastAsia="Times New Roman"/>
                <w:sz w:val="20"/>
                <w:szCs w:val="20"/>
              </w:rPr>
              <w:t>5,593</w:t>
            </w:r>
          </w:p>
        </w:tc>
        <w:tc>
          <w:tcPr>
            <w:tcW w:w="0" w:type="auto"/>
            <w:shd w:val="clear" w:color="auto" w:fill="CCEEFF"/>
            <w:vAlign w:val="bottom"/>
            <w:hideMark/>
          </w:tcPr>
          <w:p w14:paraId="000365F5" w14:textId="77777777" w:rsidR="00000000" w:rsidRDefault="009027A3">
            <w:pPr>
              <w:rPr>
                <w:rFonts w:eastAsia="Times New Roman"/>
                <w:sz w:val="20"/>
                <w:szCs w:val="20"/>
              </w:rPr>
            </w:pPr>
            <w:r>
              <w:rPr>
                <w:rFonts w:eastAsia="Times New Roman"/>
                <w:sz w:val="20"/>
                <w:szCs w:val="20"/>
              </w:rPr>
              <w:t> </w:t>
            </w:r>
          </w:p>
        </w:tc>
      </w:tr>
      <w:tr w:rsidR="00000000" w14:paraId="2B26FFF9" w14:textId="77777777">
        <w:tc>
          <w:tcPr>
            <w:tcW w:w="0" w:type="auto"/>
            <w:shd w:val="clear" w:color="auto" w:fill="FFFFFF"/>
            <w:tcMar>
              <w:top w:w="0" w:type="dxa"/>
              <w:left w:w="200" w:type="dxa"/>
              <w:bottom w:w="0" w:type="dxa"/>
              <w:right w:w="0" w:type="dxa"/>
            </w:tcMar>
            <w:vAlign w:val="bottom"/>
            <w:hideMark/>
          </w:tcPr>
          <w:p w14:paraId="32A7FCBC"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71978D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D525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ECB131" w14:textId="77777777" w:rsidR="00000000" w:rsidRDefault="009027A3">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14:paraId="045679A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493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B58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0D738" w14:textId="77777777" w:rsidR="00000000" w:rsidRDefault="009027A3">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14:paraId="424D50F1" w14:textId="77777777" w:rsidR="00000000" w:rsidRDefault="009027A3">
            <w:pPr>
              <w:rPr>
                <w:rFonts w:eastAsia="Times New Roman"/>
                <w:sz w:val="20"/>
                <w:szCs w:val="20"/>
              </w:rPr>
            </w:pPr>
            <w:r>
              <w:rPr>
                <w:rFonts w:eastAsia="Times New Roman"/>
                <w:sz w:val="20"/>
                <w:szCs w:val="20"/>
              </w:rPr>
              <w:t> </w:t>
            </w:r>
          </w:p>
        </w:tc>
      </w:tr>
      <w:tr w:rsidR="00000000" w14:paraId="58CEAA9D" w14:textId="77777777">
        <w:tc>
          <w:tcPr>
            <w:tcW w:w="0" w:type="auto"/>
            <w:shd w:val="clear" w:color="auto" w:fill="CCEEFF"/>
            <w:tcMar>
              <w:top w:w="0" w:type="dxa"/>
              <w:left w:w="200" w:type="dxa"/>
              <w:bottom w:w="0" w:type="dxa"/>
              <w:right w:w="0" w:type="dxa"/>
            </w:tcMar>
            <w:vAlign w:val="bottom"/>
            <w:hideMark/>
          </w:tcPr>
          <w:p w14:paraId="1236C5CE"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5A4F3B3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F7C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749CE" w14:textId="77777777" w:rsidR="00000000" w:rsidRDefault="009027A3">
            <w:pPr>
              <w:jc w:val="right"/>
              <w:rPr>
                <w:rFonts w:eastAsia="Times New Roman"/>
                <w:sz w:val="20"/>
                <w:szCs w:val="20"/>
              </w:rPr>
            </w:pPr>
            <w:r>
              <w:rPr>
                <w:rFonts w:eastAsia="Times New Roman"/>
                <w:sz w:val="20"/>
                <w:szCs w:val="20"/>
              </w:rPr>
              <w:t>2,831</w:t>
            </w:r>
          </w:p>
        </w:tc>
        <w:tc>
          <w:tcPr>
            <w:tcW w:w="0" w:type="auto"/>
            <w:shd w:val="clear" w:color="auto" w:fill="CCEEFF"/>
            <w:vAlign w:val="bottom"/>
            <w:hideMark/>
          </w:tcPr>
          <w:p w14:paraId="64575C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1B1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EA51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05639" w14:textId="77777777" w:rsidR="00000000" w:rsidRDefault="009027A3">
            <w:pPr>
              <w:jc w:val="right"/>
              <w:rPr>
                <w:rFonts w:eastAsia="Times New Roman"/>
                <w:sz w:val="20"/>
                <w:szCs w:val="20"/>
              </w:rPr>
            </w:pPr>
            <w:r>
              <w:rPr>
                <w:rFonts w:eastAsia="Times New Roman"/>
                <w:sz w:val="20"/>
                <w:szCs w:val="20"/>
              </w:rPr>
              <w:t>1,333</w:t>
            </w:r>
          </w:p>
        </w:tc>
        <w:tc>
          <w:tcPr>
            <w:tcW w:w="0" w:type="auto"/>
            <w:shd w:val="clear" w:color="auto" w:fill="CCEEFF"/>
            <w:vAlign w:val="bottom"/>
            <w:hideMark/>
          </w:tcPr>
          <w:p w14:paraId="32288DA4" w14:textId="77777777" w:rsidR="00000000" w:rsidRDefault="009027A3">
            <w:pPr>
              <w:rPr>
                <w:rFonts w:eastAsia="Times New Roman"/>
                <w:sz w:val="20"/>
                <w:szCs w:val="20"/>
              </w:rPr>
            </w:pPr>
            <w:r>
              <w:rPr>
                <w:rFonts w:eastAsia="Times New Roman"/>
                <w:sz w:val="20"/>
                <w:szCs w:val="20"/>
              </w:rPr>
              <w:t> </w:t>
            </w:r>
          </w:p>
        </w:tc>
      </w:tr>
      <w:tr w:rsidR="00000000" w14:paraId="2710D84F" w14:textId="77777777">
        <w:tc>
          <w:tcPr>
            <w:tcW w:w="0" w:type="auto"/>
            <w:shd w:val="clear" w:color="auto" w:fill="FFFFFF"/>
            <w:tcMar>
              <w:top w:w="0" w:type="dxa"/>
              <w:left w:w="200" w:type="dxa"/>
              <w:bottom w:w="30" w:type="dxa"/>
              <w:right w:w="0" w:type="dxa"/>
            </w:tcMar>
            <w:vAlign w:val="bottom"/>
            <w:hideMark/>
          </w:tcPr>
          <w:p w14:paraId="0B74214E"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012E5FC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1C9F0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0E55B8"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14:paraId="74FB486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716CD4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CEC9E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2589D3"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FFFFFF"/>
            <w:tcMar>
              <w:top w:w="0" w:type="dxa"/>
              <w:left w:w="0" w:type="dxa"/>
              <w:bottom w:w="30" w:type="dxa"/>
              <w:right w:w="0" w:type="dxa"/>
            </w:tcMar>
            <w:vAlign w:val="bottom"/>
            <w:hideMark/>
          </w:tcPr>
          <w:p w14:paraId="63253FE3" w14:textId="77777777" w:rsidR="00000000" w:rsidRDefault="009027A3">
            <w:pPr>
              <w:rPr>
                <w:rFonts w:eastAsia="Times New Roman"/>
                <w:sz w:val="20"/>
                <w:szCs w:val="20"/>
              </w:rPr>
            </w:pPr>
            <w:r>
              <w:rPr>
                <w:rFonts w:eastAsia="Times New Roman"/>
                <w:sz w:val="20"/>
                <w:szCs w:val="20"/>
              </w:rPr>
              <w:t> </w:t>
            </w:r>
          </w:p>
        </w:tc>
      </w:tr>
      <w:tr w:rsidR="00000000" w14:paraId="54E35AB7" w14:textId="77777777">
        <w:tc>
          <w:tcPr>
            <w:tcW w:w="0" w:type="auto"/>
            <w:shd w:val="clear" w:color="auto" w:fill="CCEEFF"/>
            <w:tcMar>
              <w:top w:w="0" w:type="dxa"/>
              <w:left w:w="400" w:type="dxa"/>
              <w:bottom w:w="30" w:type="dxa"/>
              <w:right w:w="0" w:type="dxa"/>
            </w:tcMar>
            <w:vAlign w:val="bottom"/>
            <w:hideMark/>
          </w:tcPr>
          <w:p w14:paraId="4C47174E" w14:textId="77777777" w:rsidR="00000000" w:rsidRDefault="009027A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5E55E58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54206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6AC7A8" w14:textId="77777777" w:rsidR="00000000" w:rsidRDefault="009027A3">
            <w:pPr>
              <w:jc w:val="right"/>
              <w:rPr>
                <w:rFonts w:eastAsia="Times New Roman"/>
                <w:sz w:val="20"/>
                <w:szCs w:val="20"/>
              </w:rPr>
            </w:pPr>
            <w:r>
              <w:rPr>
                <w:rFonts w:eastAsia="Times New Roman"/>
                <w:sz w:val="20"/>
                <w:szCs w:val="20"/>
              </w:rPr>
              <w:t>31,449</w:t>
            </w:r>
          </w:p>
        </w:tc>
        <w:tc>
          <w:tcPr>
            <w:tcW w:w="0" w:type="auto"/>
            <w:shd w:val="clear" w:color="auto" w:fill="CCEEFF"/>
            <w:tcMar>
              <w:top w:w="0" w:type="dxa"/>
              <w:left w:w="0" w:type="dxa"/>
              <w:bottom w:w="30" w:type="dxa"/>
              <w:right w:w="0" w:type="dxa"/>
            </w:tcMar>
            <w:vAlign w:val="bottom"/>
            <w:hideMark/>
          </w:tcPr>
          <w:p w14:paraId="597A6E7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8EDB84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C37A3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33BA6B" w14:textId="77777777" w:rsidR="00000000" w:rsidRDefault="009027A3">
            <w:pPr>
              <w:jc w:val="right"/>
              <w:rPr>
                <w:rFonts w:eastAsia="Times New Roman"/>
                <w:sz w:val="20"/>
                <w:szCs w:val="20"/>
              </w:rPr>
            </w:pPr>
            <w:r>
              <w:rPr>
                <w:rFonts w:eastAsia="Times New Roman"/>
                <w:sz w:val="20"/>
                <w:szCs w:val="20"/>
              </w:rPr>
              <w:t>24,704</w:t>
            </w:r>
          </w:p>
        </w:tc>
        <w:tc>
          <w:tcPr>
            <w:tcW w:w="0" w:type="auto"/>
            <w:shd w:val="clear" w:color="auto" w:fill="CCEEFF"/>
            <w:tcMar>
              <w:top w:w="0" w:type="dxa"/>
              <w:left w:w="0" w:type="dxa"/>
              <w:bottom w:w="30" w:type="dxa"/>
              <w:right w:w="0" w:type="dxa"/>
            </w:tcMar>
            <w:vAlign w:val="bottom"/>
            <w:hideMark/>
          </w:tcPr>
          <w:p w14:paraId="5B833DB6" w14:textId="77777777" w:rsidR="00000000" w:rsidRDefault="009027A3">
            <w:pPr>
              <w:rPr>
                <w:rFonts w:eastAsia="Times New Roman"/>
                <w:sz w:val="20"/>
                <w:szCs w:val="20"/>
              </w:rPr>
            </w:pPr>
            <w:r>
              <w:rPr>
                <w:rFonts w:eastAsia="Times New Roman"/>
                <w:sz w:val="20"/>
                <w:szCs w:val="20"/>
              </w:rPr>
              <w:t> </w:t>
            </w:r>
          </w:p>
        </w:tc>
      </w:tr>
      <w:tr w:rsidR="00000000" w14:paraId="0FF78823" w14:textId="77777777">
        <w:tc>
          <w:tcPr>
            <w:tcW w:w="0" w:type="auto"/>
            <w:shd w:val="clear" w:color="auto" w:fill="FFFFFF"/>
            <w:vAlign w:val="bottom"/>
            <w:hideMark/>
          </w:tcPr>
          <w:p w14:paraId="311C006A" w14:textId="77777777" w:rsidR="00000000" w:rsidRDefault="009027A3">
            <w:pPr>
              <w:rPr>
                <w:rFonts w:eastAsia="Times New Roman"/>
                <w:sz w:val="20"/>
                <w:szCs w:val="20"/>
              </w:rPr>
            </w:pPr>
            <w:r>
              <w:rPr>
                <w:rFonts w:eastAsia="Times New Roman"/>
                <w:sz w:val="20"/>
                <w:szCs w:val="20"/>
              </w:rPr>
              <w:t>OPERATING LOSS</w:t>
            </w:r>
          </w:p>
        </w:tc>
        <w:tc>
          <w:tcPr>
            <w:tcW w:w="0" w:type="auto"/>
            <w:shd w:val="clear" w:color="auto" w:fill="FFFFFF"/>
            <w:vAlign w:val="bottom"/>
            <w:hideMark/>
          </w:tcPr>
          <w:p w14:paraId="1A48A57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1BB7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0FB1B" w14:textId="77777777" w:rsidR="00000000" w:rsidRDefault="009027A3">
            <w:pPr>
              <w:jc w:val="right"/>
              <w:rPr>
                <w:rFonts w:eastAsia="Times New Roman"/>
                <w:sz w:val="20"/>
                <w:szCs w:val="20"/>
              </w:rPr>
            </w:pPr>
            <w:r>
              <w:rPr>
                <w:rFonts w:eastAsia="Times New Roman"/>
                <w:sz w:val="20"/>
                <w:szCs w:val="20"/>
              </w:rPr>
              <w:t>(1,681</w:t>
            </w:r>
          </w:p>
        </w:tc>
        <w:tc>
          <w:tcPr>
            <w:tcW w:w="0" w:type="auto"/>
            <w:shd w:val="clear" w:color="auto" w:fill="FFFFFF"/>
            <w:vAlign w:val="bottom"/>
            <w:hideMark/>
          </w:tcPr>
          <w:p w14:paraId="282DE37F"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037D4AD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BF8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79CDD3" w14:textId="77777777" w:rsidR="00000000" w:rsidRDefault="009027A3">
            <w:pPr>
              <w:jc w:val="right"/>
              <w:rPr>
                <w:rFonts w:eastAsia="Times New Roman"/>
                <w:sz w:val="20"/>
                <w:szCs w:val="20"/>
              </w:rPr>
            </w:pPr>
            <w:r>
              <w:rPr>
                <w:rFonts w:eastAsia="Times New Roman"/>
                <w:sz w:val="20"/>
                <w:szCs w:val="20"/>
              </w:rPr>
              <w:t>(2,837</w:t>
            </w:r>
          </w:p>
        </w:tc>
        <w:tc>
          <w:tcPr>
            <w:tcW w:w="0" w:type="auto"/>
            <w:shd w:val="clear" w:color="auto" w:fill="FFFFFF"/>
            <w:vAlign w:val="bottom"/>
            <w:hideMark/>
          </w:tcPr>
          <w:p w14:paraId="73DA1228" w14:textId="77777777" w:rsidR="00000000" w:rsidRDefault="009027A3">
            <w:pPr>
              <w:rPr>
                <w:rFonts w:eastAsia="Times New Roman"/>
                <w:sz w:val="20"/>
                <w:szCs w:val="20"/>
              </w:rPr>
            </w:pPr>
            <w:r>
              <w:rPr>
                <w:rFonts w:eastAsia="Times New Roman"/>
                <w:sz w:val="20"/>
                <w:szCs w:val="20"/>
              </w:rPr>
              <w:t>)</w:t>
            </w:r>
          </w:p>
        </w:tc>
      </w:tr>
      <w:tr w:rsidR="00000000" w14:paraId="5DD5D85F" w14:textId="77777777">
        <w:tc>
          <w:tcPr>
            <w:tcW w:w="0" w:type="auto"/>
            <w:shd w:val="clear" w:color="auto" w:fill="CCEEFF"/>
            <w:vAlign w:val="bottom"/>
            <w:hideMark/>
          </w:tcPr>
          <w:p w14:paraId="262E6715" w14:textId="77777777" w:rsidR="00000000" w:rsidRDefault="009027A3">
            <w:pPr>
              <w:rPr>
                <w:rFonts w:eastAsia="Times New Roman"/>
                <w:sz w:val="20"/>
                <w:szCs w:val="20"/>
              </w:rPr>
            </w:pPr>
            <w:r>
              <w:rPr>
                <w:rFonts w:eastAsia="Times New Roman"/>
                <w:sz w:val="20"/>
                <w:szCs w:val="20"/>
              </w:rPr>
              <w:t>OTHER:</w:t>
            </w:r>
          </w:p>
        </w:tc>
        <w:tc>
          <w:tcPr>
            <w:tcW w:w="0" w:type="auto"/>
            <w:shd w:val="clear" w:color="auto" w:fill="CCEEFF"/>
            <w:vAlign w:val="bottom"/>
            <w:hideMark/>
          </w:tcPr>
          <w:p w14:paraId="5D3545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DAF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4296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265B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4644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07C19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9AE133"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BE3A78" w14:textId="77777777" w:rsidR="00000000" w:rsidRDefault="009027A3">
            <w:pPr>
              <w:rPr>
                <w:rFonts w:eastAsia="Times New Roman"/>
                <w:sz w:val="20"/>
                <w:szCs w:val="20"/>
              </w:rPr>
            </w:pPr>
            <w:r>
              <w:rPr>
                <w:rFonts w:eastAsia="Times New Roman"/>
                <w:sz w:val="20"/>
                <w:szCs w:val="20"/>
              </w:rPr>
              <w:t> </w:t>
            </w:r>
          </w:p>
        </w:tc>
      </w:tr>
      <w:tr w:rsidR="00000000" w14:paraId="5FA4B221" w14:textId="77777777">
        <w:tc>
          <w:tcPr>
            <w:tcW w:w="0" w:type="auto"/>
            <w:shd w:val="clear" w:color="auto" w:fill="FFFFFF"/>
            <w:tcMar>
              <w:top w:w="0" w:type="dxa"/>
              <w:left w:w="200" w:type="dxa"/>
              <w:bottom w:w="0" w:type="dxa"/>
              <w:right w:w="0" w:type="dxa"/>
            </w:tcMar>
            <w:vAlign w:val="bottom"/>
            <w:hideMark/>
          </w:tcPr>
          <w:p w14:paraId="6FDA98FD" w14:textId="77777777" w:rsidR="00000000" w:rsidRDefault="009027A3">
            <w:pPr>
              <w:rPr>
                <w:rFonts w:eastAsia="Times New Roman"/>
                <w:sz w:val="20"/>
                <w:szCs w:val="20"/>
              </w:rPr>
            </w:pPr>
            <w:r>
              <w:rPr>
                <w:rFonts w:eastAsia="Times New Roman"/>
                <w:sz w:val="20"/>
                <w:szCs w:val="20"/>
              </w:rPr>
              <w:t>Interest income</w:t>
            </w:r>
          </w:p>
        </w:tc>
        <w:tc>
          <w:tcPr>
            <w:tcW w:w="0" w:type="auto"/>
            <w:shd w:val="clear" w:color="auto" w:fill="FFFFFF"/>
            <w:vAlign w:val="bottom"/>
            <w:hideMark/>
          </w:tcPr>
          <w:p w14:paraId="302C120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B800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2AD027" w14:textId="77777777" w:rsidR="00000000" w:rsidRDefault="009027A3">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768032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0F30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18A4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7D8BDF" w14:textId="77777777" w:rsidR="00000000" w:rsidRDefault="009027A3">
            <w:pPr>
              <w:jc w:val="right"/>
              <w:rPr>
                <w:rFonts w:eastAsia="Times New Roman"/>
                <w:sz w:val="20"/>
                <w:szCs w:val="20"/>
              </w:rPr>
            </w:pPr>
            <w:r>
              <w:rPr>
                <w:rFonts w:eastAsia="Times New Roman"/>
                <w:sz w:val="20"/>
                <w:szCs w:val="20"/>
              </w:rPr>
              <w:t>38</w:t>
            </w:r>
          </w:p>
        </w:tc>
        <w:tc>
          <w:tcPr>
            <w:tcW w:w="0" w:type="auto"/>
            <w:shd w:val="clear" w:color="auto" w:fill="FFFFFF"/>
            <w:vAlign w:val="bottom"/>
            <w:hideMark/>
          </w:tcPr>
          <w:p w14:paraId="156BB252" w14:textId="77777777" w:rsidR="00000000" w:rsidRDefault="009027A3">
            <w:pPr>
              <w:rPr>
                <w:rFonts w:eastAsia="Times New Roman"/>
                <w:sz w:val="20"/>
                <w:szCs w:val="20"/>
              </w:rPr>
            </w:pPr>
            <w:r>
              <w:rPr>
                <w:rFonts w:eastAsia="Times New Roman"/>
                <w:sz w:val="20"/>
                <w:szCs w:val="20"/>
              </w:rPr>
              <w:t> </w:t>
            </w:r>
          </w:p>
        </w:tc>
      </w:tr>
      <w:tr w:rsidR="00000000" w14:paraId="0266DB9F" w14:textId="77777777">
        <w:tc>
          <w:tcPr>
            <w:tcW w:w="0" w:type="auto"/>
            <w:shd w:val="clear" w:color="auto" w:fill="CCEEFF"/>
            <w:tcMar>
              <w:top w:w="0" w:type="dxa"/>
              <w:left w:w="200" w:type="dxa"/>
              <w:bottom w:w="0" w:type="dxa"/>
              <w:right w:w="0" w:type="dxa"/>
            </w:tcMar>
            <w:vAlign w:val="bottom"/>
            <w:hideMark/>
          </w:tcPr>
          <w:p w14:paraId="4C527A9F" w14:textId="77777777" w:rsidR="00000000" w:rsidRDefault="009027A3">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14:paraId="13370F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70D5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735B8" w14:textId="77777777" w:rsidR="00000000" w:rsidRDefault="009027A3">
            <w:pPr>
              <w:jc w:val="right"/>
              <w:rPr>
                <w:rFonts w:eastAsia="Times New Roman"/>
                <w:sz w:val="20"/>
                <w:szCs w:val="20"/>
              </w:rPr>
            </w:pPr>
            <w:r>
              <w:rPr>
                <w:rFonts w:eastAsia="Times New Roman"/>
                <w:sz w:val="20"/>
                <w:szCs w:val="20"/>
              </w:rPr>
              <w:t>(79</w:t>
            </w:r>
          </w:p>
        </w:tc>
        <w:tc>
          <w:tcPr>
            <w:tcW w:w="0" w:type="auto"/>
            <w:shd w:val="clear" w:color="auto" w:fill="CCEEFF"/>
            <w:vAlign w:val="bottom"/>
            <w:hideMark/>
          </w:tcPr>
          <w:p w14:paraId="49C4A46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7E374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F0D3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B7EE0" w14:textId="77777777" w:rsidR="00000000" w:rsidRDefault="009027A3">
            <w:pPr>
              <w:jc w:val="right"/>
              <w:rPr>
                <w:rFonts w:eastAsia="Times New Roman"/>
                <w:sz w:val="20"/>
                <w:szCs w:val="20"/>
              </w:rPr>
            </w:pPr>
            <w:r>
              <w:rPr>
                <w:rFonts w:eastAsia="Times New Roman"/>
                <w:sz w:val="20"/>
                <w:szCs w:val="20"/>
              </w:rPr>
              <w:t>(118</w:t>
            </w:r>
          </w:p>
        </w:tc>
        <w:tc>
          <w:tcPr>
            <w:tcW w:w="0" w:type="auto"/>
            <w:shd w:val="clear" w:color="auto" w:fill="CCEEFF"/>
            <w:vAlign w:val="bottom"/>
            <w:hideMark/>
          </w:tcPr>
          <w:p w14:paraId="3B3F31D0" w14:textId="77777777" w:rsidR="00000000" w:rsidRDefault="009027A3">
            <w:pPr>
              <w:rPr>
                <w:rFonts w:eastAsia="Times New Roman"/>
                <w:sz w:val="20"/>
                <w:szCs w:val="20"/>
              </w:rPr>
            </w:pPr>
            <w:r>
              <w:rPr>
                <w:rFonts w:eastAsia="Times New Roman"/>
                <w:sz w:val="20"/>
                <w:szCs w:val="20"/>
              </w:rPr>
              <w:t>)</w:t>
            </w:r>
          </w:p>
        </w:tc>
      </w:tr>
      <w:tr w:rsidR="00000000" w14:paraId="36B732E2" w14:textId="77777777">
        <w:tc>
          <w:tcPr>
            <w:tcW w:w="0" w:type="auto"/>
            <w:shd w:val="clear" w:color="auto" w:fill="FFFFFF"/>
            <w:tcMar>
              <w:top w:w="0" w:type="dxa"/>
              <w:left w:w="200" w:type="dxa"/>
              <w:bottom w:w="30" w:type="dxa"/>
              <w:right w:w="0" w:type="dxa"/>
            </w:tcMar>
            <w:vAlign w:val="bottom"/>
            <w:hideMark/>
          </w:tcPr>
          <w:p w14:paraId="3F041B2F" w14:textId="77777777" w:rsidR="00000000" w:rsidRDefault="009027A3">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14:paraId="1B93AB4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1F6F8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077878" w14:textId="77777777" w:rsidR="00000000" w:rsidRDefault="009027A3">
            <w:pPr>
              <w:jc w:val="right"/>
              <w:rPr>
                <w:rFonts w:eastAsia="Times New Roman"/>
                <w:sz w:val="20"/>
                <w:szCs w:val="20"/>
              </w:rPr>
            </w:pPr>
            <w:r>
              <w:rPr>
                <w:rFonts w:eastAsia="Times New Roman"/>
                <w:sz w:val="20"/>
                <w:szCs w:val="20"/>
              </w:rPr>
              <w:t>(220</w:t>
            </w:r>
          </w:p>
        </w:tc>
        <w:tc>
          <w:tcPr>
            <w:tcW w:w="0" w:type="auto"/>
            <w:shd w:val="clear" w:color="auto" w:fill="FFFFFF"/>
            <w:tcMar>
              <w:top w:w="0" w:type="dxa"/>
              <w:left w:w="0" w:type="dxa"/>
              <w:bottom w:w="30" w:type="dxa"/>
              <w:right w:w="0" w:type="dxa"/>
            </w:tcMar>
            <w:vAlign w:val="bottom"/>
            <w:hideMark/>
          </w:tcPr>
          <w:p w14:paraId="49A58449"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D0C58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3794A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4FA4C3" w14:textId="77777777" w:rsidR="00000000" w:rsidRDefault="009027A3">
            <w:pPr>
              <w:jc w:val="right"/>
              <w:rPr>
                <w:rFonts w:eastAsia="Times New Roman"/>
                <w:sz w:val="20"/>
                <w:szCs w:val="20"/>
              </w:rPr>
            </w:pPr>
            <w:r>
              <w:rPr>
                <w:rFonts w:eastAsia="Times New Roman"/>
                <w:sz w:val="20"/>
                <w:szCs w:val="20"/>
              </w:rPr>
              <w:t>445</w:t>
            </w:r>
          </w:p>
        </w:tc>
        <w:tc>
          <w:tcPr>
            <w:tcW w:w="0" w:type="auto"/>
            <w:shd w:val="clear" w:color="auto" w:fill="FFFFFF"/>
            <w:tcMar>
              <w:top w:w="0" w:type="dxa"/>
              <w:left w:w="0" w:type="dxa"/>
              <w:bottom w:w="30" w:type="dxa"/>
              <w:right w:w="0" w:type="dxa"/>
            </w:tcMar>
            <w:vAlign w:val="bottom"/>
            <w:hideMark/>
          </w:tcPr>
          <w:p w14:paraId="0270A6AF" w14:textId="77777777" w:rsidR="00000000" w:rsidRDefault="009027A3">
            <w:pPr>
              <w:rPr>
                <w:rFonts w:eastAsia="Times New Roman"/>
                <w:sz w:val="20"/>
                <w:szCs w:val="20"/>
              </w:rPr>
            </w:pPr>
            <w:r>
              <w:rPr>
                <w:rFonts w:eastAsia="Times New Roman"/>
                <w:sz w:val="20"/>
                <w:szCs w:val="20"/>
              </w:rPr>
              <w:t> </w:t>
            </w:r>
          </w:p>
        </w:tc>
      </w:tr>
      <w:tr w:rsidR="00000000" w14:paraId="5AAA4BA6" w14:textId="77777777">
        <w:tc>
          <w:tcPr>
            <w:tcW w:w="0" w:type="auto"/>
            <w:shd w:val="clear" w:color="auto" w:fill="CCEEFF"/>
            <w:vAlign w:val="bottom"/>
            <w:hideMark/>
          </w:tcPr>
          <w:p w14:paraId="2D27E17F" w14:textId="77777777" w:rsidR="00000000" w:rsidRDefault="009027A3">
            <w:pPr>
              <w:rPr>
                <w:rFonts w:eastAsia="Times New Roman"/>
                <w:sz w:val="20"/>
                <w:szCs w:val="20"/>
              </w:rPr>
            </w:pPr>
            <w:r>
              <w:rPr>
                <w:rFonts w:eastAsia="Times New Roman"/>
                <w:sz w:val="20"/>
                <w:szCs w:val="20"/>
              </w:rPr>
              <w:t xml:space="preserve">LOSS BEFORE (BENEFIT) PROVISION FOR INCOME TAXES </w:t>
            </w:r>
          </w:p>
        </w:tc>
        <w:tc>
          <w:tcPr>
            <w:tcW w:w="0" w:type="auto"/>
            <w:shd w:val="clear" w:color="auto" w:fill="CCEEFF"/>
            <w:vAlign w:val="bottom"/>
            <w:hideMark/>
          </w:tcPr>
          <w:p w14:paraId="6E02840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EDD0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308AD" w14:textId="77777777" w:rsidR="00000000" w:rsidRDefault="009027A3">
            <w:pPr>
              <w:jc w:val="right"/>
              <w:rPr>
                <w:rFonts w:eastAsia="Times New Roman"/>
                <w:sz w:val="20"/>
                <w:szCs w:val="20"/>
              </w:rPr>
            </w:pPr>
            <w:r>
              <w:rPr>
                <w:rFonts w:eastAsia="Times New Roman"/>
                <w:sz w:val="20"/>
                <w:szCs w:val="20"/>
              </w:rPr>
              <w:t>(1,965</w:t>
            </w:r>
          </w:p>
        </w:tc>
        <w:tc>
          <w:tcPr>
            <w:tcW w:w="0" w:type="auto"/>
            <w:shd w:val="clear" w:color="auto" w:fill="CCEEFF"/>
            <w:vAlign w:val="bottom"/>
            <w:hideMark/>
          </w:tcPr>
          <w:p w14:paraId="25309D4E"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550F85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5AE6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8175FF" w14:textId="77777777" w:rsidR="00000000" w:rsidRDefault="009027A3">
            <w:pPr>
              <w:jc w:val="right"/>
              <w:rPr>
                <w:rFonts w:eastAsia="Times New Roman"/>
                <w:sz w:val="20"/>
                <w:szCs w:val="20"/>
              </w:rPr>
            </w:pPr>
            <w:r>
              <w:rPr>
                <w:rFonts w:eastAsia="Times New Roman"/>
                <w:sz w:val="20"/>
                <w:szCs w:val="20"/>
              </w:rPr>
              <w:t>(2,472</w:t>
            </w:r>
          </w:p>
        </w:tc>
        <w:tc>
          <w:tcPr>
            <w:tcW w:w="0" w:type="auto"/>
            <w:shd w:val="clear" w:color="auto" w:fill="CCEEFF"/>
            <w:vAlign w:val="bottom"/>
            <w:hideMark/>
          </w:tcPr>
          <w:p w14:paraId="3F988EC7" w14:textId="77777777" w:rsidR="00000000" w:rsidRDefault="009027A3">
            <w:pPr>
              <w:rPr>
                <w:rFonts w:eastAsia="Times New Roman"/>
                <w:sz w:val="20"/>
                <w:szCs w:val="20"/>
              </w:rPr>
            </w:pPr>
            <w:r>
              <w:rPr>
                <w:rFonts w:eastAsia="Times New Roman"/>
                <w:sz w:val="20"/>
                <w:szCs w:val="20"/>
              </w:rPr>
              <w:t>)</w:t>
            </w:r>
          </w:p>
        </w:tc>
      </w:tr>
      <w:tr w:rsidR="00000000" w14:paraId="363E4775" w14:textId="77777777">
        <w:tc>
          <w:tcPr>
            <w:tcW w:w="0" w:type="auto"/>
            <w:shd w:val="clear" w:color="auto" w:fill="FFFFFF"/>
            <w:tcMar>
              <w:top w:w="0" w:type="dxa"/>
              <w:left w:w="0" w:type="dxa"/>
              <w:bottom w:w="30" w:type="dxa"/>
              <w:right w:w="0" w:type="dxa"/>
            </w:tcMar>
            <w:vAlign w:val="bottom"/>
            <w:hideMark/>
          </w:tcPr>
          <w:p w14:paraId="5224F399" w14:textId="77777777" w:rsidR="00000000" w:rsidRDefault="009027A3">
            <w:pPr>
              <w:rPr>
                <w:rFonts w:eastAsia="Times New Roman"/>
                <w:sz w:val="20"/>
                <w:szCs w:val="20"/>
              </w:rPr>
            </w:pPr>
            <w:r>
              <w:rPr>
                <w:rFonts w:eastAsia="Times New Roman"/>
                <w:sz w:val="20"/>
                <w:szCs w:val="20"/>
              </w:rPr>
              <w:lastRenderedPageBreak/>
              <w:t>Income tax (benefit) provision</w:t>
            </w:r>
          </w:p>
        </w:tc>
        <w:tc>
          <w:tcPr>
            <w:tcW w:w="0" w:type="auto"/>
            <w:shd w:val="clear" w:color="auto" w:fill="FFFFFF"/>
            <w:tcMar>
              <w:top w:w="0" w:type="dxa"/>
              <w:left w:w="0" w:type="dxa"/>
              <w:bottom w:w="30" w:type="dxa"/>
              <w:right w:w="0" w:type="dxa"/>
            </w:tcMar>
            <w:vAlign w:val="bottom"/>
            <w:hideMark/>
          </w:tcPr>
          <w:p w14:paraId="6EA21BA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0CE00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FAD264"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14:paraId="55663778"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D6ADB3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68F16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00B748" w14:textId="77777777" w:rsidR="00000000" w:rsidRDefault="009027A3">
            <w:pPr>
              <w:jc w:val="right"/>
              <w:rPr>
                <w:rFonts w:eastAsia="Times New Roman"/>
                <w:sz w:val="20"/>
                <w:szCs w:val="20"/>
              </w:rPr>
            </w:pPr>
            <w:r>
              <w:rPr>
                <w:rFonts w:eastAsia="Times New Roman"/>
                <w:sz w:val="20"/>
                <w:szCs w:val="20"/>
              </w:rPr>
              <w:t>30</w:t>
            </w:r>
          </w:p>
        </w:tc>
        <w:tc>
          <w:tcPr>
            <w:tcW w:w="0" w:type="auto"/>
            <w:shd w:val="clear" w:color="auto" w:fill="FFFFFF"/>
            <w:tcMar>
              <w:top w:w="0" w:type="dxa"/>
              <w:left w:w="0" w:type="dxa"/>
              <w:bottom w:w="30" w:type="dxa"/>
              <w:right w:w="0" w:type="dxa"/>
            </w:tcMar>
            <w:vAlign w:val="bottom"/>
            <w:hideMark/>
          </w:tcPr>
          <w:p w14:paraId="268422F8" w14:textId="77777777" w:rsidR="00000000" w:rsidRDefault="009027A3">
            <w:pPr>
              <w:rPr>
                <w:rFonts w:eastAsia="Times New Roman"/>
                <w:sz w:val="20"/>
                <w:szCs w:val="20"/>
              </w:rPr>
            </w:pPr>
            <w:r>
              <w:rPr>
                <w:rFonts w:eastAsia="Times New Roman"/>
                <w:sz w:val="20"/>
                <w:szCs w:val="20"/>
              </w:rPr>
              <w:t> </w:t>
            </w:r>
          </w:p>
        </w:tc>
      </w:tr>
      <w:tr w:rsidR="00000000" w14:paraId="7E1D6105" w14:textId="77777777">
        <w:tc>
          <w:tcPr>
            <w:tcW w:w="0" w:type="auto"/>
            <w:shd w:val="clear" w:color="auto" w:fill="CCEEFF"/>
            <w:tcMar>
              <w:top w:w="0" w:type="dxa"/>
              <w:left w:w="0" w:type="dxa"/>
              <w:bottom w:w="50" w:type="dxa"/>
              <w:right w:w="0" w:type="dxa"/>
            </w:tcMar>
            <w:vAlign w:val="bottom"/>
            <w:hideMark/>
          </w:tcPr>
          <w:p w14:paraId="0E48124C" w14:textId="77777777" w:rsidR="00000000" w:rsidRDefault="009027A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7DF2A95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56CC70"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EDC51E" w14:textId="77777777" w:rsidR="00000000" w:rsidRDefault="009027A3">
            <w:pPr>
              <w:jc w:val="right"/>
              <w:rPr>
                <w:rFonts w:eastAsia="Times New Roman"/>
                <w:sz w:val="20"/>
                <w:szCs w:val="20"/>
              </w:rPr>
            </w:pPr>
            <w:r>
              <w:rPr>
                <w:rFonts w:eastAsia="Times New Roman"/>
                <w:sz w:val="20"/>
                <w:szCs w:val="20"/>
              </w:rPr>
              <w:t>(1,964</w:t>
            </w:r>
          </w:p>
        </w:tc>
        <w:tc>
          <w:tcPr>
            <w:tcW w:w="0" w:type="auto"/>
            <w:shd w:val="clear" w:color="auto" w:fill="CCEEFF"/>
            <w:tcMar>
              <w:top w:w="0" w:type="dxa"/>
              <w:left w:w="0" w:type="dxa"/>
              <w:bottom w:w="50" w:type="dxa"/>
              <w:right w:w="0" w:type="dxa"/>
            </w:tcMar>
            <w:vAlign w:val="bottom"/>
            <w:hideMark/>
          </w:tcPr>
          <w:p w14:paraId="11B00756"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916364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2BFE14"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6BF3463" w14:textId="77777777" w:rsidR="00000000" w:rsidRDefault="009027A3">
            <w:pPr>
              <w:jc w:val="right"/>
              <w:rPr>
                <w:rFonts w:eastAsia="Times New Roman"/>
                <w:sz w:val="20"/>
                <w:szCs w:val="20"/>
              </w:rPr>
            </w:pPr>
            <w:r>
              <w:rPr>
                <w:rFonts w:eastAsia="Times New Roman"/>
                <w:sz w:val="20"/>
                <w:szCs w:val="20"/>
              </w:rPr>
              <w:t>(2,502</w:t>
            </w:r>
          </w:p>
        </w:tc>
        <w:tc>
          <w:tcPr>
            <w:tcW w:w="0" w:type="auto"/>
            <w:shd w:val="clear" w:color="auto" w:fill="CCEEFF"/>
            <w:tcMar>
              <w:top w:w="0" w:type="dxa"/>
              <w:left w:w="0" w:type="dxa"/>
              <w:bottom w:w="50" w:type="dxa"/>
              <w:right w:w="0" w:type="dxa"/>
            </w:tcMar>
            <w:vAlign w:val="bottom"/>
            <w:hideMark/>
          </w:tcPr>
          <w:p w14:paraId="60497BC0" w14:textId="77777777" w:rsidR="00000000" w:rsidRDefault="009027A3">
            <w:pPr>
              <w:rPr>
                <w:rFonts w:eastAsia="Times New Roman"/>
                <w:sz w:val="20"/>
                <w:szCs w:val="20"/>
              </w:rPr>
            </w:pPr>
            <w:r>
              <w:rPr>
                <w:rFonts w:eastAsia="Times New Roman"/>
                <w:sz w:val="20"/>
                <w:szCs w:val="20"/>
              </w:rPr>
              <w:t>)</w:t>
            </w:r>
          </w:p>
        </w:tc>
      </w:tr>
      <w:tr w:rsidR="00000000" w14:paraId="318DB38F" w14:textId="77777777">
        <w:tc>
          <w:tcPr>
            <w:tcW w:w="0" w:type="auto"/>
            <w:shd w:val="clear" w:color="auto" w:fill="FFFFFF"/>
            <w:vAlign w:val="bottom"/>
            <w:hideMark/>
          </w:tcPr>
          <w:p w14:paraId="481FE8B7" w14:textId="77777777" w:rsidR="00000000" w:rsidRDefault="009027A3">
            <w:pPr>
              <w:rPr>
                <w:rFonts w:eastAsia="Times New Roman"/>
                <w:sz w:val="20"/>
                <w:szCs w:val="20"/>
              </w:rPr>
            </w:pPr>
          </w:p>
        </w:tc>
        <w:tc>
          <w:tcPr>
            <w:tcW w:w="0" w:type="auto"/>
            <w:shd w:val="clear" w:color="auto" w:fill="FFFFFF"/>
            <w:vAlign w:val="bottom"/>
            <w:hideMark/>
          </w:tcPr>
          <w:p w14:paraId="0B2F7D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EFCE6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F2DC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1AE5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E0AF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2863F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F4B8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51433F" w14:textId="77777777" w:rsidR="00000000" w:rsidRDefault="009027A3">
            <w:pPr>
              <w:rPr>
                <w:rFonts w:eastAsia="Times New Roman"/>
                <w:sz w:val="20"/>
                <w:szCs w:val="20"/>
              </w:rPr>
            </w:pPr>
            <w:r>
              <w:rPr>
                <w:rFonts w:eastAsia="Times New Roman"/>
                <w:sz w:val="20"/>
                <w:szCs w:val="20"/>
              </w:rPr>
              <w:t> </w:t>
            </w:r>
          </w:p>
        </w:tc>
      </w:tr>
      <w:tr w:rsidR="00000000" w14:paraId="43133FE0" w14:textId="77777777">
        <w:tc>
          <w:tcPr>
            <w:tcW w:w="0" w:type="auto"/>
            <w:shd w:val="clear" w:color="auto" w:fill="CCEEFF"/>
            <w:tcMar>
              <w:top w:w="0" w:type="dxa"/>
              <w:left w:w="0" w:type="dxa"/>
              <w:bottom w:w="30" w:type="dxa"/>
              <w:right w:w="0" w:type="dxa"/>
            </w:tcMar>
            <w:vAlign w:val="bottom"/>
            <w:hideMark/>
          </w:tcPr>
          <w:p w14:paraId="242E4F8A" w14:textId="77777777" w:rsidR="00000000" w:rsidRDefault="009027A3">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14:paraId="1FAE2BC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D1AE6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1BB793" w14:textId="77777777" w:rsidR="00000000" w:rsidRDefault="009027A3">
            <w:pPr>
              <w:jc w:val="right"/>
              <w:rPr>
                <w:rFonts w:eastAsia="Times New Roman"/>
                <w:sz w:val="20"/>
                <w:szCs w:val="20"/>
              </w:rPr>
            </w:pPr>
            <w:r>
              <w:rPr>
                <w:rFonts w:eastAsia="Times New Roman"/>
                <w:sz w:val="20"/>
                <w:szCs w:val="20"/>
              </w:rPr>
              <w:t>3,128</w:t>
            </w:r>
          </w:p>
        </w:tc>
        <w:tc>
          <w:tcPr>
            <w:tcW w:w="0" w:type="auto"/>
            <w:shd w:val="clear" w:color="auto" w:fill="CCEEFF"/>
            <w:tcMar>
              <w:top w:w="0" w:type="dxa"/>
              <w:left w:w="0" w:type="dxa"/>
              <w:bottom w:w="30" w:type="dxa"/>
              <w:right w:w="0" w:type="dxa"/>
            </w:tcMar>
            <w:vAlign w:val="bottom"/>
            <w:hideMark/>
          </w:tcPr>
          <w:p w14:paraId="3C5E51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9679AD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AB2F4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425B9D" w14:textId="77777777" w:rsidR="00000000" w:rsidRDefault="009027A3">
            <w:pPr>
              <w:jc w:val="right"/>
              <w:rPr>
                <w:rFonts w:eastAsia="Times New Roman"/>
                <w:sz w:val="20"/>
                <w:szCs w:val="20"/>
              </w:rPr>
            </w:pPr>
            <w:r>
              <w:rPr>
                <w:rFonts w:eastAsia="Times New Roman"/>
                <w:sz w:val="20"/>
                <w:szCs w:val="20"/>
              </w:rPr>
              <w:t>2,643</w:t>
            </w:r>
          </w:p>
        </w:tc>
        <w:tc>
          <w:tcPr>
            <w:tcW w:w="0" w:type="auto"/>
            <w:shd w:val="clear" w:color="auto" w:fill="CCEEFF"/>
            <w:tcMar>
              <w:top w:w="0" w:type="dxa"/>
              <w:left w:w="0" w:type="dxa"/>
              <w:bottom w:w="30" w:type="dxa"/>
              <w:right w:w="0" w:type="dxa"/>
            </w:tcMar>
            <w:vAlign w:val="bottom"/>
            <w:hideMark/>
          </w:tcPr>
          <w:p w14:paraId="1CC16A2F" w14:textId="77777777" w:rsidR="00000000" w:rsidRDefault="009027A3">
            <w:pPr>
              <w:rPr>
                <w:rFonts w:eastAsia="Times New Roman"/>
                <w:sz w:val="20"/>
                <w:szCs w:val="20"/>
              </w:rPr>
            </w:pPr>
            <w:r>
              <w:rPr>
                <w:rFonts w:eastAsia="Times New Roman"/>
                <w:sz w:val="20"/>
                <w:szCs w:val="20"/>
              </w:rPr>
              <w:t> </w:t>
            </w:r>
          </w:p>
        </w:tc>
      </w:tr>
      <w:tr w:rsidR="00000000" w14:paraId="6A595221" w14:textId="77777777">
        <w:tc>
          <w:tcPr>
            <w:tcW w:w="0" w:type="auto"/>
            <w:shd w:val="clear" w:color="auto" w:fill="FFFFFF"/>
            <w:tcMar>
              <w:top w:w="0" w:type="dxa"/>
              <w:left w:w="0" w:type="dxa"/>
              <w:bottom w:w="50" w:type="dxa"/>
              <w:right w:w="0" w:type="dxa"/>
            </w:tcMar>
            <w:vAlign w:val="bottom"/>
            <w:hideMark/>
          </w:tcPr>
          <w:p w14:paraId="5486540F" w14:textId="77777777" w:rsidR="00000000" w:rsidRDefault="009027A3">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14:paraId="40539B9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283D48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67D2A7D" w14:textId="77777777" w:rsidR="00000000" w:rsidRDefault="009027A3">
            <w:pPr>
              <w:jc w:val="right"/>
              <w:rPr>
                <w:rFonts w:eastAsia="Times New Roman"/>
                <w:sz w:val="20"/>
                <w:szCs w:val="20"/>
              </w:rPr>
            </w:pPr>
            <w:r>
              <w:rPr>
                <w:rFonts w:eastAsia="Times New Roman"/>
                <w:sz w:val="20"/>
                <w:szCs w:val="20"/>
              </w:rPr>
              <w:t>(5,092</w:t>
            </w:r>
          </w:p>
        </w:tc>
        <w:tc>
          <w:tcPr>
            <w:tcW w:w="0" w:type="auto"/>
            <w:shd w:val="clear" w:color="auto" w:fill="FFFFFF"/>
            <w:tcMar>
              <w:top w:w="0" w:type="dxa"/>
              <w:left w:w="0" w:type="dxa"/>
              <w:bottom w:w="50" w:type="dxa"/>
              <w:right w:w="0" w:type="dxa"/>
            </w:tcMar>
            <w:vAlign w:val="bottom"/>
            <w:hideMark/>
          </w:tcPr>
          <w:p w14:paraId="3AD3E962"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EAD24B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65C78A"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A4AACF" w14:textId="77777777" w:rsidR="00000000" w:rsidRDefault="009027A3">
            <w:pPr>
              <w:jc w:val="right"/>
              <w:rPr>
                <w:rFonts w:eastAsia="Times New Roman"/>
                <w:sz w:val="20"/>
                <w:szCs w:val="20"/>
              </w:rPr>
            </w:pPr>
            <w:r>
              <w:rPr>
                <w:rFonts w:eastAsia="Times New Roman"/>
                <w:sz w:val="20"/>
                <w:szCs w:val="20"/>
              </w:rPr>
              <w:t>(5,145</w:t>
            </w:r>
          </w:p>
        </w:tc>
        <w:tc>
          <w:tcPr>
            <w:tcW w:w="0" w:type="auto"/>
            <w:shd w:val="clear" w:color="auto" w:fill="FFFFFF"/>
            <w:tcMar>
              <w:top w:w="0" w:type="dxa"/>
              <w:left w:w="0" w:type="dxa"/>
              <w:bottom w:w="50" w:type="dxa"/>
              <w:right w:w="0" w:type="dxa"/>
            </w:tcMar>
            <w:vAlign w:val="bottom"/>
            <w:hideMark/>
          </w:tcPr>
          <w:p w14:paraId="3239B173" w14:textId="77777777" w:rsidR="00000000" w:rsidRDefault="009027A3">
            <w:pPr>
              <w:rPr>
                <w:rFonts w:eastAsia="Times New Roman"/>
                <w:sz w:val="20"/>
                <w:szCs w:val="20"/>
              </w:rPr>
            </w:pPr>
            <w:r>
              <w:rPr>
                <w:rFonts w:eastAsia="Times New Roman"/>
                <w:sz w:val="20"/>
                <w:szCs w:val="20"/>
              </w:rPr>
              <w:t>)</w:t>
            </w:r>
          </w:p>
        </w:tc>
      </w:tr>
      <w:tr w:rsidR="00000000" w14:paraId="6EA7E749" w14:textId="77777777">
        <w:tc>
          <w:tcPr>
            <w:tcW w:w="0" w:type="auto"/>
            <w:shd w:val="clear" w:color="auto" w:fill="CCEEFF"/>
            <w:vAlign w:val="bottom"/>
            <w:hideMark/>
          </w:tcPr>
          <w:p w14:paraId="7FB0B58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30A0F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CAC2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52E6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5133C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B37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DC42A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5E12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CC5364" w14:textId="77777777" w:rsidR="00000000" w:rsidRDefault="009027A3">
            <w:pPr>
              <w:rPr>
                <w:rFonts w:eastAsia="Times New Roman"/>
                <w:sz w:val="20"/>
                <w:szCs w:val="20"/>
              </w:rPr>
            </w:pPr>
            <w:r>
              <w:rPr>
                <w:rFonts w:eastAsia="Times New Roman"/>
                <w:sz w:val="20"/>
                <w:szCs w:val="20"/>
              </w:rPr>
              <w:t> </w:t>
            </w:r>
          </w:p>
        </w:tc>
      </w:tr>
      <w:tr w:rsidR="00000000" w14:paraId="1A170C0F" w14:textId="77777777">
        <w:tc>
          <w:tcPr>
            <w:tcW w:w="0" w:type="auto"/>
            <w:shd w:val="clear" w:color="auto" w:fill="FFFFFF"/>
            <w:vAlign w:val="bottom"/>
            <w:hideMark/>
          </w:tcPr>
          <w:p w14:paraId="3A60D20F" w14:textId="77777777" w:rsidR="00000000" w:rsidRDefault="009027A3">
            <w:pPr>
              <w:rPr>
                <w:rFonts w:eastAsia="Times New Roman"/>
                <w:sz w:val="20"/>
                <w:szCs w:val="20"/>
              </w:rPr>
            </w:pPr>
            <w:r>
              <w:rPr>
                <w:rFonts w:eastAsia="Times New Roman"/>
                <w:sz w:val="20"/>
                <w:szCs w:val="20"/>
              </w:rPr>
              <w:t>Net loss per common share: basic and diluted</w:t>
            </w:r>
          </w:p>
        </w:tc>
        <w:tc>
          <w:tcPr>
            <w:tcW w:w="0" w:type="auto"/>
            <w:shd w:val="clear" w:color="auto" w:fill="FFFFFF"/>
            <w:vAlign w:val="bottom"/>
            <w:hideMark/>
          </w:tcPr>
          <w:p w14:paraId="2F674A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AA09FA"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1E4D77D7" w14:textId="77777777" w:rsidR="00000000" w:rsidRDefault="009027A3">
            <w:pPr>
              <w:jc w:val="right"/>
              <w:rPr>
                <w:rFonts w:eastAsia="Times New Roman"/>
                <w:sz w:val="20"/>
                <w:szCs w:val="20"/>
              </w:rPr>
            </w:pPr>
            <w:r>
              <w:rPr>
                <w:rFonts w:eastAsia="Times New Roman"/>
                <w:sz w:val="20"/>
                <w:szCs w:val="20"/>
              </w:rPr>
              <w:t>(0.36</w:t>
            </w:r>
          </w:p>
        </w:tc>
        <w:tc>
          <w:tcPr>
            <w:tcW w:w="0" w:type="auto"/>
            <w:shd w:val="clear" w:color="auto" w:fill="FFFFFF"/>
            <w:vAlign w:val="bottom"/>
            <w:hideMark/>
          </w:tcPr>
          <w:p w14:paraId="1CFB398A"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6CDB33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437F34"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2873A7F6" w14:textId="77777777" w:rsidR="00000000" w:rsidRDefault="009027A3">
            <w:pPr>
              <w:jc w:val="right"/>
              <w:rPr>
                <w:rFonts w:eastAsia="Times New Roman"/>
                <w:sz w:val="20"/>
                <w:szCs w:val="20"/>
              </w:rPr>
            </w:pPr>
            <w:r>
              <w:rPr>
                <w:rFonts w:eastAsia="Times New Roman"/>
                <w:sz w:val="20"/>
                <w:szCs w:val="20"/>
              </w:rPr>
              <w:t>(0.42</w:t>
            </w:r>
          </w:p>
        </w:tc>
        <w:tc>
          <w:tcPr>
            <w:tcW w:w="0" w:type="auto"/>
            <w:shd w:val="clear" w:color="auto" w:fill="FFFFFF"/>
            <w:vAlign w:val="bottom"/>
            <w:hideMark/>
          </w:tcPr>
          <w:p w14:paraId="77FF5970" w14:textId="77777777" w:rsidR="00000000" w:rsidRDefault="009027A3">
            <w:pPr>
              <w:rPr>
                <w:rFonts w:eastAsia="Times New Roman"/>
                <w:sz w:val="20"/>
                <w:szCs w:val="20"/>
              </w:rPr>
            </w:pPr>
            <w:r>
              <w:rPr>
                <w:rFonts w:eastAsia="Times New Roman"/>
                <w:sz w:val="20"/>
                <w:szCs w:val="20"/>
              </w:rPr>
              <w:t>)</w:t>
            </w:r>
          </w:p>
        </w:tc>
      </w:tr>
      <w:tr w:rsidR="00000000" w14:paraId="7D947D2D" w14:textId="77777777">
        <w:tc>
          <w:tcPr>
            <w:tcW w:w="0" w:type="auto"/>
            <w:shd w:val="clear" w:color="auto" w:fill="CCEEFF"/>
            <w:tcMar>
              <w:top w:w="0" w:type="dxa"/>
              <w:left w:w="200" w:type="dxa"/>
              <w:bottom w:w="0" w:type="dxa"/>
              <w:right w:w="0" w:type="dxa"/>
            </w:tcMar>
            <w:vAlign w:val="bottom"/>
            <w:hideMark/>
          </w:tcPr>
          <w:p w14:paraId="0136645C" w14:textId="77777777" w:rsidR="00000000" w:rsidRDefault="009027A3">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vAlign w:val="bottom"/>
            <w:hideMark/>
          </w:tcPr>
          <w:p w14:paraId="1EB4C6C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3ACA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E93B9" w14:textId="77777777" w:rsidR="00000000" w:rsidRDefault="009027A3">
            <w:pPr>
              <w:jc w:val="right"/>
              <w:rPr>
                <w:rFonts w:eastAsia="Times New Roman"/>
                <w:sz w:val="20"/>
                <w:szCs w:val="20"/>
              </w:rPr>
            </w:pPr>
            <w:r>
              <w:rPr>
                <w:rFonts w:eastAsia="Times New Roman"/>
                <w:sz w:val="20"/>
                <w:szCs w:val="20"/>
              </w:rPr>
              <w:t>14,084,749</w:t>
            </w:r>
          </w:p>
        </w:tc>
        <w:tc>
          <w:tcPr>
            <w:tcW w:w="0" w:type="auto"/>
            <w:shd w:val="clear" w:color="auto" w:fill="CCEEFF"/>
            <w:vAlign w:val="bottom"/>
            <w:hideMark/>
          </w:tcPr>
          <w:p w14:paraId="6CF5F0D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64FE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310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58CEE" w14:textId="77777777" w:rsidR="00000000" w:rsidRDefault="009027A3">
            <w:pPr>
              <w:jc w:val="right"/>
              <w:rPr>
                <w:rFonts w:eastAsia="Times New Roman"/>
                <w:sz w:val="20"/>
                <w:szCs w:val="20"/>
              </w:rPr>
            </w:pPr>
            <w:r>
              <w:rPr>
                <w:rFonts w:eastAsia="Times New Roman"/>
                <w:sz w:val="20"/>
                <w:szCs w:val="20"/>
              </w:rPr>
              <w:t>12,310,818</w:t>
            </w:r>
          </w:p>
        </w:tc>
        <w:tc>
          <w:tcPr>
            <w:tcW w:w="0" w:type="auto"/>
            <w:shd w:val="clear" w:color="auto" w:fill="CCEEFF"/>
            <w:vAlign w:val="bottom"/>
            <w:hideMark/>
          </w:tcPr>
          <w:p w14:paraId="7F6C6CBD" w14:textId="77777777" w:rsidR="00000000" w:rsidRDefault="009027A3">
            <w:pPr>
              <w:rPr>
                <w:rFonts w:eastAsia="Times New Roman"/>
                <w:sz w:val="20"/>
                <w:szCs w:val="20"/>
              </w:rPr>
            </w:pPr>
            <w:r>
              <w:rPr>
                <w:rFonts w:eastAsia="Times New Roman"/>
                <w:sz w:val="20"/>
                <w:szCs w:val="20"/>
              </w:rPr>
              <w:t> </w:t>
            </w:r>
          </w:p>
        </w:tc>
      </w:tr>
    </w:tbl>
    <w:p w14:paraId="4493248E" w14:textId="77777777" w:rsidR="00000000" w:rsidRDefault="009027A3">
      <w:pPr>
        <w:pStyle w:val="a3"/>
        <w:spacing w:before="0" w:beforeAutospacing="0" w:after="0" w:afterAutospacing="0"/>
        <w:rPr>
          <w:sz w:val="20"/>
          <w:szCs w:val="20"/>
        </w:rPr>
      </w:pPr>
      <w:r>
        <w:rPr>
          <w:sz w:val="20"/>
          <w:szCs w:val="20"/>
        </w:rPr>
        <w:t> </w:t>
      </w:r>
    </w:p>
    <w:p w14:paraId="5BEE2324" w14:textId="77777777" w:rsidR="00000000" w:rsidRDefault="009027A3">
      <w:pPr>
        <w:pStyle w:val="a3"/>
        <w:spacing w:before="0" w:beforeAutospacing="0" w:after="0" w:afterAutospacing="0"/>
        <w:rPr>
          <w:sz w:val="20"/>
          <w:szCs w:val="20"/>
        </w:rPr>
      </w:pPr>
      <w:r>
        <w:rPr>
          <w:sz w:val="20"/>
          <w:szCs w:val="20"/>
        </w:rPr>
        <w:t>See notes to condensed consolidated financial statements.</w:t>
      </w:r>
    </w:p>
    <w:p w14:paraId="59C707D3" w14:textId="77777777" w:rsidR="00000000" w:rsidRDefault="009027A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BABFD41" w14:textId="77777777">
        <w:trPr>
          <w:divId w:val="747769797"/>
        </w:trPr>
        <w:tc>
          <w:tcPr>
            <w:tcW w:w="5000" w:type="pct"/>
            <w:hideMark/>
          </w:tcPr>
          <w:p w14:paraId="43840B22" w14:textId="77777777" w:rsidR="00000000" w:rsidRDefault="009027A3">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63BDB1BE" w14:textId="77777777">
        <w:tc>
          <w:tcPr>
            <w:tcW w:w="5000" w:type="pct"/>
            <w:hideMark/>
          </w:tcPr>
          <w:p w14:paraId="501F81A7" w14:textId="77777777" w:rsidR="00000000" w:rsidRDefault="009027A3">
            <w:pPr>
              <w:rPr>
                <w:rFonts w:eastAsia="Times New Roman"/>
                <w:sz w:val="20"/>
                <w:szCs w:val="20"/>
              </w:rPr>
            </w:pPr>
            <w:r>
              <w:rPr>
                <w:rFonts w:eastAsia="Times New Roman"/>
                <w:sz w:val="20"/>
                <w:szCs w:val="20"/>
              </w:rPr>
              <w:t> </w:t>
            </w:r>
          </w:p>
        </w:tc>
      </w:tr>
    </w:tbl>
    <w:p w14:paraId="7F58AA33" w14:textId="77777777" w:rsidR="00000000" w:rsidRDefault="009027A3">
      <w:pPr>
        <w:pStyle w:val="a3"/>
        <w:spacing w:before="0" w:beforeAutospacing="0" w:after="0" w:afterAutospacing="0"/>
        <w:rPr>
          <w:sz w:val="20"/>
          <w:szCs w:val="20"/>
        </w:rPr>
      </w:pPr>
      <w:r>
        <w:rPr>
          <w:sz w:val="20"/>
          <w:szCs w:val="20"/>
        </w:rPr>
        <w:t> </w:t>
      </w:r>
    </w:p>
    <w:p w14:paraId="0786611D" w14:textId="77777777" w:rsidR="00000000" w:rsidRDefault="009027A3">
      <w:pPr>
        <w:pStyle w:val="a3"/>
        <w:spacing w:before="0" w:beforeAutospacing="0" w:after="0" w:afterAutospacing="0"/>
        <w:jc w:val="center"/>
        <w:rPr>
          <w:sz w:val="20"/>
          <w:szCs w:val="20"/>
        </w:rPr>
      </w:pPr>
      <w:r>
        <w:rPr>
          <w:b/>
          <w:bCs/>
          <w:sz w:val="20"/>
          <w:szCs w:val="20"/>
        </w:rPr>
        <w:t>CARECLOUD, INC.</w:t>
      </w:r>
    </w:p>
    <w:p w14:paraId="49484F4E" w14:textId="77777777" w:rsidR="00000000" w:rsidRDefault="009027A3">
      <w:pPr>
        <w:pStyle w:val="a3"/>
        <w:spacing w:before="0" w:beforeAutospacing="0" w:after="0" w:afterAutospacing="0"/>
        <w:jc w:val="center"/>
        <w:rPr>
          <w:sz w:val="20"/>
          <w:szCs w:val="20"/>
        </w:rPr>
      </w:pPr>
      <w:bookmarkStart w:id="4" w:name="a_004"/>
      <w:bookmarkEnd w:id="4"/>
      <w:r>
        <w:rPr>
          <w:b/>
          <w:bCs/>
          <w:sz w:val="20"/>
          <w:szCs w:val="20"/>
        </w:rPr>
        <w:t>CONDENSED CONSOLIDATED STATEMENTS OF COMPREHENSIVE LOSS (UNAUDITED)</w:t>
      </w:r>
    </w:p>
    <w:p w14:paraId="76173EE5" w14:textId="77777777" w:rsidR="00000000" w:rsidRDefault="009027A3">
      <w:pPr>
        <w:pStyle w:val="a3"/>
        <w:spacing w:before="0" w:beforeAutospacing="0" w:after="0" w:afterAutospacing="0"/>
        <w:jc w:val="center"/>
        <w:rPr>
          <w:sz w:val="20"/>
          <w:szCs w:val="20"/>
        </w:rPr>
      </w:pPr>
      <w:r>
        <w:rPr>
          <w:b/>
          <w:bCs/>
          <w:sz w:val="20"/>
          <w:szCs w:val="20"/>
        </w:rPr>
        <w:t>FOR THE THREE MONTHS ENDED MARCH 31, 2021 AND 2020</w:t>
      </w:r>
    </w:p>
    <w:p w14:paraId="74D4D60B" w14:textId="77777777" w:rsidR="00000000" w:rsidRDefault="009027A3">
      <w:pPr>
        <w:pStyle w:val="a3"/>
        <w:spacing w:before="0" w:beforeAutospacing="0" w:after="0" w:afterAutospacing="0"/>
        <w:jc w:val="center"/>
        <w:rPr>
          <w:sz w:val="20"/>
          <w:szCs w:val="20"/>
        </w:rPr>
      </w:pPr>
      <w:r>
        <w:rPr>
          <w:sz w:val="20"/>
          <w:szCs w:val="20"/>
          <w:u w:val="single"/>
        </w:rPr>
        <w:t>($ in thousands)</w:t>
      </w:r>
    </w:p>
    <w:p w14:paraId="242451C5"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EA8B89B" w14:textId="77777777">
        <w:tc>
          <w:tcPr>
            <w:tcW w:w="0" w:type="auto"/>
            <w:tcMar>
              <w:top w:w="0" w:type="dxa"/>
              <w:left w:w="0" w:type="dxa"/>
              <w:bottom w:w="30" w:type="dxa"/>
              <w:right w:w="0" w:type="dxa"/>
            </w:tcMar>
            <w:vAlign w:val="bottom"/>
            <w:hideMark/>
          </w:tcPr>
          <w:p w14:paraId="2061AA17"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C6FEAF"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625609B" w14:textId="77777777" w:rsidR="00000000" w:rsidRDefault="009027A3">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52F7FCC3" w14:textId="77777777" w:rsidR="00000000" w:rsidRDefault="009027A3">
            <w:pPr>
              <w:rPr>
                <w:rFonts w:eastAsia="Times New Roman"/>
                <w:b/>
                <w:bCs/>
                <w:sz w:val="20"/>
                <w:szCs w:val="20"/>
              </w:rPr>
            </w:pPr>
            <w:r>
              <w:rPr>
                <w:rFonts w:eastAsia="Times New Roman"/>
                <w:b/>
                <w:bCs/>
                <w:sz w:val="20"/>
                <w:szCs w:val="20"/>
              </w:rPr>
              <w:t> </w:t>
            </w:r>
          </w:p>
        </w:tc>
      </w:tr>
      <w:tr w:rsidR="00000000" w14:paraId="5E6C38CF" w14:textId="77777777">
        <w:tc>
          <w:tcPr>
            <w:tcW w:w="0" w:type="auto"/>
            <w:vAlign w:val="bottom"/>
            <w:hideMark/>
          </w:tcPr>
          <w:p w14:paraId="79BEDE22"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5CB7AA"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FEAB3B"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1FBD24B"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BF7B9D"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F5ECE3"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58D7271" w14:textId="77777777" w:rsidR="00000000" w:rsidRDefault="009027A3">
            <w:pPr>
              <w:rPr>
                <w:rFonts w:eastAsia="Times New Roman"/>
                <w:b/>
                <w:bCs/>
                <w:sz w:val="20"/>
                <w:szCs w:val="20"/>
              </w:rPr>
            </w:pPr>
            <w:r>
              <w:rPr>
                <w:rFonts w:eastAsia="Times New Roman"/>
                <w:b/>
                <w:bCs/>
                <w:sz w:val="20"/>
                <w:szCs w:val="20"/>
              </w:rPr>
              <w:t> </w:t>
            </w:r>
          </w:p>
        </w:tc>
      </w:tr>
      <w:tr w:rsidR="00000000" w14:paraId="1E2BE535" w14:textId="77777777">
        <w:tc>
          <w:tcPr>
            <w:tcW w:w="3000" w:type="pct"/>
            <w:shd w:val="clear" w:color="auto" w:fill="CCEEFF"/>
            <w:vAlign w:val="bottom"/>
            <w:hideMark/>
          </w:tcPr>
          <w:p w14:paraId="78CC3C48" w14:textId="77777777" w:rsidR="00000000" w:rsidRDefault="009027A3">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4E31834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851A12"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79460CFC" w14:textId="77777777" w:rsidR="00000000" w:rsidRDefault="009027A3">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14:paraId="0F6D27B2"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69988CC9"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5DF2E8"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5B3C79BC" w14:textId="77777777" w:rsidR="00000000" w:rsidRDefault="009027A3">
            <w:pPr>
              <w:jc w:val="right"/>
              <w:rPr>
                <w:rFonts w:eastAsia="Times New Roman"/>
                <w:sz w:val="20"/>
                <w:szCs w:val="20"/>
              </w:rPr>
            </w:pPr>
            <w:r>
              <w:rPr>
                <w:rFonts w:eastAsia="Times New Roman"/>
                <w:sz w:val="20"/>
                <w:szCs w:val="20"/>
              </w:rPr>
              <w:t>(2,502</w:t>
            </w:r>
          </w:p>
        </w:tc>
        <w:tc>
          <w:tcPr>
            <w:tcW w:w="50" w:type="pct"/>
            <w:shd w:val="clear" w:color="auto" w:fill="CCEEFF"/>
            <w:vAlign w:val="bottom"/>
            <w:hideMark/>
          </w:tcPr>
          <w:p w14:paraId="3A16F7C4" w14:textId="77777777" w:rsidR="00000000" w:rsidRDefault="009027A3">
            <w:pPr>
              <w:rPr>
                <w:rFonts w:eastAsia="Times New Roman"/>
                <w:sz w:val="20"/>
                <w:szCs w:val="20"/>
              </w:rPr>
            </w:pPr>
            <w:r>
              <w:rPr>
                <w:rFonts w:eastAsia="Times New Roman"/>
                <w:sz w:val="20"/>
                <w:szCs w:val="20"/>
              </w:rPr>
              <w:t>)</w:t>
            </w:r>
          </w:p>
        </w:tc>
      </w:tr>
      <w:tr w:rsidR="00000000" w14:paraId="5D4B7D71" w14:textId="77777777">
        <w:tc>
          <w:tcPr>
            <w:tcW w:w="0" w:type="auto"/>
            <w:shd w:val="clear" w:color="auto" w:fill="FFFFFF"/>
            <w:vAlign w:val="bottom"/>
            <w:hideMark/>
          </w:tcPr>
          <w:p w14:paraId="1504F547" w14:textId="77777777" w:rsidR="00000000" w:rsidRDefault="009027A3">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14:paraId="7A42622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C8FA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E065C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ACF7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E02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378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37A1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0065BA" w14:textId="77777777" w:rsidR="00000000" w:rsidRDefault="009027A3">
            <w:pPr>
              <w:rPr>
                <w:rFonts w:eastAsia="Times New Roman"/>
                <w:sz w:val="20"/>
                <w:szCs w:val="20"/>
              </w:rPr>
            </w:pPr>
            <w:r>
              <w:rPr>
                <w:rFonts w:eastAsia="Times New Roman"/>
                <w:sz w:val="20"/>
                <w:szCs w:val="20"/>
              </w:rPr>
              <w:t> </w:t>
            </w:r>
          </w:p>
        </w:tc>
      </w:tr>
      <w:tr w:rsidR="00000000" w14:paraId="21442D5F" w14:textId="77777777">
        <w:tc>
          <w:tcPr>
            <w:tcW w:w="0" w:type="auto"/>
            <w:shd w:val="clear" w:color="auto" w:fill="CCEEFF"/>
            <w:tcMar>
              <w:top w:w="0" w:type="dxa"/>
              <w:left w:w="0" w:type="dxa"/>
              <w:bottom w:w="30" w:type="dxa"/>
              <w:right w:w="0" w:type="dxa"/>
            </w:tcMar>
            <w:vAlign w:val="bottom"/>
            <w:hideMark/>
          </w:tcPr>
          <w:p w14:paraId="34182EF8" w14:textId="77777777" w:rsidR="00000000" w:rsidRDefault="009027A3">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14:paraId="1ECEAE8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0AEB2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EC1D26" w14:textId="77777777" w:rsidR="00000000" w:rsidRDefault="009027A3">
            <w:pPr>
              <w:jc w:val="right"/>
              <w:rPr>
                <w:rFonts w:eastAsia="Times New Roman"/>
                <w:sz w:val="20"/>
                <w:szCs w:val="20"/>
              </w:rPr>
            </w:pPr>
            <w:r>
              <w:rPr>
                <w:rFonts w:eastAsia="Times New Roman"/>
                <w:sz w:val="20"/>
                <w:szCs w:val="20"/>
              </w:rPr>
              <w:t>345</w:t>
            </w:r>
          </w:p>
        </w:tc>
        <w:tc>
          <w:tcPr>
            <w:tcW w:w="0" w:type="auto"/>
            <w:shd w:val="clear" w:color="auto" w:fill="CCEEFF"/>
            <w:tcMar>
              <w:top w:w="0" w:type="dxa"/>
              <w:left w:w="0" w:type="dxa"/>
              <w:bottom w:w="30" w:type="dxa"/>
              <w:right w:w="0" w:type="dxa"/>
            </w:tcMar>
            <w:vAlign w:val="bottom"/>
            <w:hideMark/>
          </w:tcPr>
          <w:p w14:paraId="7026F68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CC439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4A4B6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3A9950" w14:textId="77777777" w:rsidR="00000000" w:rsidRDefault="009027A3">
            <w:pPr>
              <w:jc w:val="right"/>
              <w:rPr>
                <w:rFonts w:eastAsia="Times New Roman"/>
                <w:sz w:val="20"/>
                <w:szCs w:val="20"/>
              </w:rPr>
            </w:pPr>
            <w:r>
              <w:rPr>
                <w:rFonts w:eastAsia="Times New Roman"/>
                <w:sz w:val="20"/>
                <w:szCs w:val="20"/>
              </w:rPr>
              <w:t>(590</w:t>
            </w:r>
          </w:p>
        </w:tc>
        <w:tc>
          <w:tcPr>
            <w:tcW w:w="0" w:type="auto"/>
            <w:shd w:val="clear" w:color="auto" w:fill="CCEEFF"/>
            <w:tcMar>
              <w:top w:w="0" w:type="dxa"/>
              <w:left w:w="0" w:type="dxa"/>
              <w:bottom w:w="30" w:type="dxa"/>
              <w:right w:w="0" w:type="dxa"/>
            </w:tcMar>
            <w:vAlign w:val="bottom"/>
            <w:hideMark/>
          </w:tcPr>
          <w:p w14:paraId="60185A11" w14:textId="77777777" w:rsidR="00000000" w:rsidRDefault="009027A3">
            <w:pPr>
              <w:rPr>
                <w:rFonts w:eastAsia="Times New Roman"/>
                <w:sz w:val="20"/>
                <w:szCs w:val="20"/>
              </w:rPr>
            </w:pPr>
            <w:r>
              <w:rPr>
                <w:rFonts w:eastAsia="Times New Roman"/>
                <w:sz w:val="20"/>
                <w:szCs w:val="20"/>
              </w:rPr>
              <w:t>)</w:t>
            </w:r>
          </w:p>
        </w:tc>
      </w:tr>
      <w:tr w:rsidR="00000000" w14:paraId="61FBC761" w14:textId="77777777">
        <w:tc>
          <w:tcPr>
            <w:tcW w:w="0" w:type="auto"/>
            <w:shd w:val="clear" w:color="auto" w:fill="FFFFFF"/>
            <w:tcMar>
              <w:top w:w="0" w:type="dxa"/>
              <w:left w:w="0" w:type="dxa"/>
              <w:bottom w:w="50" w:type="dxa"/>
              <w:right w:w="0" w:type="dxa"/>
            </w:tcMar>
            <w:vAlign w:val="bottom"/>
            <w:hideMark/>
          </w:tcPr>
          <w:p w14:paraId="4F8D5E44" w14:textId="77777777" w:rsidR="00000000" w:rsidRDefault="009027A3">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14:paraId="7D663ED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6861D7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254A33" w14:textId="77777777" w:rsidR="00000000" w:rsidRDefault="009027A3">
            <w:pPr>
              <w:jc w:val="right"/>
              <w:rPr>
                <w:rFonts w:eastAsia="Times New Roman"/>
                <w:sz w:val="20"/>
                <w:szCs w:val="20"/>
              </w:rPr>
            </w:pPr>
            <w:r>
              <w:rPr>
                <w:rFonts w:eastAsia="Times New Roman"/>
                <w:sz w:val="20"/>
                <w:szCs w:val="20"/>
              </w:rPr>
              <w:t>(1,619</w:t>
            </w:r>
          </w:p>
        </w:tc>
        <w:tc>
          <w:tcPr>
            <w:tcW w:w="0" w:type="auto"/>
            <w:shd w:val="clear" w:color="auto" w:fill="FFFFFF"/>
            <w:tcMar>
              <w:top w:w="0" w:type="dxa"/>
              <w:left w:w="0" w:type="dxa"/>
              <w:bottom w:w="50" w:type="dxa"/>
              <w:right w:w="0" w:type="dxa"/>
            </w:tcMar>
            <w:vAlign w:val="bottom"/>
            <w:hideMark/>
          </w:tcPr>
          <w:p w14:paraId="1B9C7CEB"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D70F68C"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AF350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991EAB1" w14:textId="77777777" w:rsidR="00000000" w:rsidRDefault="009027A3">
            <w:pPr>
              <w:jc w:val="right"/>
              <w:rPr>
                <w:rFonts w:eastAsia="Times New Roman"/>
                <w:sz w:val="20"/>
                <w:szCs w:val="20"/>
              </w:rPr>
            </w:pPr>
            <w:r>
              <w:rPr>
                <w:rFonts w:eastAsia="Times New Roman"/>
                <w:sz w:val="20"/>
                <w:szCs w:val="20"/>
              </w:rPr>
              <w:t>(3,092</w:t>
            </w:r>
          </w:p>
        </w:tc>
        <w:tc>
          <w:tcPr>
            <w:tcW w:w="0" w:type="auto"/>
            <w:shd w:val="clear" w:color="auto" w:fill="FFFFFF"/>
            <w:tcMar>
              <w:top w:w="0" w:type="dxa"/>
              <w:left w:w="0" w:type="dxa"/>
              <w:bottom w:w="50" w:type="dxa"/>
              <w:right w:w="0" w:type="dxa"/>
            </w:tcMar>
            <w:vAlign w:val="bottom"/>
            <w:hideMark/>
          </w:tcPr>
          <w:p w14:paraId="7DE55506" w14:textId="77777777" w:rsidR="00000000" w:rsidRDefault="009027A3">
            <w:pPr>
              <w:rPr>
                <w:rFonts w:eastAsia="Times New Roman"/>
                <w:sz w:val="20"/>
                <w:szCs w:val="20"/>
              </w:rPr>
            </w:pPr>
            <w:r>
              <w:rPr>
                <w:rFonts w:eastAsia="Times New Roman"/>
                <w:sz w:val="20"/>
                <w:szCs w:val="20"/>
              </w:rPr>
              <w:t>)</w:t>
            </w:r>
          </w:p>
        </w:tc>
      </w:tr>
    </w:tbl>
    <w:p w14:paraId="131CCC5A" w14:textId="77777777" w:rsidR="00000000" w:rsidRDefault="009027A3">
      <w:pPr>
        <w:pStyle w:val="a3"/>
        <w:spacing w:before="0" w:beforeAutospacing="0" w:after="0" w:afterAutospacing="0"/>
        <w:rPr>
          <w:sz w:val="20"/>
          <w:szCs w:val="20"/>
        </w:rPr>
      </w:pPr>
      <w:r>
        <w:rPr>
          <w:sz w:val="20"/>
          <w:szCs w:val="20"/>
        </w:rPr>
        <w:t> </w:t>
      </w:r>
    </w:p>
    <w:p w14:paraId="52D852B0" w14:textId="77777777" w:rsidR="00000000" w:rsidRDefault="009027A3">
      <w:pPr>
        <w:pStyle w:val="a3"/>
        <w:spacing w:before="0" w:beforeAutospacing="0" w:after="0" w:afterAutospacing="0"/>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4FE91A67" w14:textId="77777777" w:rsidR="00000000" w:rsidRDefault="009027A3">
      <w:pPr>
        <w:pStyle w:val="a3"/>
        <w:spacing w:before="0" w:beforeAutospacing="0" w:after="0" w:afterAutospacing="0"/>
        <w:rPr>
          <w:sz w:val="20"/>
          <w:szCs w:val="20"/>
        </w:rPr>
      </w:pPr>
      <w:r>
        <w:rPr>
          <w:sz w:val="20"/>
          <w:szCs w:val="20"/>
        </w:rPr>
        <w:t> </w:t>
      </w:r>
    </w:p>
    <w:p w14:paraId="3CA6D3E9" w14:textId="77777777" w:rsidR="00000000" w:rsidRDefault="009027A3">
      <w:pPr>
        <w:pStyle w:val="a3"/>
        <w:spacing w:before="0" w:beforeAutospacing="0" w:after="0" w:afterAutospacing="0"/>
        <w:rPr>
          <w:sz w:val="20"/>
          <w:szCs w:val="20"/>
        </w:rPr>
      </w:pPr>
      <w:r>
        <w:rPr>
          <w:sz w:val="20"/>
          <w:szCs w:val="20"/>
        </w:rPr>
        <w:t>See notes to condensed consolidated financial statements.</w:t>
      </w:r>
    </w:p>
    <w:p w14:paraId="671C5A19"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4338699" w14:textId="77777777">
        <w:trPr>
          <w:divId w:val="1566986822"/>
        </w:trPr>
        <w:tc>
          <w:tcPr>
            <w:tcW w:w="5000" w:type="pct"/>
            <w:hideMark/>
          </w:tcPr>
          <w:p w14:paraId="45B963B9" w14:textId="77777777" w:rsidR="00000000" w:rsidRDefault="009027A3">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983C554" w14:textId="77777777">
        <w:tc>
          <w:tcPr>
            <w:tcW w:w="5000" w:type="pct"/>
            <w:hideMark/>
          </w:tcPr>
          <w:p w14:paraId="77BF85FA" w14:textId="77777777" w:rsidR="00000000" w:rsidRDefault="009027A3">
            <w:pPr>
              <w:rPr>
                <w:rFonts w:eastAsia="Times New Roman"/>
                <w:sz w:val="20"/>
                <w:szCs w:val="20"/>
              </w:rPr>
            </w:pPr>
            <w:r>
              <w:rPr>
                <w:rFonts w:eastAsia="Times New Roman"/>
                <w:sz w:val="20"/>
                <w:szCs w:val="20"/>
              </w:rPr>
              <w:t> </w:t>
            </w:r>
          </w:p>
        </w:tc>
      </w:tr>
    </w:tbl>
    <w:p w14:paraId="1F35E496" w14:textId="77777777" w:rsidR="00000000" w:rsidRDefault="009027A3">
      <w:pPr>
        <w:pStyle w:val="a3"/>
        <w:spacing w:before="0" w:beforeAutospacing="0" w:after="0" w:afterAutospacing="0"/>
        <w:rPr>
          <w:sz w:val="20"/>
          <w:szCs w:val="20"/>
        </w:rPr>
      </w:pPr>
      <w:r>
        <w:rPr>
          <w:sz w:val="20"/>
          <w:szCs w:val="20"/>
        </w:rPr>
        <w:t> </w:t>
      </w:r>
    </w:p>
    <w:p w14:paraId="718F0364" w14:textId="77777777" w:rsidR="00000000" w:rsidRDefault="009027A3">
      <w:pPr>
        <w:pStyle w:val="a3"/>
        <w:spacing w:before="0" w:beforeAutospacing="0" w:after="0" w:afterAutospacing="0"/>
        <w:jc w:val="center"/>
        <w:rPr>
          <w:sz w:val="20"/>
          <w:szCs w:val="20"/>
        </w:rPr>
      </w:pPr>
      <w:r>
        <w:rPr>
          <w:b/>
          <w:bCs/>
          <w:sz w:val="20"/>
          <w:szCs w:val="20"/>
        </w:rPr>
        <w:t>CARECLOUD, INC.</w:t>
      </w:r>
    </w:p>
    <w:p w14:paraId="1681F650" w14:textId="77777777" w:rsidR="00000000" w:rsidRDefault="009027A3">
      <w:pPr>
        <w:pStyle w:val="a3"/>
        <w:spacing w:before="0" w:beforeAutospacing="0" w:after="0" w:afterAutospacing="0"/>
        <w:jc w:val="center"/>
        <w:rPr>
          <w:sz w:val="20"/>
          <w:szCs w:val="20"/>
        </w:rPr>
      </w:pPr>
      <w:bookmarkStart w:id="5" w:name="a_005"/>
      <w:bookmarkEnd w:id="5"/>
      <w:r>
        <w:rPr>
          <w:b/>
          <w:bCs/>
          <w:sz w:val="20"/>
          <w:szCs w:val="20"/>
        </w:rPr>
        <w:t>CONDENSED CONSOLIDATED STATEMENTS OF SHAREHOLDERS' EQUITY (UNAUDITED)</w:t>
      </w:r>
    </w:p>
    <w:p w14:paraId="12D30C98" w14:textId="77777777" w:rsidR="00000000" w:rsidRDefault="009027A3">
      <w:pPr>
        <w:pStyle w:val="a3"/>
        <w:spacing w:before="0" w:beforeAutospacing="0" w:after="0" w:afterAutospacing="0"/>
        <w:jc w:val="center"/>
        <w:rPr>
          <w:sz w:val="20"/>
          <w:szCs w:val="20"/>
        </w:rPr>
      </w:pPr>
      <w:r>
        <w:rPr>
          <w:b/>
          <w:bCs/>
          <w:sz w:val="20"/>
          <w:szCs w:val="20"/>
        </w:rPr>
        <w:t>FOR THE THREE MONTHS ENDED MARCH 31, 2021 AND MARCH 31, 2020</w:t>
      </w:r>
    </w:p>
    <w:p w14:paraId="4596D92B" w14:textId="77777777" w:rsidR="00000000" w:rsidRDefault="009027A3">
      <w:pPr>
        <w:pStyle w:val="a3"/>
        <w:spacing w:before="0" w:beforeAutospacing="0" w:after="0" w:afterAutospacing="0"/>
        <w:jc w:val="center"/>
        <w:rPr>
          <w:sz w:val="20"/>
          <w:szCs w:val="20"/>
        </w:rPr>
      </w:pPr>
      <w:r>
        <w:rPr>
          <w:sz w:val="20"/>
          <w:szCs w:val="20"/>
        </w:rPr>
        <w:t>(</w:t>
      </w:r>
      <w:r>
        <w:rPr>
          <w:sz w:val="20"/>
          <w:szCs w:val="20"/>
          <w:u w:val="single"/>
        </w:rPr>
        <w:t>$ in thousands, except for number of shares</w:t>
      </w:r>
      <w:r>
        <w:rPr>
          <w:sz w:val="20"/>
          <w:szCs w:val="20"/>
        </w:rPr>
        <w:t>)</w:t>
      </w:r>
    </w:p>
    <w:p w14:paraId="47161811"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45"/>
        <w:gridCol w:w="45"/>
        <w:gridCol w:w="45"/>
        <w:gridCol w:w="720"/>
        <w:gridCol w:w="45"/>
        <w:gridCol w:w="45"/>
        <w:gridCol w:w="158"/>
        <w:gridCol w:w="473"/>
        <w:gridCol w:w="45"/>
        <w:gridCol w:w="45"/>
        <w:gridCol w:w="45"/>
        <w:gridCol w:w="810"/>
        <w:gridCol w:w="45"/>
        <w:gridCol w:w="45"/>
        <w:gridCol w:w="158"/>
        <w:gridCol w:w="473"/>
        <w:gridCol w:w="45"/>
        <w:gridCol w:w="45"/>
        <w:gridCol w:w="206"/>
        <w:gridCol w:w="615"/>
        <w:gridCol w:w="60"/>
        <w:gridCol w:w="45"/>
        <w:gridCol w:w="255"/>
        <w:gridCol w:w="765"/>
        <w:gridCol w:w="60"/>
        <w:gridCol w:w="45"/>
        <w:gridCol w:w="300"/>
        <w:gridCol w:w="900"/>
        <w:gridCol w:w="60"/>
        <w:gridCol w:w="45"/>
        <w:gridCol w:w="208"/>
        <w:gridCol w:w="622"/>
        <w:gridCol w:w="60"/>
        <w:gridCol w:w="45"/>
        <w:gridCol w:w="268"/>
        <w:gridCol w:w="803"/>
        <w:gridCol w:w="60"/>
      </w:tblGrid>
      <w:tr w:rsidR="00000000" w14:paraId="486758AE" w14:textId="77777777">
        <w:tc>
          <w:tcPr>
            <w:tcW w:w="0" w:type="auto"/>
            <w:tcMar>
              <w:top w:w="0" w:type="dxa"/>
              <w:left w:w="0" w:type="dxa"/>
              <w:bottom w:w="30" w:type="dxa"/>
              <w:right w:w="0" w:type="dxa"/>
            </w:tcMar>
            <w:vAlign w:val="bottom"/>
            <w:hideMark/>
          </w:tcPr>
          <w:p w14:paraId="35A62F06" w14:textId="77777777" w:rsidR="00000000" w:rsidRDefault="009027A3">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14:paraId="4366D3C5" w14:textId="77777777" w:rsidR="00000000" w:rsidRDefault="009027A3">
            <w:pP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14:paraId="5AD6F732" w14:textId="77777777" w:rsidR="00000000" w:rsidRDefault="009027A3">
            <w:pPr>
              <w:jc w:val="center"/>
              <w:rPr>
                <w:rFonts w:eastAsia="Times New Roman"/>
                <w:b/>
                <w:bCs/>
                <w:sz w:val="20"/>
                <w:szCs w:val="20"/>
              </w:rPr>
            </w:pPr>
            <w:r>
              <w:rPr>
                <w:rFonts w:eastAsia="Times New Roman"/>
                <w:b/>
                <w:bCs/>
                <w:sz w:val="18"/>
                <w:szCs w:val="18"/>
              </w:rPr>
              <w:t>Preferred Stock</w:t>
            </w:r>
          </w:p>
        </w:tc>
        <w:tc>
          <w:tcPr>
            <w:tcW w:w="0" w:type="auto"/>
            <w:tcMar>
              <w:top w:w="0" w:type="dxa"/>
              <w:left w:w="0" w:type="dxa"/>
              <w:bottom w:w="30" w:type="dxa"/>
              <w:right w:w="0" w:type="dxa"/>
            </w:tcMar>
            <w:vAlign w:val="bottom"/>
            <w:hideMark/>
          </w:tcPr>
          <w:p w14:paraId="03D60FB6"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462564BA"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14:paraId="23960279" w14:textId="77777777" w:rsidR="00000000" w:rsidRDefault="009027A3">
            <w:pPr>
              <w:jc w:val="center"/>
              <w:rPr>
                <w:rFonts w:eastAsia="Times New Roman"/>
                <w:b/>
                <w:bCs/>
                <w:sz w:val="20"/>
                <w:szCs w:val="20"/>
              </w:rPr>
            </w:pPr>
            <w:r>
              <w:rPr>
                <w:rFonts w:eastAsia="Times New Roman"/>
                <w:b/>
                <w:bCs/>
                <w:sz w:val="18"/>
                <w:szCs w:val="18"/>
              </w:rPr>
              <w:t>Common Stock</w:t>
            </w:r>
          </w:p>
        </w:tc>
        <w:tc>
          <w:tcPr>
            <w:tcW w:w="0" w:type="auto"/>
            <w:tcMar>
              <w:top w:w="0" w:type="dxa"/>
              <w:left w:w="0" w:type="dxa"/>
              <w:bottom w:w="30" w:type="dxa"/>
              <w:right w:w="0" w:type="dxa"/>
            </w:tcMar>
            <w:vAlign w:val="bottom"/>
            <w:hideMark/>
          </w:tcPr>
          <w:p w14:paraId="4CE999B3"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38BA3547"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14:paraId="5A9AC90C" w14:textId="77777777" w:rsidR="00000000" w:rsidRDefault="009027A3">
            <w:pPr>
              <w:jc w:val="center"/>
              <w:rPr>
                <w:rFonts w:eastAsia="Times New Roman"/>
                <w:b/>
                <w:bCs/>
                <w:sz w:val="20"/>
                <w:szCs w:val="20"/>
              </w:rPr>
            </w:pPr>
            <w:r>
              <w:rPr>
                <w:rFonts w:eastAsia="Times New Roman"/>
                <w:b/>
                <w:bCs/>
                <w:sz w:val="18"/>
                <w:szCs w:val="18"/>
              </w:rPr>
              <w:t xml:space="preserve">Additional </w:t>
            </w:r>
            <w:r>
              <w:rPr>
                <w:rFonts w:eastAsia="Times New Roman"/>
                <w:b/>
                <w:bCs/>
                <w:sz w:val="18"/>
                <w:szCs w:val="18"/>
              </w:rPr>
              <w:br/>
              <w:t>Paid-in</w:t>
            </w:r>
          </w:p>
        </w:tc>
        <w:tc>
          <w:tcPr>
            <w:tcW w:w="0" w:type="auto"/>
            <w:tcMar>
              <w:top w:w="0" w:type="dxa"/>
              <w:left w:w="0" w:type="dxa"/>
              <w:bottom w:w="30" w:type="dxa"/>
              <w:right w:w="0" w:type="dxa"/>
            </w:tcMar>
            <w:vAlign w:val="bottom"/>
            <w:hideMark/>
          </w:tcPr>
          <w:p w14:paraId="7F1FAC8B"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7D2B52DE"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14:paraId="021710F4" w14:textId="77777777" w:rsidR="00000000" w:rsidRDefault="009027A3">
            <w:pPr>
              <w:jc w:val="center"/>
              <w:rPr>
                <w:rFonts w:eastAsia="Times New Roman"/>
                <w:b/>
                <w:bCs/>
                <w:sz w:val="20"/>
                <w:szCs w:val="20"/>
              </w:rPr>
            </w:pPr>
            <w:r>
              <w:rPr>
                <w:rFonts w:eastAsia="Times New Roman"/>
                <w:b/>
                <w:bCs/>
                <w:sz w:val="18"/>
                <w:szCs w:val="18"/>
              </w:rPr>
              <w:t>Accumulated</w:t>
            </w:r>
          </w:p>
        </w:tc>
        <w:tc>
          <w:tcPr>
            <w:tcW w:w="0" w:type="auto"/>
            <w:tcMar>
              <w:top w:w="0" w:type="dxa"/>
              <w:left w:w="0" w:type="dxa"/>
              <w:bottom w:w="30" w:type="dxa"/>
              <w:right w:w="0" w:type="dxa"/>
            </w:tcMar>
            <w:vAlign w:val="bottom"/>
            <w:hideMark/>
          </w:tcPr>
          <w:p w14:paraId="49F20F52"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66429CD9"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14:paraId="24881C6E" w14:textId="77777777" w:rsidR="00000000" w:rsidRDefault="009027A3">
            <w:pPr>
              <w:jc w:val="center"/>
              <w:rPr>
                <w:rFonts w:eastAsia="Times New Roman"/>
                <w:b/>
                <w:bCs/>
                <w:sz w:val="20"/>
                <w:szCs w:val="20"/>
              </w:rPr>
            </w:pPr>
            <w:r>
              <w:rPr>
                <w:rFonts w:eastAsia="Times New Roman"/>
                <w:b/>
                <w:bCs/>
                <w:sz w:val="18"/>
                <w:szCs w:val="18"/>
              </w:rPr>
              <w:t>Accumulated Other</w:t>
            </w:r>
            <w:r>
              <w:rPr>
                <w:rFonts w:eastAsia="Times New Roman"/>
                <w:b/>
                <w:bCs/>
                <w:sz w:val="18"/>
                <w:szCs w:val="18"/>
              </w:rPr>
              <w:br/>
              <w:t>Comprehensive</w:t>
            </w:r>
          </w:p>
        </w:tc>
        <w:tc>
          <w:tcPr>
            <w:tcW w:w="0" w:type="auto"/>
            <w:tcMar>
              <w:top w:w="0" w:type="dxa"/>
              <w:left w:w="0" w:type="dxa"/>
              <w:bottom w:w="30" w:type="dxa"/>
              <w:right w:w="0" w:type="dxa"/>
            </w:tcMar>
            <w:vAlign w:val="bottom"/>
            <w:hideMark/>
          </w:tcPr>
          <w:p w14:paraId="14B77B82"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5E09F202"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14:paraId="3E961104" w14:textId="77777777" w:rsidR="00000000" w:rsidRDefault="009027A3">
            <w:pPr>
              <w:jc w:val="center"/>
              <w:rPr>
                <w:rFonts w:eastAsia="Times New Roman"/>
                <w:b/>
                <w:bCs/>
                <w:sz w:val="20"/>
                <w:szCs w:val="20"/>
              </w:rPr>
            </w:pPr>
            <w:r>
              <w:rPr>
                <w:rFonts w:eastAsia="Times New Roman"/>
                <w:b/>
                <w:bCs/>
                <w:sz w:val="18"/>
                <w:szCs w:val="18"/>
              </w:rPr>
              <w:t>Treasury</w:t>
            </w:r>
            <w:r>
              <w:rPr>
                <w:rFonts w:eastAsia="Times New Roman"/>
                <w:b/>
                <w:bCs/>
                <w:sz w:val="18"/>
                <w:szCs w:val="18"/>
              </w:rPr>
              <w:br/>
              <w:t>(Common)</w:t>
            </w:r>
          </w:p>
        </w:tc>
        <w:tc>
          <w:tcPr>
            <w:tcW w:w="0" w:type="auto"/>
            <w:tcMar>
              <w:top w:w="0" w:type="dxa"/>
              <w:left w:w="0" w:type="dxa"/>
              <w:bottom w:w="30" w:type="dxa"/>
              <w:right w:w="0" w:type="dxa"/>
            </w:tcMar>
            <w:vAlign w:val="bottom"/>
            <w:hideMark/>
          </w:tcPr>
          <w:p w14:paraId="1E179B93"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0AB81712" w14:textId="77777777" w:rsidR="00000000" w:rsidRDefault="009027A3">
            <w:pPr>
              <w:jc w:val="center"/>
              <w:rPr>
                <w:rFonts w:eastAsia="Times New Roman"/>
                <w:sz w:val="20"/>
                <w:szCs w:val="20"/>
              </w:rPr>
            </w:pPr>
            <w:r>
              <w:rPr>
                <w:rFonts w:eastAsia="Times New Roman"/>
                <w:sz w:val="18"/>
                <w:szCs w:val="18"/>
              </w:rPr>
              <w:t> </w:t>
            </w:r>
          </w:p>
        </w:tc>
        <w:tc>
          <w:tcPr>
            <w:tcW w:w="0" w:type="auto"/>
            <w:gridSpan w:val="2"/>
            <w:tcMar>
              <w:top w:w="0" w:type="dxa"/>
              <w:left w:w="0" w:type="dxa"/>
              <w:bottom w:w="30" w:type="dxa"/>
              <w:right w:w="0" w:type="dxa"/>
            </w:tcMar>
            <w:vAlign w:val="bottom"/>
            <w:hideMark/>
          </w:tcPr>
          <w:p w14:paraId="5359B7A6" w14:textId="77777777" w:rsidR="00000000" w:rsidRDefault="009027A3">
            <w:pPr>
              <w:jc w:val="center"/>
              <w:rPr>
                <w:rFonts w:eastAsia="Times New Roman"/>
                <w:sz w:val="20"/>
                <w:szCs w:val="20"/>
              </w:rPr>
            </w:pPr>
            <w:r>
              <w:rPr>
                <w:rFonts w:eastAsia="Times New Roman"/>
                <w:b/>
                <w:bCs/>
                <w:sz w:val="18"/>
                <w:szCs w:val="18"/>
              </w:rPr>
              <w:t>Total</w:t>
            </w:r>
            <w:r>
              <w:rPr>
                <w:rFonts w:eastAsia="Times New Roman"/>
                <w:b/>
                <w:bCs/>
                <w:sz w:val="18"/>
                <w:szCs w:val="18"/>
              </w:rPr>
              <w:br/>
              <w:t>Shareholders'</w:t>
            </w:r>
          </w:p>
        </w:tc>
        <w:tc>
          <w:tcPr>
            <w:tcW w:w="0" w:type="auto"/>
            <w:tcMar>
              <w:top w:w="0" w:type="dxa"/>
              <w:left w:w="0" w:type="dxa"/>
              <w:bottom w:w="30" w:type="dxa"/>
              <w:right w:w="0" w:type="dxa"/>
            </w:tcMar>
            <w:vAlign w:val="bottom"/>
            <w:hideMark/>
          </w:tcPr>
          <w:p w14:paraId="33E7384B" w14:textId="77777777" w:rsidR="00000000" w:rsidRDefault="009027A3">
            <w:pPr>
              <w:jc w:val="center"/>
              <w:rPr>
                <w:rFonts w:eastAsia="Times New Roman"/>
                <w:sz w:val="20"/>
                <w:szCs w:val="20"/>
              </w:rPr>
            </w:pPr>
            <w:r>
              <w:rPr>
                <w:rFonts w:eastAsia="Times New Roman"/>
                <w:sz w:val="18"/>
                <w:szCs w:val="18"/>
              </w:rPr>
              <w:t> </w:t>
            </w:r>
          </w:p>
        </w:tc>
      </w:tr>
      <w:tr w:rsidR="00000000" w14:paraId="094431B1" w14:textId="77777777">
        <w:tc>
          <w:tcPr>
            <w:tcW w:w="0" w:type="auto"/>
            <w:tcMar>
              <w:top w:w="0" w:type="dxa"/>
              <w:left w:w="0" w:type="dxa"/>
              <w:bottom w:w="30" w:type="dxa"/>
              <w:right w:w="0" w:type="dxa"/>
            </w:tcMar>
            <w:vAlign w:val="bottom"/>
            <w:hideMark/>
          </w:tcPr>
          <w:p w14:paraId="3FC1F755" w14:textId="77777777" w:rsidR="00000000" w:rsidRDefault="009027A3">
            <w:pPr>
              <w:jc w:val="cente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14:paraId="0F3A55D8"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4BFBEA67" w14:textId="77777777" w:rsidR="00000000" w:rsidRDefault="009027A3">
            <w:pPr>
              <w:jc w:val="center"/>
              <w:rPr>
                <w:rFonts w:eastAsia="Times New Roman"/>
                <w:b/>
                <w:bCs/>
                <w:sz w:val="20"/>
                <w:szCs w:val="20"/>
              </w:rPr>
            </w:pPr>
            <w:r>
              <w:rPr>
                <w:rFonts w:eastAsia="Times New Roman"/>
                <w:b/>
                <w:bCs/>
                <w:sz w:val="18"/>
                <w:szCs w:val="18"/>
              </w:rPr>
              <w:t>Shares</w:t>
            </w:r>
          </w:p>
        </w:tc>
        <w:tc>
          <w:tcPr>
            <w:tcW w:w="0" w:type="auto"/>
            <w:tcMar>
              <w:top w:w="0" w:type="dxa"/>
              <w:left w:w="0" w:type="dxa"/>
              <w:bottom w:w="30" w:type="dxa"/>
              <w:right w:w="0" w:type="dxa"/>
            </w:tcMar>
            <w:vAlign w:val="bottom"/>
            <w:hideMark/>
          </w:tcPr>
          <w:p w14:paraId="1A5C4E55"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6235CF58"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45605336" w14:textId="77777777" w:rsidR="00000000" w:rsidRDefault="009027A3">
            <w:pPr>
              <w:jc w:val="center"/>
              <w:rPr>
                <w:rFonts w:eastAsia="Times New Roman"/>
                <w:b/>
                <w:bCs/>
                <w:sz w:val="20"/>
                <w:szCs w:val="20"/>
              </w:rPr>
            </w:pPr>
            <w:r>
              <w:rPr>
                <w:rFonts w:eastAsia="Times New Roman"/>
                <w:b/>
                <w:bCs/>
                <w:sz w:val="18"/>
                <w:szCs w:val="18"/>
              </w:rPr>
              <w:t>Amount</w:t>
            </w:r>
          </w:p>
        </w:tc>
        <w:tc>
          <w:tcPr>
            <w:tcW w:w="0" w:type="auto"/>
            <w:tcMar>
              <w:top w:w="0" w:type="dxa"/>
              <w:left w:w="0" w:type="dxa"/>
              <w:bottom w:w="30" w:type="dxa"/>
              <w:right w:w="0" w:type="dxa"/>
            </w:tcMar>
            <w:vAlign w:val="bottom"/>
            <w:hideMark/>
          </w:tcPr>
          <w:p w14:paraId="1B651C35"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10F7CBB6"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0D4ED046" w14:textId="77777777" w:rsidR="00000000" w:rsidRDefault="009027A3">
            <w:pPr>
              <w:jc w:val="center"/>
              <w:rPr>
                <w:rFonts w:eastAsia="Times New Roman"/>
                <w:b/>
                <w:bCs/>
                <w:sz w:val="20"/>
                <w:szCs w:val="20"/>
              </w:rPr>
            </w:pPr>
            <w:r>
              <w:rPr>
                <w:rFonts w:eastAsia="Times New Roman"/>
                <w:b/>
                <w:bCs/>
                <w:sz w:val="18"/>
                <w:szCs w:val="18"/>
              </w:rPr>
              <w:t>Shares</w:t>
            </w:r>
          </w:p>
        </w:tc>
        <w:tc>
          <w:tcPr>
            <w:tcW w:w="0" w:type="auto"/>
            <w:tcMar>
              <w:top w:w="0" w:type="dxa"/>
              <w:left w:w="0" w:type="dxa"/>
              <w:bottom w:w="30" w:type="dxa"/>
              <w:right w:w="0" w:type="dxa"/>
            </w:tcMar>
            <w:vAlign w:val="bottom"/>
            <w:hideMark/>
          </w:tcPr>
          <w:p w14:paraId="2398C807"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373E69AB"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706896A4" w14:textId="77777777" w:rsidR="00000000" w:rsidRDefault="009027A3">
            <w:pPr>
              <w:jc w:val="center"/>
              <w:rPr>
                <w:rFonts w:eastAsia="Times New Roman"/>
                <w:b/>
                <w:bCs/>
                <w:sz w:val="20"/>
                <w:szCs w:val="20"/>
              </w:rPr>
            </w:pPr>
            <w:r>
              <w:rPr>
                <w:rFonts w:eastAsia="Times New Roman"/>
                <w:b/>
                <w:bCs/>
                <w:sz w:val="18"/>
                <w:szCs w:val="18"/>
              </w:rPr>
              <w:t>Amount</w:t>
            </w:r>
          </w:p>
        </w:tc>
        <w:tc>
          <w:tcPr>
            <w:tcW w:w="0" w:type="auto"/>
            <w:tcMar>
              <w:top w:w="0" w:type="dxa"/>
              <w:left w:w="0" w:type="dxa"/>
              <w:bottom w:w="30" w:type="dxa"/>
              <w:right w:w="0" w:type="dxa"/>
            </w:tcMar>
            <w:vAlign w:val="bottom"/>
            <w:hideMark/>
          </w:tcPr>
          <w:p w14:paraId="77680364"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6C57103B"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63169FD7" w14:textId="77777777" w:rsidR="00000000" w:rsidRDefault="009027A3">
            <w:pPr>
              <w:pStyle w:val="a3"/>
              <w:spacing w:before="0" w:beforeAutospacing="0" w:after="0" w:afterAutospacing="0"/>
              <w:jc w:val="center"/>
              <w:rPr>
                <w:b/>
                <w:bCs/>
                <w:sz w:val="20"/>
                <w:szCs w:val="20"/>
              </w:rPr>
            </w:pPr>
            <w:r>
              <w:rPr>
                <w:b/>
                <w:bCs/>
                <w:sz w:val="18"/>
                <w:szCs w:val="18"/>
              </w:rPr>
              <w:t>Capital</w:t>
            </w:r>
          </w:p>
        </w:tc>
        <w:tc>
          <w:tcPr>
            <w:tcW w:w="0" w:type="auto"/>
            <w:tcMar>
              <w:top w:w="0" w:type="dxa"/>
              <w:left w:w="0" w:type="dxa"/>
              <w:bottom w:w="30" w:type="dxa"/>
              <w:right w:w="0" w:type="dxa"/>
            </w:tcMar>
            <w:vAlign w:val="bottom"/>
            <w:hideMark/>
          </w:tcPr>
          <w:p w14:paraId="75FEF769"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51665E18"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5F34AEBC" w14:textId="77777777" w:rsidR="00000000" w:rsidRDefault="009027A3">
            <w:pPr>
              <w:pStyle w:val="a3"/>
              <w:spacing w:before="0" w:beforeAutospacing="0" w:after="0" w:afterAutospacing="0"/>
              <w:jc w:val="center"/>
              <w:rPr>
                <w:b/>
                <w:bCs/>
                <w:sz w:val="20"/>
                <w:szCs w:val="20"/>
              </w:rPr>
            </w:pPr>
            <w:r>
              <w:rPr>
                <w:b/>
                <w:bCs/>
                <w:sz w:val="18"/>
                <w:szCs w:val="18"/>
              </w:rPr>
              <w:t>Deficit</w:t>
            </w:r>
          </w:p>
        </w:tc>
        <w:tc>
          <w:tcPr>
            <w:tcW w:w="0" w:type="auto"/>
            <w:tcMar>
              <w:top w:w="0" w:type="dxa"/>
              <w:left w:w="0" w:type="dxa"/>
              <w:bottom w:w="30" w:type="dxa"/>
              <w:right w:w="0" w:type="dxa"/>
            </w:tcMar>
            <w:vAlign w:val="bottom"/>
            <w:hideMark/>
          </w:tcPr>
          <w:p w14:paraId="03205158"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09DD57CB"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0B7DAA6B" w14:textId="77777777" w:rsidR="00000000" w:rsidRDefault="009027A3">
            <w:pPr>
              <w:jc w:val="center"/>
              <w:rPr>
                <w:rFonts w:eastAsia="Times New Roman"/>
                <w:b/>
                <w:bCs/>
                <w:sz w:val="20"/>
                <w:szCs w:val="20"/>
              </w:rPr>
            </w:pPr>
            <w:r>
              <w:rPr>
                <w:rFonts w:eastAsia="Times New Roman"/>
                <w:b/>
                <w:bCs/>
                <w:sz w:val="18"/>
                <w:szCs w:val="18"/>
              </w:rPr>
              <w:t>Loss</w:t>
            </w:r>
          </w:p>
        </w:tc>
        <w:tc>
          <w:tcPr>
            <w:tcW w:w="0" w:type="auto"/>
            <w:tcMar>
              <w:top w:w="0" w:type="dxa"/>
              <w:left w:w="0" w:type="dxa"/>
              <w:bottom w:w="30" w:type="dxa"/>
              <w:right w:w="0" w:type="dxa"/>
            </w:tcMar>
            <w:vAlign w:val="bottom"/>
            <w:hideMark/>
          </w:tcPr>
          <w:p w14:paraId="6EFF80A8"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5AF7AE02"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6ADB7B22" w14:textId="77777777" w:rsidR="00000000" w:rsidRDefault="009027A3">
            <w:pPr>
              <w:jc w:val="center"/>
              <w:rPr>
                <w:rFonts w:eastAsia="Times New Roman"/>
                <w:b/>
                <w:bCs/>
                <w:sz w:val="20"/>
                <w:szCs w:val="20"/>
              </w:rPr>
            </w:pPr>
            <w:r>
              <w:rPr>
                <w:rFonts w:eastAsia="Times New Roman"/>
                <w:b/>
                <w:bCs/>
                <w:sz w:val="18"/>
                <w:szCs w:val="18"/>
              </w:rPr>
              <w:t>Stock</w:t>
            </w:r>
          </w:p>
        </w:tc>
        <w:tc>
          <w:tcPr>
            <w:tcW w:w="0" w:type="auto"/>
            <w:tcMar>
              <w:top w:w="0" w:type="dxa"/>
              <w:left w:w="0" w:type="dxa"/>
              <w:bottom w:w="30" w:type="dxa"/>
              <w:right w:w="0" w:type="dxa"/>
            </w:tcMar>
            <w:vAlign w:val="bottom"/>
            <w:hideMark/>
          </w:tcPr>
          <w:p w14:paraId="010FC396" w14:textId="77777777" w:rsidR="00000000" w:rsidRDefault="009027A3">
            <w:pPr>
              <w:jc w:val="cente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14:paraId="54CF0B43" w14:textId="77777777" w:rsidR="00000000" w:rsidRDefault="009027A3">
            <w:pPr>
              <w:jc w:val="center"/>
              <w:rPr>
                <w:rFonts w:eastAsia="Times New Roman"/>
                <w:sz w:val="20"/>
                <w:szCs w:val="20"/>
              </w:rPr>
            </w:pPr>
            <w:r>
              <w:rPr>
                <w:rFonts w:eastAsia="Times New Roman"/>
                <w:sz w:val="18"/>
                <w:szCs w:val="18"/>
              </w:rPr>
              <w:t> </w:t>
            </w:r>
          </w:p>
        </w:tc>
        <w:tc>
          <w:tcPr>
            <w:tcW w:w="0" w:type="auto"/>
            <w:gridSpan w:val="2"/>
            <w:tcBorders>
              <w:bottom w:val="single" w:sz="12" w:space="0" w:color="000000"/>
            </w:tcBorders>
            <w:vAlign w:val="bottom"/>
            <w:hideMark/>
          </w:tcPr>
          <w:p w14:paraId="25EFE4E8" w14:textId="77777777" w:rsidR="00000000" w:rsidRDefault="009027A3">
            <w:pPr>
              <w:pStyle w:val="a3"/>
              <w:spacing w:before="0" w:beforeAutospacing="0" w:after="0" w:afterAutospacing="0"/>
              <w:jc w:val="center"/>
              <w:rPr>
                <w:sz w:val="20"/>
                <w:szCs w:val="20"/>
              </w:rPr>
            </w:pPr>
            <w:r>
              <w:rPr>
                <w:b/>
                <w:bCs/>
                <w:sz w:val="18"/>
                <w:szCs w:val="18"/>
              </w:rPr>
              <w:t>Equity</w:t>
            </w:r>
          </w:p>
        </w:tc>
        <w:tc>
          <w:tcPr>
            <w:tcW w:w="0" w:type="auto"/>
            <w:tcMar>
              <w:top w:w="0" w:type="dxa"/>
              <w:left w:w="0" w:type="dxa"/>
              <w:bottom w:w="30" w:type="dxa"/>
              <w:right w:w="0" w:type="dxa"/>
            </w:tcMar>
            <w:vAlign w:val="bottom"/>
            <w:hideMark/>
          </w:tcPr>
          <w:p w14:paraId="7F2D55DE" w14:textId="77777777" w:rsidR="00000000" w:rsidRDefault="009027A3">
            <w:pPr>
              <w:rPr>
                <w:rFonts w:eastAsia="Times New Roman"/>
                <w:sz w:val="20"/>
                <w:szCs w:val="20"/>
              </w:rPr>
            </w:pPr>
            <w:r>
              <w:rPr>
                <w:rFonts w:eastAsia="Times New Roman"/>
                <w:sz w:val="18"/>
                <w:szCs w:val="18"/>
              </w:rPr>
              <w:t> </w:t>
            </w:r>
          </w:p>
        </w:tc>
      </w:tr>
      <w:tr w:rsidR="009027A3" w14:paraId="45200637" w14:textId="77777777">
        <w:tc>
          <w:tcPr>
            <w:tcW w:w="1850" w:type="pct"/>
            <w:shd w:val="clear" w:color="auto" w:fill="CCEEFF"/>
            <w:vAlign w:val="bottom"/>
            <w:hideMark/>
          </w:tcPr>
          <w:p w14:paraId="18331983" w14:textId="77777777" w:rsidR="00000000" w:rsidRDefault="009027A3">
            <w:pPr>
              <w:rPr>
                <w:rFonts w:eastAsia="Times New Roman"/>
                <w:sz w:val="20"/>
                <w:szCs w:val="20"/>
              </w:rPr>
            </w:pPr>
            <w:r>
              <w:rPr>
                <w:rFonts w:eastAsia="Times New Roman"/>
                <w:sz w:val="18"/>
                <w:szCs w:val="18"/>
              </w:rPr>
              <w:t>Balance - January 1, 2021</w:t>
            </w:r>
          </w:p>
        </w:tc>
        <w:tc>
          <w:tcPr>
            <w:tcW w:w="100" w:type="pct"/>
            <w:shd w:val="clear" w:color="auto" w:fill="CCEEFF"/>
            <w:vAlign w:val="bottom"/>
            <w:hideMark/>
          </w:tcPr>
          <w:p w14:paraId="7B6671A1"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242232CA" w14:textId="77777777" w:rsidR="00000000" w:rsidRDefault="009027A3">
            <w:pPr>
              <w:rPr>
                <w:rFonts w:eastAsia="Times New Roman"/>
                <w:sz w:val="20"/>
                <w:szCs w:val="20"/>
              </w:rPr>
            </w:pPr>
            <w:r>
              <w:rPr>
                <w:rFonts w:eastAsia="Times New Roman"/>
                <w:sz w:val="18"/>
                <w:szCs w:val="18"/>
              </w:rPr>
              <w:t> </w:t>
            </w:r>
          </w:p>
        </w:tc>
        <w:tc>
          <w:tcPr>
            <w:tcW w:w="150" w:type="pct"/>
            <w:shd w:val="clear" w:color="auto" w:fill="CCEEFF"/>
            <w:vAlign w:val="bottom"/>
            <w:hideMark/>
          </w:tcPr>
          <w:p w14:paraId="4F032841" w14:textId="77777777" w:rsidR="00000000" w:rsidRDefault="009027A3">
            <w:pPr>
              <w:jc w:val="right"/>
              <w:rPr>
                <w:rFonts w:eastAsia="Times New Roman"/>
                <w:sz w:val="20"/>
                <w:szCs w:val="20"/>
              </w:rPr>
            </w:pPr>
            <w:r>
              <w:rPr>
                <w:rFonts w:eastAsia="Times New Roman"/>
                <w:sz w:val="18"/>
                <w:szCs w:val="18"/>
              </w:rPr>
              <w:t>5,475,279</w:t>
            </w:r>
          </w:p>
        </w:tc>
        <w:tc>
          <w:tcPr>
            <w:tcW w:w="50" w:type="pct"/>
            <w:shd w:val="clear" w:color="auto" w:fill="CCEEFF"/>
            <w:vAlign w:val="bottom"/>
            <w:hideMark/>
          </w:tcPr>
          <w:p w14:paraId="472C1A48" w14:textId="77777777" w:rsidR="00000000" w:rsidRDefault="009027A3">
            <w:pPr>
              <w:rPr>
                <w:rFonts w:eastAsia="Times New Roman"/>
                <w:sz w:val="20"/>
                <w:szCs w:val="20"/>
              </w:rPr>
            </w:pPr>
            <w:r>
              <w:rPr>
                <w:rFonts w:eastAsia="Times New Roman"/>
                <w:sz w:val="18"/>
                <w:szCs w:val="18"/>
              </w:rPr>
              <w:t> </w:t>
            </w:r>
          </w:p>
        </w:tc>
        <w:tc>
          <w:tcPr>
            <w:tcW w:w="100" w:type="pct"/>
            <w:shd w:val="clear" w:color="auto" w:fill="CCEEFF"/>
            <w:vAlign w:val="bottom"/>
            <w:hideMark/>
          </w:tcPr>
          <w:p w14:paraId="01F91FBD"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4D43587F"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2BA6DAE1" w14:textId="77777777" w:rsidR="00000000" w:rsidRDefault="009027A3">
            <w:pPr>
              <w:jc w:val="right"/>
              <w:rPr>
                <w:rFonts w:eastAsia="Times New Roman"/>
                <w:sz w:val="20"/>
                <w:szCs w:val="20"/>
              </w:rPr>
            </w:pPr>
            <w:r>
              <w:rPr>
                <w:rFonts w:eastAsia="Times New Roman"/>
                <w:sz w:val="18"/>
                <w:szCs w:val="18"/>
              </w:rPr>
              <w:t>5</w:t>
            </w:r>
          </w:p>
        </w:tc>
        <w:tc>
          <w:tcPr>
            <w:tcW w:w="50" w:type="pct"/>
            <w:shd w:val="clear" w:color="auto" w:fill="CCEEFF"/>
            <w:vAlign w:val="bottom"/>
            <w:hideMark/>
          </w:tcPr>
          <w:p w14:paraId="3B27B2F2" w14:textId="77777777" w:rsidR="00000000" w:rsidRDefault="009027A3">
            <w:pPr>
              <w:rPr>
                <w:rFonts w:eastAsia="Times New Roman"/>
                <w:sz w:val="20"/>
                <w:szCs w:val="20"/>
              </w:rPr>
            </w:pPr>
            <w:r>
              <w:rPr>
                <w:rFonts w:eastAsia="Times New Roman"/>
                <w:sz w:val="18"/>
                <w:szCs w:val="18"/>
              </w:rPr>
              <w:t> </w:t>
            </w:r>
          </w:p>
        </w:tc>
        <w:tc>
          <w:tcPr>
            <w:tcW w:w="100" w:type="pct"/>
            <w:shd w:val="clear" w:color="auto" w:fill="CCEEFF"/>
            <w:vAlign w:val="bottom"/>
            <w:hideMark/>
          </w:tcPr>
          <w:p w14:paraId="7D08B325"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51CD8C59" w14:textId="77777777" w:rsidR="00000000" w:rsidRDefault="009027A3">
            <w:pPr>
              <w:rPr>
                <w:rFonts w:eastAsia="Times New Roman"/>
                <w:sz w:val="20"/>
                <w:szCs w:val="20"/>
              </w:rPr>
            </w:pPr>
            <w:r>
              <w:rPr>
                <w:rFonts w:eastAsia="Times New Roman"/>
                <w:sz w:val="18"/>
                <w:szCs w:val="18"/>
              </w:rPr>
              <w:t> </w:t>
            </w:r>
          </w:p>
        </w:tc>
        <w:tc>
          <w:tcPr>
            <w:tcW w:w="150" w:type="pct"/>
            <w:shd w:val="clear" w:color="auto" w:fill="CCEEFF"/>
            <w:vAlign w:val="bottom"/>
            <w:hideMark/>
          </w:tcPr>
          <w:p w14:paraId="558E208D" w14:textId="77777777" w:rsidR="00000000" w:rsidRDefault="009027A3">
            <w:pPr>
              <w:jc w:val="right"/>
              <w:rPr>
                <w:rFonts w:eastAsia="Times New Roman"/>
                <w:sz w:val="20"/>
                <w:szCs w:val="20"/>
              </w:rPr>
            </w:pPr>
            <w:r>
              <w:rPr>
                <w:rFonts w:eastAsia="Times New Roman"/>
                <w:sz w:val="18"/>
                <w:szCs w:val="18"/>
              </w:rPr>
              <w:t>14,121,044</w:t>
            </w:r>
          </w:p>
        </w:tc>
        <w:tc>
          <w:tcPr>
            <w:tcW w:w="50" w:type="pct"/>
            <w:shd w:val="clear" w:color="auto" w:fill="CCEEFF"/>
            <w:vAlign w:val="bottom"/>
            <w:hideMark/>
          </w:tcPr>
          <w:p w14:paraId="4883A27B" w14:textId="77777777" w:rsidR="00000000" w:rsidRDefault="009027A3">
            <w:pPr>
              <w:rPr>
                <w:rFonts w:eastAsia="Times New Roman"/>
                <w:sz w:val="20"/>
                <w:szCs w:val="20"/>
              </w:rPr>
            </w:pPr>
            <w:r>
              <w:rPr>
                <w:rFonts w:eastAsia="Times New Roman"/>
                <w:sz w:val="18"/>
                <w:szCs w:val="18"/>
              </w:rPr>
              <w:t> </w:t>
            </w:r>
          </w:p>
        </w:tc>
        <w:tc>
          <w:tcPr>
            <w:tcW w:w="100" w:type="pct"/>
            <w:shd w:val="clear" w:color="auto" w:fill="CCEEFF"/>
            <w:vAlign w:val="bottom"/>
            <w:hideMark/>
          </w:tcPr>
          <w:p w14:paraId="7CFD19AD"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14CF0F9D"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6696C6FC" w14:textId="77777777" w:rsidR="00000000" w:rsidRDefault="009027A3">
            <w:pPr>
              <w:jc w:val="right"/>
              <w:rPr>
                <w:rFonts w:eastAsia="Times New Roman"/>
                <w:sz w:val="20"/>
                <w:szCs w:val="20"/>
              </w:rPr>
            </w:pPr>
            <w:r>
              <w:rPr>
                <w:rFonts w:eastAsia="Times New Roman"/>
                <w:sz w:val="18"/>
                <w:szCs w:val="18"/>
              </w:rPr>
              <w:t>14</w:t>
            </w:r>
          </w:p>
        </w:tc>
        <w:tc>
          <w:tcPr>
            <w:tcW w:w="50" w:type="pct"/>
            <w:shd w:val="clear" w:color="auto" w:fill="CCEEFF"/>
            <w:vAlign w:val="bottom"/>
            <w:hideMark/>
          </w:tcPr>
          <w:p w14:paraId="415CA04B" w14:textId="77777777" w:rsidR="00000000" w:rsidRDefault="009027A3">
            <w:pPr>
              <w:rPr>
                <w:rFonts w:eastAsia="Times New Roman"/>
                <w:sz w:val="20"/>
                <w:szCs w:val="20"/>
              </w:rPr>
            </w:pPr>
            <w:r>
              <w:rPr>
                <w:rFonts w:eastAsia="Times New Roman"/>
                <w:sz w:val="18"/>
                <w:szCs w:val="18"/>
              </w:rPr>
              <w:t> </w:t>
            </w:r>
          </w:p>
        </w:tc>
        <w:tc>
          <w:tcPr>
            <w:tcW w:w="100" w:type="pct"/>
            <w:shd w:val="clear" w:color="auto" w:fill="CCEEFF"/>
            <w:vAlign w:val="bottom"/>
            <w:hideMark/>
          </w:tcPr>
          <w:p w14:paraId="197E228F"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17007C1A"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08A5B51C" w14:textId="77777777" w:rsidR="00000000" w:rsidRDefault="009027A3">
            <w:pPr>
              <w:jc w:val="right"/>
              <w:rPr>
                <w:rFonts w:eastAsia="Times New Roman"/>
                <w:sz w:val="20"/>
                <w:szCs w:val="20"/>
              </w:rPr>
            </w:pPr>
            <w:r>
              <w:rPr>
                <w:rFonts w:eastAsia="Times New Roman"/>
                <w:sz w:val="18"/>
                <w:szCs w:val="18"/>
              </w:rPr>
              <w:t>136,781</w:t>
            </w:r>
          </w:p>
        </w:tc>
        <w:tc>
          <w:tcPr>
            <w:tcW w:w="50" w:type="pct"/>
            <w:shd w:val="clear" w:color="auto" w:fill="CCEEFF"/>
            <w:vAlign w:val="bottom"/>
            <w:hideMark/>
          </w:tcPr>
          <w:p w14:paraId="5821A778" w14:textId="77777777" w:rsidR="00000000" w:rsidRDefault="009027A3">
            <w:pPr>
              <w:rPr>
                <w:rFonts w:eastAsia="Times New Roman"/>
                <w:sz w:val="20"/>
                <w:szCs w:val="20"/>
              </w:rPr>
            </w:pPr>
            <w:r>
              <w:rPr>
                <w:rFonts w:eastAsia="Times New Roman"/>
                <w:sz w:val="18"/>
                <w:szCs w:val="18"/>
              </w:rPr>
              <w:t> </w:t>
            </w:r>
          </w:p>
        </w:tc>
        <w:tc>
          <w:tcPr>
            <w:tcW w:w="100" w:type="pct"/>
            <w:shd w:val="clear" w:color="auto" w:fill="CCEEFF"/>
            <w:vAlign w:val="bottom"/>
            <w:hideMark/>
          </w:tcPr>
          <w:p w14:paraId="1E229E8E"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31298002"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20209F13" w14:textId="77777777" w:rsidR="00000000" w:rsidRDefault="009027A3">
            <w:pPr>
              <w:jc w:val="right"/>
              <w:rPr>
                <w:rFonts w:eastAsia="Times New Roman"/>
                <w:sz w:val="20"/>
                <w:szCs w:val="20"/>
              </w:rPr>
            </w:pPr>
            <w:r>
              <w:rPr>
                <w:rFonts w:eastAsia="Times New Roman"/>
                <w:sz w:val="18"/>
                <w:szCs w:val="18"/>
              </w:rPr>
              <w:t>(33,889</w:t>
            </w:r>
          </w:p>
        </w:tc>
        <w:tc>
          <w:tcPr>
            <w:tcW w:w="50" w:type="pct"/>
            <w:shd w:val="clear" w:color="auto" w:fill="CCEEFF"/>
            <w:vAlign w:val="bottom"/>
            <w:hideMark/>
          </w:tcPr>
          <w:p w14:paraId="1E836748" w14:textId="77777777" w:rsidR="00000000" w:rsidRDefault="009027A3">
            <w:pPr>
              <w:rPr>
                <w:rFonts w:eastAsia="Times New Roman"/>
                <w:sz w:val="20"/>
                <w:szCs w:val="20"/>
              </w:rPr>
            </w:pPr>
            <w:r>
              <w:rPr>
                <w:rFonts w:eastAsia="Times New Roman"/>
                <w:sz w:val="18"/>
                <w:szCs w:val="18"/>
              </w:rPr>
              <w:t>)</w:t>
            </w:r>
          </w:p>
        </w:tc>
        <w:tc>
          <w:tcPr>
            <w:tcW w:w="100" w:type="pct"/>
            <w:shd w:val="clear" w:color="auto" w:fill="CCEEFF"/>
            <w:vAlign w:val="bottom"/>
            <w:hideMark/>
          </w:tcPr>
          <w:p w14:paraId="321E04A8"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44A57028"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19CC812E" w14:textId="77777777" w:rsidR="00000000" w:rsidRDefault="009027A3">
            <w:pPr>
              <w:jc w:val="right"/>
              <w:rPr>
                <w:rFonts w:eastAsia="Times New Roman"/>
                <w:sz w:val="20"/>
                <w:szCs w:val="20"/>
              </w:rPr>
            </w:pPr>
            <w:r>
              <w:rPr>
                <w:rFonts w:eastAsia="Times New Roman"/>
                <w:sz w:val="18"/>
                <w:szCs w:val="18"/>
              </w:rPr>
              <w:t>(1,004</w:t>
            </w:r>
          </w:p>
        </w:tc>
        <w:tc>
          <w:tcPr>
            <w:tcW w:w="50" w:type="pct"/>
            <w:shd w:val="clear" w:color="auto" w:fill="CCEEFF"/>
            <w:vAlign w:val="bottom"/>
            <w:hideMark/>
          </w:tcPr>
          <w:p w14:paraId="55848299" w14:textId="77777777" w:rsidR="00000000" w:rsidRDefault="009027A3">
            <w:pPr>
              <w:rPr>
                <w:rFonts w:eastAsia="Times New Roman"/>
                <w:sz w:val="20"/>
                <w:szCs w:val="20"/>
              </w:rPr>
            </w:pPr>
            <w:r>
              <w:rPr>
                <w:rFonts w:eastAsia="Times New Roman"/>
                <w:sz w:val="18"/>
                <w:szCs w:val="18"/>
              </w:rPr>
              <w:t>)</w:t>
            </w:r>
          </w:p>
        </w:tc>
        <w:tc>
          <w:tcPr>
            <w:tcW w:w="100" w:type="pct"/>
            <w:shd w:val="clear" w:color="auto" w:fill="CCEEFF"/>
            <w:vAlign w:val="bottom"/>
            <w:hideMark/>
          </w:tcPr>
          <w:p w14:paraId="57930CF5"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3F6509FE"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223D19D6" w14:textId="77777777" w:rsidR="00000000" w:rsidRDefault="009027A3">
            <w:pPr>
              <w:jc w:val="right"/>
              <w:rPr>
                <w:rFonts w:eastAsia="Times New Roman"/>
                <w:sz w:val="20"/>
                <w:szCs w:val="20"/>
              </w:rPr>
            </w:pPr>
            <w:r>
              <w:rPr>
                <w:rFonts w:eastAsia="Times New Roman"/>
                <w:sz w:val="18"/>
                <w:szCs w:val="18"/>
              </w:rPr>
              <w:t>(662</w:t>
            </w:r>
          </w:p>
        </w:tc>
        <w:tc>
          <w:tcPr>
            <w:tcW w:w="50" w:type="pct"/>
            <w:shd w:val="clear" w:color="auto" w:fill="CCEEFF"/>
            <w:vAlign w:val="bottom"/>
            <w:hideMark/>
          </w:tcPr>
          <w:p w14:paraId="1D14E1F0" w14:textId="77777777" w:rsidR="00000000" w:rsidRDefault="009027A3">
            <w:pPr>
              <w:rPr>
                <w:rFonts w:eastAsia="Times New Roman"/>
                <w:sz w:val="20"/>
                <w:szCs w:val="20"/>
              </w:rPr>
            </w:pPr>
            <w:r>
              <w:rPr>
                <w:rFonts w:eastAsia="Times New Roman"/>
                <w:sz w:val="18"/>
                <w:szCs w:val="18"/>
              </w:rPr>
              <w:t>)</w:t>
            </w:r>
          </w:p>
        </w:tc>
        <w:tc>
          <w:tcPr>
            <w:tcW w:w="100" w:type="pct"/>
            <w:shd w:val="clear" w:color="auto" w:fill="CCEEFF"/>
            <w:vAlign w:val="bottom"/>
            <w:hideMark/>
          </w:tcPr>
          <w:p w14:paraId="452C7AB2" w14:textId="77777777" w:rsidR="00000000" w:rsidRDefault="009027A3">
            <w:pPr>
              <w:rPr>
                <w:rFonts w:eastAsia="Times New Roman"/>
                <w:sz w:val="20"/>
                <w:szCs w:val="20"/>
              </w:rPr>
            </w:pPr>
            <w:r>
              <w:rPr>
                <w:rFonts w:eastAsia="Times New Roman"/>
                <w:sz w:val="18"/>
                <w:szCs w:val="18"/>
              </w:rPr>
              <w:t> </w:t>
            </w:r>
          </w:p>
        </w:tc>
        <w:tc>
          <w:tcPr>
            <w:tcW w:w="50" w:type="pct"/>
            <w:shd w:val="clear" w:color="auto" w:fill="CCEEFF"/>
            <w:vAlign w:val="bottom"/>
            <w:hideMark/>
          </w:tcPr>
          <w:p w14:paraId="566BD594" w14:textId="77777777" w:rsidR="00000000" w:rsidRDefault="009027A3">
            <w:pPr>
              <w:rPr>
                <w:rFonts w:eastAsia="Times New Roman"/>
                <w:sz w:val="20"/>
                <w:szCs w:val="20"/>
              </w:rPr>
            </w:pPr>
            <w:r>
              <w:rPr>
                <w:rFonts w:eastAsia="Times New Roman"/>
                <w:sz w:val="18"/>
                <w:szCs w:val="18"/>
              </w:rPr>
              <w:t>$</w:t>
            </w:r>
          </w:p>
        </w:tc>
        <w:tc>
          <w:tcPr>
            <w:tcW w:w="150" w:type="pct"/>
            <w:shd w:val="clear" w:color="auto" w:fill="CCEEFF"/>
            <w:vAlign w:val="bottom"/>
            <w:hideMark/>
          </w:tcPr>
          <w:p w14:paraId="01ED8395" w14:textId="77777777" w:rsidR="00000000" w:rsidRDefault="009027A3">
            <w:pPr>
              <w:jc w:val="right"/>
              <w:rPr>
                <w:rFonts w:eastAsia="Times New Roman"/>
                <w:sz w:val="20"/>
                <w:szCs w:val="20"/>
              </w:rPr>
            </w:pPr>
            <w:r>
              <w:rPr>
                <w:rFonts w:eastAsia="Times New Roman"/>
                <w:sz w:val="18"/>
                <w:szCs w:val="18"/>
              </w:rPr>
              <w:t>101,245</w:t>
            </w:r>
          </w:p>
        </w:tc>
        <w:tc>
          <w:tcPr>
            <w:tcW w:w="50" w:type="pct"/>
            <w:shd w:val="clear" w:color="auto" w:fill="CCEEFF"/>
            <w:vAlign w:val="bottom"/>
            <w:hideMark/>
          </w:tcPr>
          <w:p w14:paraId="0FDDA56D" w14:textId="77777777" w:rsidR="00000000" w:rsidRDefault="009027A3">
            <w:pPr>
              <w:rPr>
                <w:rFonts w:eastAsia="Times New Roman"/>
                <w:sz w:val="20"/>
                <w:szCs w:val="20"/>
              </w:rPr>
            </w:pPr>
            <w:r>
              <w:rPr>
                <w:rFonts w:eastAsia="Times New Roman"/>
                <w:sz w:val="18"/>
                <w:szCs w:val="18"/>
              </w:rPr>
              <w:t> </w:t>
            </w:r>
          </w:p>
        </w:tc>
      </w:tr>
      <w:tr w:rsidR="009027A3" w14:paraId="6B70795F" w14:textId="77777777">
        <w:tc>
          <w:tcPr>
            <w:tcW w:w="0" w:type="auto"/>
            <w:shd w:val="clear" w:color="auto" w:fill="FFFFFF"/>
            <w:vAlign w:val="bottom"/>
            <w:hideMark/>
          </w:tcPr>
          <w:p w14:paraId="789B3EA0" w14:textId="77777777" w:rsidR="00000000" w:rsidRDefault="009027A3">
            <w:pPr>
              <w:rPr>
                <w:rFonts w:eastAsia="Times New Roman"/>
                <w:sz w:val="20"/>
                <w:szCs w:val="20"/>
              </w:rPr>
            </w:pPr>
            <w:r>
              <w:rPr>
                <w:rFonts w:eastAsia="Times New Roman"/>
                <w:sz w:val="18"/>
                <w:szCs w:val="18"/>
              </w:rPr>
              <w:t>Net loss</w:t>
            </w:r>
          </w:p>
        </w:tc>
        <w:tc>
          <w:tcPr>
            <w:tcW w:w="0" w:type="auto"/>
            <w:shd w:val="clear" w:color="auto" w:fill="FFFFFF"/>
            <w:vAlign w:val="bottom"/>
            <w:hideMark/>
          </w:tcPr>
          <w:p w14:paraId="76BE676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190B36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73F550E"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43AEBD5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1A3CF3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450A60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4FF285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0BBBC03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CC8D3D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F72E5B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E3BA2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3C69632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20E9CA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9D5ED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14BDDE2"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468BEC1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0EDD32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ECB397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5696FF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08F8355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522F45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9048E1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ECCC693" w14:textId="77777777" w:rsidR="00000000" w:rsidRDefault="009027A3">
            <w:pPr>
              <w:jc w:val="right"/>
              <w:rPr>
                <w:rFonts w:eastAsia="Times New Roman"/>
                <w:sz w:val="20"/>
                <w:szCs w:val="20"/>
              </w:rPr>
            </w:pPr>
            <w:r>
              <w:rPr>
                <w:rFonts w:eastAsia="Times New Roman"/>
                <w:sz w:val="18"/>
                <w:szCs w:val="18"/>
              </w:rPr>
              <w:t>(1,964</w:t>
            </w:r>
          </w:p>
        </w:tc>
        <w:tc>
          <w:tcPr>
            <w:tcW w:w="0" w:type="auto"/>
            <w:shd w:val="clear" w:color="auto" w:fill="FFFFFF"/>
            <w:vAlign w:val="bottom"/>
            <w:hideMark/>
          </w:tcPr>
          <w:p w14:paraId="70EADFA6"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7D92D2D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4B0A0B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711342B"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3A0AF9E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221500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3072EB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59757EE"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3A15033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328AF2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AD3DC5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CB88412" w14:textId="77777777" w:rsidR="00000000" w:rsidRDefault="009027A3">
            <w:pPr>
              <w:jc w:val="right"/>
              <w:rPr>
                <w:rFonts w:eastAsia="Times New Roman"/>
                <w:sz w:val="20"/>
                <w:szCs w:val="20"/>
              </w:rPr>
            </w:pPr>
            <w:r>
              <w:rPr>
                <w:rFonts w:eastAsia="Times New Roman"/>
                <w:sz w:val="18"/>
                <w:szCs w:val="18"/>
              </w:rPr>
              <w:t>(1,964</w:t>
            </w:r>
          </w:p>
        </w:tc>
        <w:tc>
          <w:tcPr>
            <w:tcW w:w="0" w:type="auto"/>
            <w:shd w:val="clear" w:color="auto" w:fill="FFFFFF"/>
            <w:vAlign w:val="bottom"/>
            <w:hideMark/>
          </w:tcPr>
          <w:p w14:paraId="1DAF5C31" w14:textId="77777777" w:rsidR="00000000" w:rsidRDefault="009027A3">
            <w:pPr>
              <w:rPr>
                <w:rFonts w:eastAsia="Times New Roman"/>
                <w:sz w:val="20"/>
                <w:szCs w:val="20"/>
              </w:rPr>
            </w:pPr>
            <w:r>
              <w:rPr>
                <w:rFonts w:eastAsia="Times New Roman"/>
                <w:sz w:val="18"/>
                <w:szCs w:val="18"/>
              </w:rPr>
              <w:t>)</w:t>
            </w:r>
          </w:p>
        </w:tc>
      </w:tr>
      <w:tr w:rsidR="009027A3" w14:paraId="4666A797" w14:textId="77777777">
        <w:tc>
          <w:tcPr>
            <w:tcW w:w="0" w:type="auto"/>
            <w:shd w:val="clear" w:color="auto" w:fill="CCEEFF"/>
            <w:vAlign w:val="bottom"/>
            <w:hideMark/>
          </w:tcPr>
          <w:p w14:paraId="54ED2CD8" w14:textId="77777777" w:rsidR="00000000" w:rsidRDefault="009027A3">
            <w:pPr>
              <w:rPr>
                <w:rFonts w:eastAsia="Times New Roman"/>
                <w:sz w:val="20"/>
                <w:szCs w:val="20"/>
              </w:rPr>
            </w:pPr>
            <w:r>
              <w:rPr>
                <w:rFonts w:eastAsia="Times New Roman"/>
                <w:sz w:val="18"/>
                <w:szCs w:val="18"/>
              </w:rPr>
              <w:t>Foreign currency translation adjustment</w:t>
            </w:r>
          </w:p>
        </w:tc>
        <w:tc>
          <w:tcPr>
            <w:tcW w:w="0" w:type="auto"/>
            <w:shd w:val="clear" w:color="auto" w:fill="CCEEFF"/>
            <w:vAlign w:val="bottom"/>
            <w:hideMark/>
          </w:tcPr>
          <w:p w14:paraId="29DE33B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C728D6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1A7A2C6"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771C778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A22113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7FC4E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56E329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3F97DB6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FC873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8143AD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B21371A"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44B856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048EF7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918AE6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2E6B7D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2828D0F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0E4426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FD3701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D80B91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E4975C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339407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6C07C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97232C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5D12066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78D8E8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CA12EA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E878832" w14:textId="77777777" w:rsidR="00000000" w:rsidRDefault="009027A3">
            <w:pPr>
              <w:jc w:val="right"/>
              <w:rPr>
                <w:rFonts w:eastAsia="Times New Roman"/>
                <w:sz w:val="20"/>
                <w:szCs w:val="20"/>
              </w:rPr>
            </w:pPr>
            <w:r>
              <w:rPr>
                <w:rFonts w:eastAsia="Times New Roman"/>
                <w:sz w:val="18"/>
                <w:szCs w:val="18"/>
              </w:rPr>
              <w:t>345</w:t>
            </w:r>
          </w:p>
        </w:tc>
        <w:tc>
          <w:tcPr>
            <w:tcW w:w="0" w:type="auto"/>
            <w:shd w:val="clear" w:color="auto" w:fill="CCEEFF"/>
            <w:vAlign w:val="bottom"/>
            <w:hideMark/>
          </w:tcPr>
          <w:p w14:paraId="7080C39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6DCB1D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B9EE59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9D98D1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7A06AC0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D019DD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2114E7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CFD2EB0" w14:textId="77777777" w:rsidR="00000000" w:rsidRDefault="009027A3">
            <w:pPr>
              <w:jc w:val="right"/>
              <w:rPr>
                <w:rFonts w:eastAsia="Times New Roman"/>
                <w:sz w:val="20"/>
                <w:szCs w:val="20"/>
              </w:rPr>
            </w:pPr>
            <w:r>
              <w:rPr>
                <w:rFonts w:eastAsia="Times New Roman"/>
                <w:sz w:val="18"/>
                <w:szCs w:val="18"/>
              </w:rPr>
              <w:t>345</w:t>
            </w:r>
          </w:p>
        </w:tc>
        <w:tc>
          <w:tcPr>
            <w:tcW w:w="0" w:type="auto"/>
            <w:shd w:val="clear" w:color="auto" w:fill="CCEEFF"/>
            <w:vAlign w:val="bottom"/>
            <w:hideMark/>
          </w:tcPr>
          <w:p w14:paraId="37F4D39B" w14:textId="77777777" w:rsidR="00000000" w:rsidRDefault="009027A3">
            <w:pPr>
              <w:rPr>
                <w:rFonts w:eastAsia="Times New Roman"/>
                <w:sz w:val="20"/>
                <w:szCs w:val="20"/>
              </w:rPr>
            </w:pPr>
            <w:r>
              <w:rPr>
                <w:rFonts w:eastAsia="Times New Roman"/>
                <w:sz w:val="18"/>
                <w:szCs w:val="18"/>
              </w:rPr>
              <w:t> </w:t>
            </w:r>
          </w:p>
        </w:tc>
      </w:tr>
      <w:tr w:rsidR="009027A3" w14:paraId="2550DFFD" w14:textId="77777777">
        <w:tc>
          <w:tcPr>
            <w:tcW w:w="0" w:type="auto"/>
            <w:shd w:val="clear" w:color="auto" w:fill="FFFFFF"/>
            <w:vAlign w:val="bottom"/>
            <w:hideMark/>
          </w:tcPr>
          <w:p w14:paraId="6B38343A" w14:textId="77777777" w:rsidR="00000000" w:rsidRDefault="009027A3">
            <w:pPr>
              <w:rPr>
                <w:rFonts w:eastAsia="Times New Roman"/>
                <w:sz w:val="20"/>
                <w:szCs w:val="20"/>
              </w:rPr>
            </w:pPr>
            <w:r>
              <w:rPr>
                <w:rFonts w:eastAsia="Times New Roman"/>
                <w:sz w:val="18"/>
                <w:szCs w:val="18"/>
              </w:rPr>
              <w:t>Issuance of stock under the equity incentive plan</w:t>
            </w:r>
          </w:p>
        </w:tc>
        <w:tc>
          <w:tcPr>
            <w:tcW w:w="0" w:type="auto"/>
            <w:shd w:val="clear" w:color="auto" w:fill="FFFFFF"/>
            <w:vAlign w:val="bottom"/>
            <w:hideMark/>
          </w:tcPr>
          <w:p w14:paraId="6638963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3E8CE6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543CF6A" w14:textId="77777777" w:rsidR="00000000" w:rsidRDefault="009027A3">
            <w:pPr>
              <w:jc w:val="right"/>
              <w:rPr>
                <w:rFonts w:eastAsia="Times New Roman"/>
                <w:sz w:val="20"/>
                <w:szCs w:val="20"/>
              </w:rPr>
            </w:pPr>
            <w:r>
              <w:rPr>
                <w:rFonts w:eastAsia="Times New Roman"/>
                <w:sz w:val="18"/>
                <w:szCs w:val="18"/>
              </w:rPr>
              <w:t>27,682</w:t>
            </w:r>
          </w:p>
        </w:tc>
        <w:tc>
          <w:tcPr>
            <w:tcW w:w="0" w:type="auto"/>
            <w:shd w:val="clear" w:color="auto" w:fill="FFFFFF"/>
            <w:vAlign w:val="bottom"/>
            <w:hideMark/>
          </w:tcPr>
          <w:p w14:paraId="0578E89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A8046A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622F49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60E3E17" w14:textId="77777777" w:rsidR="00000000" w:rsidRDefault="009027A3">
            <w:pPr>
              <w:jc w:val="right"/>
              <w:rPr>
                <w:rFonts w:eastAsia="Times New Roman"/>
                <w:sz w:val="20"/>
                <w:szCs w:val="20"/>
              </w:rPr>
            </w:pPr>
            <w:r>
              <w:rPr>
                <w:rFonts w:eastAsia="Times New Roman"/>
                <w:sz w:val="18"/>
                <w:szCs w:val="18"/>
              </w:rPr>
              <w:t>1</w:t>
            </w:r>
          </w:p>
        </w:tc>
        <w:tc>
          <w:tcPr>
            <w:tcW w:w="0" w:type="auto"/>
            <w:shd w:val="clear" w:color="auto" w:fill="FFFFFF"/>
            <w:vAlign w:val="bottom"/>
            <w:hideMark/>
          </w:tcPr>
          <w:p w14:paraId="5B70CE4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1A7209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398FDD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F4E1C09" w14:textId="77777777" w:rsidR="00000000" w:rsidRDefault="009027A3">
            <w:pPr>
              <w:jc w:val="right"/>
              <w:rPr>
                <w:rFonts w:eastAsia="Times New Roman"/>
                <w:sz w:val="20"/>
                <w:szCs w:val="20"/>
              </w:rPr>
            </w:pPr>
            <w:r>
              <w:rPr>
                <w:rFonts w:eastAsia="Times New Roman"/>
                <w:sz w:val="18"/>
                <w:szCs w:val="18"/>
              </w:rPr>
              <w:t>161,545</w:t>
            </w:r>
          </w:p>
        </w:tc>
        <w:tc>
          <w:tcPr>
            <w:tcW w:w="0" w:type="auto"/>
            <w:shd w:val="clear" w:color="auto" w:fill="FFFFFF"/>
            <w:vAlign w:val="bottom"/>
            <w:hideMark/>
          </w:tcPr>
          <w:p w14:paraId="6296485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A61AE2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063271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6DFB98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4FDC786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031E5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AB0E30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F024614" w14:textId="77777777" w:rsidR="00000000" w:rsidRDefault="009027A3">
            <w:pPr>
              <w:jc w:val="right"/>
              <w:rPr>
                <w:rFonts w:eastAsia="Times New Roman"/>
                <w:sz w:val="20"/>
                <w:szCs w:val="20"/>
              </w:rPr>
            </w:pPr>
            <w:r>
              <w:rPr>
                <w:rFonts w:eastAsia="Times New Roman"/>
                <w:sz w:val="18"/>
                <w:szCs w:val="18"/>
              </w:rPr>
              <w:t>(1</w:t>
            </w:r>
          </w:p>
        </w:tc>
        <w:tc>
          <w:tcPr>
            <w:tcW w:w="0" w:type="auto"/>
            <w:shd w:val="clear" w:color="auto" w:fill="FFFFFF"/>
            <w:vAlign w:val="bottom"/>
            <w:hideMark/>
          </w:tcPr>
          <w:p w14:paraId="5547527E"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2C3494D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83E2F7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4AF55F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558118D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A256C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2E8015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98903E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2868B5A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0E7D1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AE2EED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EF1B37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197F357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032466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3C4D90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1C5DC8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EAAB0E3" w14:textId="77777777" w:rsidR="00000000" w:rsidRDefault="009027A3">
            <w:pPr>
              <w:rPr>
                <w:rFonts w:eastAsia="Times New Roman"/>
                <w:sz w:val="20"/>
                <w:szCs w:val="20"/>
              </w:rPr>
            </w:pPr>
            <w:r>
              <w:rPr>
                <w:rFonts w:eastAsia="Times New Roman"/>
                <w:sz w:val="18"/>
                <w:szCs w:val="18"/>
              </w:rPr>
              <w:t> </w:t>
            </w:r>
          </w:p>
        </w:tc>
      </w:tr>
      <w:tr w:rsidR="009027A3" w14:paraId="00211CBE" w14:textId="77777777">
        <w:tc>
          <w:tcPr>
            <w:tcW w:w="0" w:type="auto"/>
            <w:shd w:val="clear" w:color="auto" w:fill="CCEEFF"/>
            <w:vAlign w:val="bottom"/>
            <w:hideMark/>
          </w:tcPr>
          <w:p w14:paraId="2AADB990" w14:textId="77777777" w:rsidR="00000000" w:rsidRDefault="009027A3">
            <w:pPr>
              <w:rPr>
                <w:rFonts w:eastAsia="Times New Roman"/>
                <w:sz w:val="20"/>
                <w:szCs w:val="20"/>
              </w:rPr>
            </w:pPr>
            <w:r>
              <w:rPr>
                <w:rFonts w:eastAsia="Times New Roman"/>
                <w:sz w:val="18"/>
                <w:szCs w:val="18"/>
              </w:rPr>
              <w:t>Stock-based compensation, net of cash settlements</w:t>
            </w:r>
          </w:p>
        </w:tc>
        <w:tc>
          <w:tcPr>
            <w:tcW w:w="0" w:type="auto"/>
            <w:shd w:val="clear" w:color="auto" w:fill="CCEEFF"/>
            <w:vAlign w:val="bottom"/>
            <w:hideMark/>
          </w:tcPr>
          <w:p w14:paraId="65B49C2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CD88CD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AA0F9A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C96C08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E63F54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BC635A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E06429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13516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CBEA41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8AB216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82DB0F5"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5BEA6B7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B2A750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D74BA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C7D360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6A8EA2E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D0B60C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88CF11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208B7F9" w14:textId="77777777" w:rsidR="00000000" w:rsidRDefault="009027A3">
            <w:pPr>
              <w:jc w:val="right"/>
              <w:rPr>
                <w:rFonts w:eastAsia="Times New Roman"/>
                <w:sz w:val="20"/>
                <w:szCs w:val="20"/>
              </w:rPr>
            </w:pPr>
            <w:r>
              <w:rPr>
                <w:rFonts w:eastAsia="Times New Roman"/>
                <w:sz w:val="18"/>
                <w:szCs w:val="18"/>
              </w:rPr>
              <w:t>623</w:t>
            </w:r>
          </w:p>
        </w:tc>
        <w:tc>
          <w:tcPr>
            <w:tcW w:w="0" w:type="auto"/>
            <w:shd w:val="clear" w:color="auto" w:fill="CCEEFF"/>
            <w:vAlign w:val="bottom"/>
            <w:hideMark/>
          </w:tcPr>
          <w:p w14:paraId="7386980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D835D2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39A3AF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ED5421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6654575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CA6DA2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80AE8B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58DE42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7F76B72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85D779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4C096D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B68AE65"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29F73A2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C7F8F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4C2B26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C41D6D5" w14:textId="77777777" w:rsidR="00000000" w:rsidRDefault="009027A3">
            <w:pPr>
              <w:jc w:val="right"/>
              <w:rPr>
                <w:rFonts w:eastAsia="Times New Roman"/>
                <w:sz w:val="20"/>
                <w:szCs w:val="20"/>
              </w:rPr>
            </w:pPr>
            <w:r>
              <w:rPr>
                <w:rFonts w:eastAsia="Times New Roman"/>
                <w:sz w:val="18"/>
                <w:szCs w:val="18"/>
              </w:rPr>
              <w:t>623</w:t>
            </w:r>
          </w:p>
        </w:tc>
        <w:tc>
          <w:tcPr>
            <w:tcW w:w="0" w:type="auto"/>
            <w:shd w:val="clear" w:color="auto" w:fill="CCEEFF"/>
            <w:vAlign w:val="bottom"/>
            <w:hideMark/>
          </w:tcPr>
          <w:p w14:paraId="54DB6792" w14:textId="77777777" w:rsidR="00000000" w:rsidRDefault="009027A3">
            <w:pPr>
              <w:rPr>
                <w:rFonts w:eastAsia="Times New Roman"/>
                <w:sz w:val="20"/>
                <w:szCs w:val="20"/>
              </w:rPr>
            </w:pPr>
            <w:r>
              <w:rPr>
                <w:rFonts w:eastAsia="Times New Roman"/>
                <w:sz w:val="18"/>
                <w:szCs w:val="18"/>
              </w:rPr>
              <w:t> </w:t>
            </w:r>
          </w:p>
        </w:tc>
      </w:tr>
      <w:tr w:rsidR="009027A3" w14:paraId="1C2E5393" w14:textId="77777777">
        <w:tc>
          <w:tcPr>
            <w:tcW w:w="0" w:type="auto"/>
            <w:shd w:val="clear" w:color="auto" w:fill="FFFFFF"/>
            <w:vAlign w:val="bottom"/>
            <w:hideMark/>
          </w:tcPr>
          <w:p w14:paraId="11584A31" w14:textId="77777777" w:rsidR="00000000" w:rsidRDefault="009027A3">
            <w:pPr>
              <w:rPr>
                <w:rFonts w:eastAsia="Times New Roman"/>
                <w:sz w:val="20"/>
                <w:szCs w:val="20"/>
              </w:rPr>
            </w:pPr>
            <w:r>
              <w:rPr>
                <w:rFonts w:eastAsia="Times New Roman"/>
                <w:sz w:val="18"/>
                <w:szCs w:val="18"/>
              </w:rPr>
              <w:t>Exercise of common stock warrants</w:t>
            </w:r>
          </w:p>
        </w:tc>
        <w:tc>
          <w:tcPr>
            <w:tcW w:w="0" w:type="auto"/>
            <w:shd w:val="clear" w:color="auto" w:fill="FFFFFF"/>
            <w:vAlign w:val="bottom"/>
            <w:hideMark/>
          </w:tcPr>
          <w:p w14:paraId="0322F0E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E7F969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FC24E9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4C4D474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BB43B8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C5C372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BCCB3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5DCC634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5098F6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ACE6E5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C6C6509" w14:textId="77777777" w:rsidR="00000000" w:rsidRDefault="009027A3">
            <w:pPr>
              <w:jc w:val="right"/>
              <w:rPr>
                <w:rFonts w:eastAsia="Times New Roman"/>
                <w:sz w:val="20"/>
                <w:szCs w:val="20"/>
              </w:rPr>
            </w:pPr>
            <w:r>
              <w:rPr>
                <w:rFonts w:eastAsia="Times New Roman"/>
                <w:sz w:val="18"/>
                <w:szCs w:val="18"/>
              </w:rPr>
              <w:t>858,000</w:t>
            </w:r>
          </w:p>
        </w:tc>
        <w:tc>
          <w:tcPr>
            <w:tcW w:w="0" w:type="auto"/>
            <w:shd w:val="clear" w:color="auto" w:fill="FFFFFF"/>
            <w:vAlign w:val="bottom"/>
            <w:hideMark/>
          </w:tcPr>
          <w:p w14:paraId="256CEB2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E860BA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77B349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C9D0335" w14:textId="77777777" w:rsidR="00000000" w:rsidRDefault="009027A3">
            <w:pPr>
              <w:jc w:val="right"/>
              <w:rPr>
                <w:rFonts w:eastAsia="Times New Roman"/>
                <w:sz w:val="20"/>
                <w:szCs w:val="20"/>
              </w:rPr>
            </w:pPr>
            <w:r>
              <w:rPr>
                <w:rFonts w:eastAsia="Times New Roman"/>
                <w:sz w:val="18"/>
                <w:szCs w:val="18"/>
              </w:rPr>
              <w:t>1</w:t>
            </w:r>
          </w:p>
        </w:tc>
        <w:tc>
          <w:tcPr>
            <w:tcW w:w="0" w:type="auto"/>
            <w:shd w:val="clear" w:color="auto" w:fill="FFFFFF"/>
            <w:vAlign w:val="bottom"/>
            <w:hideMark/>
          </w:tcPr>
          <w:p w14:paraId="1E90E23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744442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0F69D8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005067A" w14:textId="77777777" w:rsidR="00000000" w:rsidRDefault="009027A3">
            <w:pPr>
              <w:jc w:val="right"/>
              <w:rPr>
                <w:rFonts w:eastAsia="Times New Roman"/>
                <w:sz w:val="20"/>
                <w:szCs w:val="20"/>
              </w:rPr>
            </w:pPr>
            <w:r>
              <w:rPr>
                <w:rFonts w:eastAsia="Times New Roman"/>
                <w:sz w:val="18"/>
                <w:szCs w:val="18"/>
              </w:rPr>
              <w:t>6,391</w:t>
            </w:r>
          </w:p>
        </w:tc>
        <w:tc>
          <w:tcPr>
            <w:tcW w:w="0" w:type="auto"/>
            <w:shd w:val="clear" w:color="auto" w:fill="FFFFFF"/>
            <w:vAlign w:val="bottom"/>
            <w:hideMark/>
          </w:tcPr>
          <w:p w14:paraId="7BD63B0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4A36B0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C4E1CE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BB77B3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18FF014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9E0531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DE0547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2158BD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2FA351F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78C187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4928B3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4F42AA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61528C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CB1C0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EFF5DC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BCC92B" w14:textId="77777777" w:rsidR="00000000" w:rsidRDefault="009027A3">
            <w:pPr>
              <w:jc w:val="right"/>
              <w:rPr>
                <w:rFonts w:eastAsia="Times New Roman"/>
                <w:sz w:val="20"/>
                <w:szCs w:val="20"/>
              </w:rPr>
            </w:pPr>
            <w:r>
              <w:rPr>
                <w:rFonts w:eastAsia="Times New Roman"/>
                <w:sz w:val="18"/>
                <w:szCs w:val="18"/>
              </w:rPr>
              <w:t>6,392</w:t>
            </w:r>
          </w:p>
        </w:tc>
        <w:tc>
          <w:tcPr>
            <w:tcW w:w="0" w:type="auto"/>
            <w:shd w:val="clear" w:color="auto" w:fill="FFFFFF"/>
            <w:vAlign w:val="bottom"/>
            <w:hideMark/>
          </w:tcPr>
          <w:p w14:paraId="667E73D3" w14:textId="77777777" w:rsidR="00000000" w:rsidRDefault="009027A3">
            <w:pPr>
              <w:rPr>
                <w:rFonts w:eastAsia="Times New Roman"/>
                <w:sz w:val="20"/>
                <w:szCs w:val="20"/>
              </w:rPr>
            </w:pPr>
            <w:r>
              <w:rPr>
                <w:rFonts w:eastAsia="Times New Roman"/>
                <w:sz w:val="18"/>
                <w:szCs w:val="18"/>
              </w:rPr>
              <w:t> </w:t>
            </w:r>
          </w:p>
        </w:tc>
      </w:tr>
      <w:tr w:rsidR="009027A3" w14:paraId="5CBF7CC7" w14:textId="77777777">
        <w:tc>
          <w:tcPr>
            <w:tcW w:w="0" w:type="auto"/>
            <w:shd w:val="clear" w:color="auto" w:fill="CCEEFF"/>
            <w:tcMar>
              <w:top w:w="0" w:type="dxa"/>
              <w:left w:w="0" w:type="dxa"/>
              <w:bottom w:w="30" w:type="dxa"/>
              <w:right w:w="0" w:type="dxa"/>
            </w:tcMar>
            <w:vAlign w:val="bottom"/>
            <w:hideMark/>
          </w:tcPr>
          <w:p w14:paraId="3848F3C9" w14:textId="77777777" w:rsidR="00000000" w:rsidRDefault="009027A3">
            <w:pPr>
              <w:rPr>
                <w:rFonts w:eastAsia="Times New Roman"/>
                <w:sz w:val="20"/>
                <w:szCs w:val="20"/>
              </w:rPr>
            </w:pPr>
            <w:r>
              <w:rPr>
                <w:rFonts w:eastAsia="Times New Roman"/>
                <w:sz w:val="18"/>
                <w:szCs w:val="18"/>
              </w:rPr>
              <w:t>Preferred stock dividends</w:t>
            </w:r>
          </w:p>
        </w:tc>
        <w:tc>
          <w:tcPr>
            <w:tcW w:w="0" w:type="auto"/>
            <w:shd w:val="clear" w:color="auto" w:fill="CCEEFF"/>
            <w:tcMar>
              <w:top w:w="0" w:type="dxa"/>
              <w:left w:w="0" w:type="dxa"/>
              <w:bottom w:w="30" w:type="dxa"/>
              <w:right w:w="0" w:type="dxa"/>
            </w:tcMar>
            <w:vAlign w:val="bottom"/>
            <w:hideMark/>
          </w:tcPr>
          <w:p w14:paraId="61BD4780"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356CDF67"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CC34D75"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5B7F4F9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E1CC4F2"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70BC4C21"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2C1947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576A34A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2073FD0A"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CBF1C7C"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AB48F32"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2BE65C5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F703929"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F4DBA67"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73F4D975"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134747C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0988078"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5854EC3"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62B8082" w14:textId="77777777" w:rsidR="00000000" w:rsidRDefault="009027A3">
            <w:pPr>
              <w:jc w:val="right"/>
              <w:rPr>
                <w:rFonts w:eastAsia="Times New Roman"/>
                <w:sz w:val="20"/>
                <w:szCs w:val="20"/>
              </w:rPr>
            </w:pPr>
            <w:r>
              <w:rPr>
                <w:rFonts w:eastAsia="Times New Roman"/>
                <w:sz w:val="18"/>
                <w:szCs w:val="18"/>
              </w:rPr>
              <w:t>(3,128</w:t>
            </w:r>
          </w:p>
        </w:tc>
        <w:tc>
          <w:tcPr>
            <w:tcW w:w="0" w:type="auto"/>
            <w:shd w:val="clear" w:color="auto" w:fill="CCEEFF"/>
            <w:tcMar>
              <w:top w:w="0" w:type="dxa"/>
              <w:left w:w="0" w:type="dxa"/>
              <w:bottom w:w="30" w:type="dxa"/>
              <w:right w:w="0" w:type="dxa"/>
            </w:tcMar>
            <w:vAlign w:val="bottom"/>
            <w:hideMark/>
          </w:tcPr>
          <w:p w14:paraId="0DEDC3C3" w14:textId="77777777" w:rsidR="00000000" w:rsidRDefault="009027A3">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757BBCB8"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703D77B"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96E4E3E"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77BC821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15D72624"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79DEE3B4"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76D26C2B"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018CB08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0D5CC4BF"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3AF4927A"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3A4356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5DA1F2A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28E60380"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B210664"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CFEE957" w14:textId="77777777" w:rsidR="00000000" w:rsidRDefault="009027A3">
            <w:pPr>
              <w:jc w:val="right"/>
              <w:rPr>
                <w:rFonts w:eastAsia="Times New Roman"/>
                <w:sz w:val="20"/>
                <w:szCs w:val="20"/>
              </w:rPr>
            </w:pPr>
            <w:r>
              <w:rPr>
                <w:rFonts w:eastAsia="Times New Roman"/>
                <w:sz w:val="18"/>
                <w:szCs w:val="18"/>
              </w:rPr>
              <w:t>(3,128</w:t>
            </w:r>
          </w:p>
        </w:tc>
        <w:tc>
          <w:tcPr>
            <w:tcW w:w="0" w:type="auto"/>
            <w:shd w:val="clear" w:color="auto" w:fill="CCEEFF"/>
            <w:tcMar>
              <w:top w:w="0" w:type="dxa"/>
              <w:left w:w="0" w:type="dxa"/>
              <w:bottom w:w="30" w:type="dxa"/>
              <w:right w:w="0" w:type="dxa"/>
            </w:tcMar>
            <w:vAlign w:val="bottom"/>
            <w:hideMark/>
          </w:tcPr>
          <w:p w14:paraId="3A4AA598" w14:textId="77777777" w:rsidR="00000000" w:rsidRDefault="009027A3">
            <w:pPr>
              <w:rPr>
                <w:rFonts w:eastAsia="Times New Roman"/>
                <w:sz w:val="20"/>
                <w:szCs w:val="20"/>
              </w:rPr>
            </w:pPr>
            <w:r>
              <w:rPr>
                <w:rFonts w:eastAsia="Times New Roman"/>
                <w:sz w:val="18"/>
                <w:szCs w:val="18"/>
              </w:rPr>
              <w:t>)</w:t>
            </w:r>
          </w:p>
        </w:tc>
      </w:tr>
      <w:tr w:rsidR="009027A3" w14:paraId="51395BB5" w14:textId="77777777">
        <w:tc>
          <w:tcPr>
            <w:tcW w:w="0" w:type="auto"/>
            <w:shd w:val="clear" w:color="auto" w:fill="FFFFFF"/>
            <w:tcMar>
              <w:top w:w="0" w:type="dxa"/>
              <w:left w:w="0" w:type="dxa"/>
              <w:bottom w:w="50" w:type="dxa"/>
              <w:right w:w="0" w:type="dxa"/>
            </w:tcMar>
            <w:vAlign w:val="bottom"/>
            <w:hideMark/>
          </w:tcPr>
          <w:p w14:paraId="3922BFDA" w14:textId="77777777" w:rsidR="00000000" w:rsidRDefault="009027A3">
            <w:pPr>
              <w:rPr>
                <w:rFonts w:eastAsia="Times New Roman"/>
                <w:sz w:val="20"/>
                <w:szCs w:val="20"/>
              </w:rPr>
            </w:pPr>
            <w:r>
              <w:rPr>
                <w:rFonts w:eastAsia="Times New Roman"/>
                <w:sz w:val="18"/>
                <w:szCs w:val="18"/>
              </w:rPr>
              <w:t>Balance - March 31, 2021</w:t>
            </w:r>
          </w:p>
        </w:tc>
        <w:tc>
          <w:tcPr>
            <w:tcW w:w="0" w:type="auto"/>
            <w:shd w:val="clear" w:color="auto" w:fill="FFFFFF"/>
            <w:tcMar>
              <w:top w:w="0" w:type="dxa"/>
              <w:left w:w="0" w:type="dxa"/>
              <w:bottom w:w="50" w:type="dxa"/>
              <w:right w:w="0" w:type="dxa"/>
            </w:tcMar>
            <w:vAlign w:val="bottom"/>
            <w:hideMark/>
          </w:tcPr>
          <w:p w14:paraId="0526D4B5"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DBAD44F"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436FA926" w14:textId="77777777" w:rsidR="00000000" w:rsidRDefault="009027A3">
            <w:pPr>
              <w:jc w:val="right"/>
              <w:rPr>
                <w:rFonts w:eastAsia="Times New Roman"/>
                <w:sz w:val="20"/>
                <w:szCs w:val="20"/>
              </w:rPr>
            </w:pPr>
            <w:r>
              <w:rPr>
                <w:rFonts w:eastAsia="Times New Roman"/>
                <w:sz w:val="18"/>
                <w:szCs w:val="18"/>
              </w:rPr>
              <w:t>5,502,961</w:t>
            </w:r>
          </w:p>
        </w:tc>
        <w:tc>
          <w:tcPr>
            <w:tcW w:w="0" w:type="auto"/>
            <w:shd w:val="clear" w:color="auto" w:fill="FFFFFF"/>
            <w:tcMar>
              <w:top w:w="0" w:type="dxa"/>
              <w:left w:w="0" w:type="dxa"/>
              <w:bottom w:w="50" w:type="dxa"/>
              <w:right w:w="0" w:type="dxa"/>
            </w:tcMar>
            <w:vAlign w:val="bottom"/>
            <w:hideMark/>
          </w:tcPr>
          <w:p w14:paraId="2DB8F7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2BFA4FD9"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CD5F37A"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76EA5946" w14:textId="77777777" w:rsidR="00000000" w:rsidRDefault="009027A3">
            <w:pPr>
              <w:jc w:val="right"/>
              <w:rPr>
                <w:rFonts w:eastAsia="Times New Roman"/>
                <w:sz w:val="20"/>
                <w:szCs w:val="20"/>
              </w:rPr>
            </w:pPr>
            <w:r>
              <w:rPr>
                <w:rFonts w:eastAsia="Times New Roman"/>
                <w:sz w:val="18"/>
                <w:szCs w:val="18"/>
              </w:rPr>
              <w:t>6</w:t>
            </w:r>
          </w:p>
        </w:tc>
        <w:tc>
          <w:tcPr>
            <w:tcW w:w="0" w:type="auto"/>
            <w:shd w:val="clear" w:color="auto" w:fill="FFFFFF"/>
            <w:tcMar>
              <w:top w:w="0" w:type="dxa"/>
              <w:left w:w="0" w:type="dxa"/>
              <w:bottom w:w="50" w:type="dxa"/>
              <w:right w:w="0" w:type="dxa"/>
            </w:tcMar>
            <w:vAlign w:val="bottom"/>
            <w:hideMark/>
          </w:tcPr>
          <w:p w14:paraId="176FB6F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33CBB265"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2887A628"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76FE21B9" w14:textId="77777777" w:rsidR="00000000" w:rsidRDefault="009027A3">
            <w:pPr>
              <w:jc w:val="right"/>
              <w:rPr>
                <w:rFonts w:eastAsia="Times New Roman"/>
                <w:sz w:val="20"/>
                <w:szCs w:val="20"/>
              </w:rPr>
            </w:pPr>
            <w:r>
              <w:rPr>
                <w:rFonts w:eastAsia="Times New Roman"/>
                <w:sz w:val="18"/>
                <w:szCs w:val="18"/>
              </w:rPr>
              <w:t>15,140,589</w:t>
            </w:r>
          </w:p>
        </w:tc>
        <w:tc>
          <w:tcPr>
            <w:tcW w:w="0" w:type="auto"/>
            <w:shd w:val="clear" w:color="auto" w:fill="FFFFFF"/>
            <w:tcMar>
              <w:top w:w="0" w:type="dxa"/>
              <w:left w:w="0" w:type="dxa"/>
              <w:bottom w:w="50" w:type="dxa"/>
              <w:right w:w="0" w:type="dxa"/>
            </w:tcMar>
            <w:vAlign w:val="bottom"/>
            <w:hideMark/>
          </w:tcPr>
          <w:p w14:paraId="0E60A43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2C882B3E"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7EEFC6E1"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4FADB261" w14:textId="77777777" w:rsidR="00000000" w:rsidRDefault="009027A3">
            <w:pPr>
              <w:jc w:val="right"/>
              <w:rPr>
                <w:rFonts w:eastAsia="Times New Roman"/>
                <w:sz w:val="20"/>
                <w:szCs w:val="20"/>
              </w:rPr>
            </w:pPr>
            <w:r>
              <w:rPr>
                <w:rFonts w:eastAsia="Times New Roman"/>
                <w:sz w:val="18"/>
                <w:szCs w:val="18"/>
              </w:rPr>
              <w:t>15</w:t>
            </w:r>
          </w:p>
        </w:tc>
        <w:tc>
          <w:tcPr>
            <w:tcW w:w="0" w:type="auto"/>
            <w:shd w:val="clear" w:color="auto" w:fill="FFFFFF"/>
            <w:tcMar>
              <w:top w:w="0" w:type="dxa"/>
              <w:left w:w="0" w:type="dxa"/>
              <w:bottom w:w="50" w:type="dxa"/>
              <w:right w:w="0" w:type="dxa"/>
            </w:tcMar>
            <w:vAlign w:val="bottom"/>
            <w:hideMark/>
          </w:tcPr>
          <w:p w14:paraId="55A10AD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1E294DD2"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19B2CDC"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2914B6E9" w14:textId="77777777" w:rsidR="00000000" w:rsidRDefault="009027A3">
            <w:pPr>
              <w:jc w:val="right"/>
              <w:rPr>
                <w:rFonts w:eastAsia="Times New Roman"/>
                <w:sz w:val="20"/>
                <w:szCs w:val="20"/>
              </w:rPr>
            </w:pPr>
            <w:r>
              <w:rPr>
                <w:rFonts w:eastAsia="Times New Roman"/>
                <w:sz w:val="18"/>
                <w:szCs w:val="18"/>
              </w:rPr>
              <w:t>140,666</w:t>
            </w:r>
          </w:p>
        </w:tc>
        <w:tc>
          <w:tcPr>
            <w:tcW w:w="0" w:type="auto"/>
            <w:shd w:val="clear" w:color="auto" w:fill="FFFFFF"/>
            <w:tcMar>
              <w:top w:w="0" w:type="dxa"/>
              <w:left w:w="0" w:type="dxa"/>
              <w:bottom w:w="50" w:type="dxa"/>
              <w:right w:w="0" w:type="dxa"/>
            </w:tcMar>
            <w:vAlign w:val="bottom"/>
            <w:hideMark/>
          </w:tcPr>
          <w:p w14:paraId="1AB9CAF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64ABE953"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2230A91"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0559285B" w14:textId="77777777" w:rsidR="00000000" w:rsidRDefault="009027A3">
            <w:pPr>
              <w:jc w:val="right"/>
              <w:rPr>
                <w:rFonts w:eastAsia="Times New Roman"/>
                <w:sz w:val="20"/>
                <w:szCs w:val="20"/>
              </w:rPr>
            </w:pPr>
            <w:r>
              <w:rPr>
                <w:rFonts w:eastAsia="Times New Roman"/>
                <w:sz w:val="18"/>
                <w:szCs w:val="18"/>
              </w:rPr>
              <w:t>(35,853</w:t>
            </w:r>
          </w:p>
        </w:tc>
        <w:tc>
          <w:tcPr>
            <w:tcW w:w="0" w:type="auto"/>
            <w:shd w:val="clear" w:color="auto" w:fill="FFFFFF"/>
            <w:tcMar>
              <w:top w:w="0" w:type="dxa"/>
              <w:left w:w="0" w:type="dxa"/>
              <w:bottom w:w="50" w:type="dxa"/>
              <w:right w:w="0" w:type="dxa"/>
            </w:tcMar>
            <w:vAlign w:val="bottom"/>
            <w:hideMark/>
          </w:tcPr>
          <w:p w14:paraId="486DF011"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3C9FA12E"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52F735DB"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70D9EBB8" w14:textId="77777777" w:rsidR="00000000" w:rsidRDefault="009027A3">
            <w:pPr>
              <w:jc w:val="right"/>
              <w:rPr>
                <w:rFonts w:eastAsia="Times New Roman"/>
                <w:sz w:val="20"/>
                <w:szCs w:val="20"/>
              </w:rPr>
            </w:pPr>
            <w:r>
              <w:rPr>
                <w:rFonts w:eastAsia="Times New Roman"/>
                <w:sz w:val="18"/>
                <w:szCs w:val="18"/>
              </w:rPr>
              <w:t>(659</w:t>
            </w:r>
          </w:p>
        </w:tc>
        <w:tc>
          <w:tcPr>
            <w:tcW w:w="0" w:type="auto"/>
            <w:shd w:val="clear" w:color="auto" w:fill="FFFFFF"/>
            <w:tcMar>
              <w:top w:w="0" w:type="dxa"/>
              <w:left w:w="0" w:type="dxa"/>
              <w:bottom w:w="50" w:type="dxa"/>
              <w:right w:w="0" w:type="dxa"/>
            </w:tcMar>
            <w:vAlign w:val="bottom"/>
            <w:hideMark/>
          </w:tcPr>
          <w:p w14:paraId="7334F7E3"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5216BE05"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4D8497B6"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72BD0F69" w14:textId="77777777" w:rsidR="00000000" w:rsidRDefault="009027A3">
            <w:pPr>
              <w:jc w:val="right"/>
              <w:rPr>
                <w:rFonts w:eastAsia="Times New Roman"/>
                <w:sz w:val="20"/>
                <w:szCs w:val="20"/>
              </w:rPr>
            </w:pPr>
            <w:r>
              <w:rPr>
                <w:rFonts w:eastAsia="Times New Roman"/>
                <w:sz w:val="18"/>
                <w:szCs w:val="18"/>
              </w:rPr>
              <w:t>(662</w:t>
            </w:r>
          </w:p>
        </w:tc>
        <w:tc>
          <w:tcPr>
            <w:tcW w:w="0" w:type="auto"/>
            <w:shd w:val="clear" w:color="auto" w:fill="FFFFFF"/>
            <w:tcMar>
              <w:top w:w="0" w:type="dxa"/>
              <w:left w:w="0" w:type="dxa"/>
              <w:bottom w:w="50" w:type="dxa"/>
              <w:right w:w="0" w:type="dxa"/>
            </w:tcMar>
            <w:vAlign w:val="bottom"/>
            <w:hideMark/>
          </w:tcPr>
          <w:p w14:paraId="5A05175E"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105E6477"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1040F19D"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2681D959" w14:textId="77777777" w:rsidR="00000000" w:rsidRDefault="009027A3">
            <w:pPr>
              <w:jc w:val="right"/>
              <w:rPr>
                <w:rFonts w:eastAsia="Times New Roman"/>
                <w:sz w:val="20"/>
                <w:szCs w:val="20"/>
              </w:rPr>
            </w:pPr>
            <w:r>
              <w:rPr>
                <w:rFonts w:eastAsia="Times New Roman"/>
                <w:sz w:val="18"/>
                <w:szCs w:val="18"/>
              </w:rPr>
              <w:t>103,513</w:t>
            </w:r>
          </w:p>
        </w:tc>
        <w:tc>
          <w:tcPr>
            <w:tcW w:w="0" w:type="auto"/>
            <w:shd w:val="clear" w:color="auto" w:fill="FFFFFF"/>
            <w:tcMar>
              <w:top w:w="0" w:type="dxa"/>
              <w:left w:w="0" w:type="dxa"/>
              <w:bottom w:w="50" w:type="dxa"/>
              <w:right w:w="0" w:type="dxa"/>
            </w:tcMar>
            <w:vAlign w:val="bottom"/>
            <w:hideMark/>
          </w:tcPr>
          <w:p w14:paraId="5E7BDF7B" w14:textId="77777777" w:rsidR="00000000" w:rsidRDefault="009027A3">
            <w:pPr>
              <w:rPr>
                <w:rFonts w:eastAsia="Times New Roman"/>
                <w:sz w:val="20"/>
                <w:szCs w:val="20"/>
              </w:rPr>
            </w:pPr>
            <w:r>
              <w:rPr>
                <w:rFonts w:eastAsia="Times New Roman"/>
                <w:sz w:val="18"/>
                <w:szCs w:val="18"/>
              </w:rPr>
              <w:t> </w:t>
            </w:r>
          </w:p>
        </w:tc>
      </w:tr>
      <w:tr w:rsidR="009027A3" w14:paraId="4ACD020A" w14:textId="77777777">
        <w:tc>
          <w:tcPr>
            <w:tcW w:w="0" w:type="auto"/>
            <w:shd w:val="clear" w:color="auto" w:fill="CCEEFF"/>
            <w:vAlign w:val="bottom"/>
            <w:hideMark/>
          </w:tcPr>
          <w:p w14:paraId="2080096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AF61F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F22110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8F398CC"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439BB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5EB499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E720AA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810883B"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D47232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D1CD30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5D8AC6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45AC4BD"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293A278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70C427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C5E747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EA703FF"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85136C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EAEAAB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DD6DF3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73EA43E"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92F8EC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085413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324659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6599CE3"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6E453D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070E20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59C039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D431BDD"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290BCD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5AA1A0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9B4D9F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A1B3372"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0917E4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8A5FF7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345A53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1DFD891" w14:textId="77777777" w:rsidR="00000000" w:rsidRDefault="009027A3">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3840553" w14:textId="77777777" w:rsidR="00000000" w:rsidRDefault="009027A3">
            <w:pPr>
              <w:rPr>
                <w:rFonts w:eastAsia="Times New Roman"/>
                <w:sz w:val="20"/>
                <w:szCs w:val="20"/>
              </w:rPr>
            </w:pPr>
            <w:r>
              <w:rPr>
                <w:rFonts w:eastAsia="Times New Roman"/>
                <w:sz w:val="18"/>
                <w:szCs w:val="18"/>
              </w:rPr>
              <w:t> </w:t>
            </w:r>
          </w:p>
        </w:tc>
      </w:tr>
      <w:tr w:rsidR="009027A3" w14:paraId="42D53FA2" w14:textId="77777777">
        <w:tc>
          <w:tcPr>
            <w:tcW w:w="0" w:type="auto"/>
            <w:shd w:val="clear" w:color="auto" w:fill="FFFFFF"/>
            <w:vAlign w:val="bottom"/>
            <w:hideMark/>
          </w:tcPr>
          <w:p w14:paraId="35D41F03" w14:textId="77777777" w:rsidR="00000000" w:rsidRDefault="009027A3">
            <w:pPr>
              <w:rPr>
                <w:rFonts w:eastAsia="Times New Roman"/>
                <w:sz w:val="20"/>
                <w:szCs w:val="20"/>
              </w:rPr>
            </w:pPr>
            <w:r>
              <w:rPr>
                <w:rFonts w:eastAsia="Times New Roman"/>
                <w:sz w:val="18"/>
                <w:szCs w:val="18"/>
              </w:rPr>
              <w:t>Balance- January 1, 2020</w:t>
            </w:r>
          </w:p>
        </w:tc>
        <w:tc>
          <w:tcPr>
            <w:tcW w:w="0" w:type="auto"/>
            <w:shd w:val="clear" w:color="auto" w:fill="FFFFFF"/>
            <w:vAlign w:val="bottom"/>
            <w:hideMark/>
          </w:tcPr>
          <w:p w14:paraId="25B686B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65ADF0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72B6430" w14:textId="77777777" w:rsidR="00000000" w:rsidRDefault="009027A3">
            <w:pPr>
              <w:jc w:val="right"/>
              <w:rPr>
                <w:rFonts w:eastAsia="Times New Roman"/>
                <w:sz w:val="20"/>
                <w:szCs w:val="20"/>
              </w:rPr>
            </w:pPr>
            <w:r>
              <w:rPr>
                <w:rFonts w:eastAsia="Times New Roman"/>
                <w:sz w:val="18"/>
                <w:szCs w:val="18"/>
              </w:rPr>
              <w:t>2,539,325</w:t>
            </w:r>
          </w:p>
        </w:tc>
        <w:tc>
          <w:tcPr>
            <w:tcW w:w="0" w:type="auto"/>
            <w:shd w:val="clear" w:color="auto" w:fill="FFFFFF"/>
            <w:vAlign w:val="bottom"/>
            <w:hideMark/>
          </w:tcPr>
          <w:p w14:paraId="66AF724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3C1179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1B3D6D9"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7B462390" w14:textId="77777777" w:rsidR="00000000" w:rsidRDefault="009027A3">
            <w:pPr>
              <w:jc w:val="right"/>
              <w:rPr>
                <w:rFonts w:eastAsia="Times New Roman"/>
                <w:sz w:val="20"/>
                <w:szCs w:val="20"/>
              </w:rPr>
            </w:pPr>
            <w:r>
              <w:rPr>
                <w:rFonts w:eastAsia="Times New Roman"/>
                <w:sz w:val="18"/>
                <w:szCs w:val="18"/>
              </w:rPr>
              <w:t>2</w:t>
            </w:r>
          </w:p>
        </w:tc>
        <w:tc>
          <w:tcPr>
            <w:tcW w:w="0" w:type="auto"/>
            <w:shd w:val="clear" w:color="auto" w:fill="FFFFFF"/>
            <w:vAlign w:val="bottom"/>
            <w:hideMark/>
          </w:tcPr>
          <w:p w14:paraId="4CCF384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4AE1A0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628BD5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3F524D9" w14:textId="77777777" w:rsidR="00000000" w:rsidRDefault="009027A3">
            <w:pPr>
              <w:jc w:val="right"/>
              <w:rPr>
                <w:rFonts w:eastAsia="Times New Roman"/>
                <w:sz w:val="20"/>
                <w:szCs w:val="20"/>
              </w:rPr>
            </w:pPr>
            <w:r>
              <w:rPr>
                <w:rFonts w:eastAsia="Times New Roman"/>
                <w:sz w:val="18"/>
                <w:szCs w:val="18"/>
              </w:rPr>
              <w:t>12,978,485</w:t>
            </w:r>
          </w:p>
        </w:tc>
        <w:tc>
          <w:tcPr>
            <w:tcW w:w="0" w:type="auto"/>
            <w:shd w:val="clear" w:color="auto" w:fill="FFFFFF"/>
            <w:vAlign w:val="bottom"/>
            <w:hideMark/>
          </w:tcPr>
          <w:p w14:paraId="2E937C0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B0A51F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5F84642"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20AC0275" w14:textId="77777777" w:rsidR="00000000" w:rsidRDefault="009027A3">
            <w:pPr>
              <w:jc w:val="right"/>
              <w:rPr>
                <w:rFonts w:eastAsia="Times New Roman"/>
                <w:sz w:val="20"/>
                <w:szCs w:val="20"/>
              </w:rPr>
            </w:pPr>
            <w:r>
              <w:rPr>
                <w:rFonts w:eastAsia="Times New Roman"/>
                <w:sz w:val="18"/>
                <w:szCs w:val="18"/>
              </w:rPr>
              <w:t>13</w:t>
            </w:r>
          </w:p>
        </w:tc>
        <w:tc>
          <w:tcPr>
            <w:tcW w:w="0" w:type="auto"/>
            <w:shd w:val="clear" w:color="auto" w:fill="FFFFFF"/>
            <w:vAlign w:val="bottom"/>
            <w:hideMark/>
          </w:tcPr>
          <w:p w14:paraId="01E709F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776ED5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87B6EC2"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4254DEA5" w14:textId="77777777" w:rsidR="00000000" w:rsidRDefault="009027A3">
            <w:pPr>
              <w:jc w:val="right"/>
              <w:rPr>
                <w:rFonts w:eastAsia="Times New Roman"/>
                <w:sz w:val="20"/>
                <w:szCs w:val="20"/>
              </w:rPr>
            </w:pPr>
            <w:r>
              <w:rPr>
                <w:rFonts w:eastAsia="Times New Roman"/>
                <w:sz w:val="18"/>
                <w:szCs w:val="18"/>
              </w:rPr>
              <w:t>69,403</w:t>
            </w:r>
          </w:p>
        </w:tc>
        <w:tc>
          <w:tcPr>
            <w:tcW w:w="0" w:type="auto"/>
            <w:shd w:val="clear" w:color="auto" w:fill="FFFFFF"/>
            <w:vAlign w:val="bottom"/>
            <w:hideMark/>
          </w:tcPr>
          <w:p w14:paraId="4CEE356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984C6D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5CC9540"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348670BF" w14:textId="77777777" w:rsidR="00000000" w:rsidRDefault="009027A3">
            <w:pPr>
              <w:jc w:val="right"/>
              <w:rPr>
                <w:rFonts w:eastAsia="Times New Roman"/>
                <w:sz w:val="20"/>
                <w:szCs w:val="20"/>
              </w:rPr>
            </w:pPr>
            <w:r>
              <w:rPr>
                <w:rFonts w:eastAsia="Times New Roman"/>
                <w:sz w:val="18"/>
                <w:szCs w:val="18"/>
              </w:rPr>
              <w:t>(25,075</w:t>
            </w:r>
          </w:p>
        </w:tc>
        <w:tc>
          <w:tcPr>
            <w:tcW w:w="0" w:type="auto"/>
            <w:shd w:val="clear" w:color="auto" w:fill="FFFFFF"/>
            <w:vAlign w:val="bottom"/>
            <w:hideMark/>
          </w:tcPr>
          <w:p w14:paraId="24A02794"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2F1B2A9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03DA3D2"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17C27546" w14:textId="77777777" w:rsidR="00000000" w:rsidRDefault="009027A3">
            <w:pPr>
              <w:jc w:val="right"/>
              <w:rPr>
                <w:rFonts w:eastAsia="Times New Roman"/>
                <w:sz w:val="20"/>
                <w:szCs w:val="20"/>
              </w:rPr>
            </w:pPr>
            <w:r>
              <w:rPr>
                <w:rFonts w:eastAsia="Times New Roman"/>
                <w:sz w:val="18"/>
                <w:szCs w:val="18"/>
              </w:rPr>
              <w:t>(843</w:t>
            </w:r>
          </w:p>
        </w:tc>
        <w:tc>
          <w:tcPr>
            <w:tcW w:w="0" w:type="auto"/>
            <w:shd w:val="clear" w:color="auto" w:fill="FFFFFF"/>
            <w:vAlign w:val="bottom"/>
            <w:hideMark/>
          </w:tcPr>
          <w:p w14:paraId="1A19CAEF"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6A8AF7C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04FAB82"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3B7398DB" w14:textId="77777777" w:rsidR="00000000" w:rsidRDefault="009027A3">
            <w:pPr>
              <w:jc w:val="right"/>
              <w:rPr>
                <w:rFonts w:eastAsia="Times New Roman"/>
                <w:sz w:val="20"/>
                <w:szCs w:val="20"/>
              </w:rPr>
            </w:pPr>
            <w:r>
              <w:rPr>
                <w:rFonts w:eastAsia="Times New Roman"/>
                <w:sz w:val="18"/>
                <w:szCs w:val="18"/>
              </w:rPr>
              <w:t>(662</w:t>
            </w:r>
          </w:p>
        </w:tc>
        <w:tc>
          <w:tcPr>
            <w:tcW w:w="0" w:type="auto"/>
            <w:shd w:val="clear" w:color="auto" w:fill="FFFFFF"/>
            <w:vAlign w:val="bottom"/>
            <w:hideMark/>
          </w:tcPr>
          <w:p w14:paraId="5CBBE27F"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2EED134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096F45"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7CFE9A28" w14:textId="77777777" w:rsidR="00000000" w:rsidRDefault="009027A3">
            <w:pPr>
              <w:jc w:val="right"/>
              <w:rPr>
                <w:rFonts w:eastAsia="Times New Roman"/>
                <w:sz w:val="20"/>
                <w:szCs w:val="20"/>
              </w:rPr>
            </w:pPr>
            <w:r>
              <w:rPr>
                <w:rFonts w:eastAsia="Times New Roman"/>
                <w:sz w:val="18"/>
                <w:szCs w:val="18"/>
              </w:rPr>
              <w:t>42,838</w:t>
            </w:r>
          </w:p>
        </w:tc>
        <w:tc>
          <w:tcPr>
            <w:tcW w:w="0" w:type="auto"/>
            <w:shd w:val="clear" w:color="auto" w:fill="FFFFFF"/>
            <w:vAlign w:val="bottom"/>
            <w:hideMark/>
          </w:tcPr>
          <w:p w14:paraId="4E6CE68B" w14:textId="77777777" w:rsidR="00000000" w:rsidRDefault="009027A3">
            <w:pPr>
              <w:rPr>
                <w:rFonts w:eastAsia="Times New Roman"/>
                <w:sz w:val="20"/>
                <w:szCs w:val="20"/>
              </w:rPr>
            </w:pPr>
            <w:r>
              <w:rPr>
                <w:rFonts w:eastAsia="Times New Roman"/>
                <w:sz w:val="18"/>
                <w:szCs w:val="18"/>
              </w:rPr>
              <w:t> </w:t>
            </w:r>
          </w:p>
        </w:tc>
      </w:tr>
      <w:tr w:rsidR="009027A3" w14:paraId="06187B75" w14:textId="77777777">
        <w:tc>
          <w:tcPr>
            <w:tcW w:w="0" w:type="auto"/>
            <w:shd w:val="clear" w:color="auto" w:fill="CCEEFF"/>
            <w:vAlign w:val="bottom"/>
            <w:hideMark/>
          </w:tcPr>
          <w:p w14:paraId="09F6FB3A" w14:textId="77777777" w:rsidR="00000000" w:rsidRDefault="009027A3">
            <w:pPr>
              <w:rPr>
                <w:rFonts w:eastAsia="Times New Roman"/>
                <w:sz w:val="20"/>
                <w:szCs w:val="20"/>
              </w:rPr>
            </w:pPr>
            <w:r>
              <w:rPr>
                <w:rFonts w:eastAsia="Times New Roman"/>
                <w:sz w:val="18"/>
                <w:szCs w:val="18"/>
              </w:rPr>
              <w:t>Net loss</w:t>
            </w:r>
          </w:p>
        </w:tc>
        <w:tc>
          <w:tcPr>
            <w:tcW w:w="0" w:type="auto"/>
            <w:shd w:val="clear" w:color="auto" w:fill="CCEEFF"/>
            <w:vAlign w:val="bottom"/>
            <w:hideMark/>
          </w:tcPr>
          <w:p w14:paraId="63109D9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F7A623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5162F25"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F1B788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BEAD37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ABE631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4EBC59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408FFA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844D85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42BD18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011042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7DA02A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1A54F8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DE9067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FA92EC8"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874BA0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1114C5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FA9E55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3CF341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4F0EEE4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AD857B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8AAB2B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7980EFF" w14:textId="77777777" w:rsidR="00000000" w:rsidRDefault="009027A3">
            <w:pPr>
              <w:jc w:val="right"/>
              <w:rPr>
                <w:rFonts w:eastAsia="Times New Roman"/>
                <w:sz w:val="20"/>
                <w:szCs w:val="20"/>
              </w:rPr>
            </w:pPr>
            <w:r>
              <w:rPr>
                <w:rFonts w:eastAsia="Times New Roman"/>
                <w:sz w:val="18"/>
                <w:szCs w:val="18"/>
              </w:rPr>
              <w:t>(2,502</w:t>
            </w:r>
          </w:p>
        </w:tc>
        <w:tc>
          <w:tcPr>
            <w:tcW w:w="0" w:type="auto"/>
            <w:shd w:val="clear" w:color="auto" w:fill="CCEEFF"/>
            <w:vAlign w:val="bottom"/>
            <w:hideMark/>
          </w:tcPr>
          <w:p w14:paraId="5F841CA9" w14:textId="77777777" w:rsidR="00000000" w:rsidRDefault="009027A3">
            <w:pPr>
              <w:rPr>
                <w:rFonts w:eastAsia="Times New Roman"/>
                <w:sz w:val="20"/>
                <w:szCs w:val="20"/>
              </w:rPr>
            </w:pPr>
            <w:r>
              <w:rPr>
                <w:rFonts w:eastAsia="Times New Roman"/>
                <w:sz w:val="18"/>
                <w:szCs w:val="18"/>
              </w:rPr>
              <w:t>)</w:t>
            </w:r>
          </w:p>
        </w:tc>
        <w:tc>
          <w:tcPr>
            <w:tcW w:w="0" w:type="auto"/>
            <w:shd w:val="clear" w:color="auto" w:fill="CCEEFF"/>
            <w:vAlign w:val="bottom"/>
            <w:hideMark/>
          </w:tcPr>
          <w:p w14:paraId="6A4C58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DFCA4F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052416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5EA498F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B8CEF3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C195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5A17EA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2F840F6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84EBFB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01EF57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EBC2329" w14:textId="77777777" w:rsidR="00000000" w:rsidRDefault="009027A3">
            <w:pPr>
              <w:jc w:val="right"/>
              <w:rPr>
                <w:rFonts w:eastAsia="Times New Roman"/>
                <w:sz w:val="20"/>
                <w:szCs w:val="20"/>
              </w:rPr>
            </w:pPr>
            <w:r>
              <w:rPr>
                <w:rFonts w:eastAsia="Times New Roman"/>
                <w:sz w:val="18"/>
                <w:szCs w:val="18"/>
              </w:rPr>
              <w:t>(2,502</w:t>
            </w:r>
          </w:p>
        </w:tc>
        <w:tc>
          <w:tcPr>
            <w:tcW w:w="0" w:type="auto"/>
            <w:shd w:val="clear" w:color="auto" w:fill="CCEEFF"/>
            <w:vAlign w:val="bottom"/>
            <w:hideMark/>
          </w:tcPr>
          <w:p w14:paraId="529DAD91" w14:textId="77777777" w:rsidR="00000000" w:rsidRDefault="009027A3">
            <w:pPr>
              <w:rPr>
                <w:rFonts w:eastAsia="Times New Roman"/>
                <w:sz w:val="20"/>
                <w:szCs w:val="20"/>
              </w:rPr>
            </w:pPr>
            <w:r>
              <w:rPr>
                <w:rFonts w:eastAsia="Times New Roman"/>
                <w:sz w:val="18"/>
                <w:szCs w:val="18"/>
              </w:rPr>
              <w:t>)</w:t>
            </w:r>
          </w:p>
        </w:tc>
      </w:tr>
      <w:tr w:rsidR="009027A3" w14:paraId="3D85B7FE" w14:textId="77777777">
        <w:tc>
          <w:tcPr>
            <w:tcW w:w="0" w:type="auto"/>
            <w:shd w:val="clear" w:color="auto" w:fill="FFFFFF"/>
            <w:vAlign w:val="bottom"/>
            <w:hideMark/>
          </w:tcPr>
          <w:p w14:paraId="7444DA91" w14:textId="77777777" w:rsidR="00000000" w:rsidRDefault="009027A3">
            <w:pPr>
              <w:rPr>
                <w:rFonts w:eastAsia="Times New Roman"/>
                <w:sz w:val="20"/>
                <w:szCs w:val="20"/>
              </w:rPr>
            </w:pPr>
            <w:r>
              <w:rPr>
                <w:rFonts w:eastAsia="Times New Roman"/>
                <w:sz w:val="18"/>
                <w:szCs w:val="18"/>
              </w:rPr>
              <w:t>Foreign currency translation adjustment</w:t>
            </w:r>
          </w:p>
        </w:tc>
        <w:tc>
          <w:tcPr>
            <w:tcW w:w="0" w:type="auto"/>
            <w:shd w:val="clear" w:color="auto" w:fill="FFFFFF"/>
            <w:vAlign w:val="bottom"/>
            <w:hideMark/>
          </w:tcPr>
          <w:p w14:paraId="1081ED2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374C4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1B52DF8"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EB14EB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324E71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9C1604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A983DB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D857EB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55ADA0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96BAE3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308369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5D24514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54F9AC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9F20A7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588D506"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D60ED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A82E7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AF6962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0EBFCE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28534CB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EB2037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E3C761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08AA26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4185FC2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C28164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8EA6F2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4B776E7" w14:textId="77777777" w:rsidR="00000000" w:rsidRDefault="009027A3">
            <w:pPr>
              <w:jc w:val="right"/>
              <w:rPr>
                <w:rFonts w:eastAsia="Times New Roman"/>
                <w:sz w:val="20"/>
                <w:szCs w:val="20"/>
              </w:rPr>
            </w:pPr>
            <w:r>
              <w:rPr>
                <w:rFonts w:eastAsia="Times New Roman"/>
                <w:sz w:val="18"/>
                <w:szCs w:val="18"/>
              </w:rPr>
              <w:t>(590</w:t>
            </w:r>
          </w:p>
        </w:tc>
        <w:tc>
          <w:tcPr>
            <w:tcW w:w="0" w:type="auto"/>
            <w:shd w:val="clear" w:color="auto" w:fill="FFFFFF"/>
            <w:vAlign w:val="bottom"/>
            <w:hideMark/>
          </w:tcPr>
          <w:p w14:paraId="5D592AD2"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vAlign w:val="bottom"/>
            <w:hideMark/>
          </w:tcPr>
          <w:p w14:paraId="40CCAF4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76C18D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901F43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3B0251A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303103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791EFB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4A50763" w14:textId="77777777" w:rsidR="00000000" w:rsidRDefault="009027A3">
            <w:pPr>
              <w:jc w:val="right"/>
              <w:rPr>
                <w:rFonts w:eastAsia="Times New Roman"/>
                <w:sz w:val="20"/>
                <w:szCs w:val="20"/>
              </w:rPr>
            </w:pPr>
            <w:r>
              <w:rPr>
                <w:rFonts w:eastAsia="Times New Roman"/>
                <w:sz w:val="18"/>
                <w:szCs w:val="18"/>
              </w:rPr>
              <w:t>(590</w:t>
            </w:r>
          </w:p>
        </w:tc>
        <w:tc>
          <w:tcPr>
            <w:tcW w:w="0" w:type="auto"/>
            <w:shd w:val="clear" w:color="auto" w:fill="FFFFFF"/>
            <w:vAlign w:val="bottom"/>
            <w:hideMark/>
          </w:tcPr>
          <w:p w14:paraId="4A190947" w14:textId="77777777" w:rsidR="00000000" w:rsidRDefault="009027A3">
            <w:pPr>
              <w:rPr>
                <w:rFonts w:eastAsia="Times New Roman"/>
                <w:sz w:val="20"/>
                <w:szCs w:val="20"/>
              </w:rPr>
            </w:pPr>
            <w:r>
              <w:rPr>
                <w:rFonts w:eastAsia="Times New Roman"/>
                <w:sz w:val="18"/>
                <w:szCs w:val="18"/>
              </w:rPr>
              <w:t>)</w:t>
            </w:r>
          </w:p>
        </w:tc>
      </w:tr>
      <w:tr w:rsidR="009027A3" w14:paraId="64FDAF41" w14:textId="77777777">
        <w:tc>
          <w:tcPr>
            <w:tcW w:w="0" w:type="auto"/>
            <w:shd w:val="clear" w:color="auto" w:fill="CCEEFF"/>
            <w:vAlign w:val="bottom"/>
            <w:hideMark/>
          </w:tcPr>
          <w:p w14:paraId="4DF064E3" w14:textId="77777777" w:rsidR="00000000" w:rsidRDefault="009027A3">
            <w:pPr>
              <w:rPr>
                <w:rFonts w:eastAsia="Times New Roman"/>
                <w:sz w:val="20"/>
                <w:szCs w:val="20"/>
              </w:rPr>
            </w:pPr>
            <w:r>
              <w:rPr>
                <w:rFonts w:eastAsia="Times New Roman"/>
                <w:sz w:val="18"/>
                <w:szCs w:val="18"/>
              </w:rPr>
              <w:t>Issuance of stock under the equity incentive plan</w:t>
            </w:r>
          </w:p>
        </w:tc>
        <w:tc>
          <w:tcPr>
            <w:tcW w:w="0" w:type="auto"/>
            <w:shd w:val="clear" w:color="auto" w:fill="CCEEFF"/>
            <w:vAlign w:val="bottom"/>
            <w:hideMark/>
          </w:tcPr>
          <w:p w14:paraId="1A5B3B9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90A1BF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3DFEC8F" w14:textId="77777777" w:rsidR="00000000" w:rsidRDefault="009027A3">
            <w:pPr>
              <w:jc w:val="right"/>
              <w:rPr>
                <w:rFonts w:eastAsia="Times New Roman"/>
                <w:sz w:val="20"/>
                <w:szCs w:val="20"/>
              </w:rPr>
            </w:pPr>
            <w:r>
              <w:rPr>
                <w:rFonts w:eastAsia="Times New Roman"/>
                <w:sz w:val="18"/>
                <w:szCs w:val="18"/>
              </w:rPr>
              <w:t>28,870</w:t>
            </w:r>
          </w:p>
        </w:tc>
        <w:tc>
          <w:tcPr>
            <w:tcW w:w="0" w:type="auto"/>
            <w:shd w:val="clear" w:color="auto" w:fill="CCEEFF"/>
            <w:vAlign w:val="bottom"/>
            <w:hideMark/>
          </w:tcPr>
          <w:p w14:paraId="5083004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CAE142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D47379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02D650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2889224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FF4866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2D53FB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9FA1397" w14:textId="77777777" w:rsidR="00000000" w:rsidRDefault="009027A3">
            <w:pPr>
              <w:jc w:val="right"/>
              <w:rPr>
                <w:rFonts w:eastAsia="Times New Roman"/>
                <w:sz w:val="20"/>
                <w:szCs w:val="20"/>
              </w:rPr>
            </w:pPr>
            <w:r>
              <w:rPr>
                <w:rFonts w:eastAsia="Times New Roman"/>
                <w:sz w:val="18"/>
                <w:szCs w:val="18"/>
              </w:rPr>
              <w:t>129,607</w:t>
            </w:r>
          </w:p>
        </w:tc>
        <w:tc>
          <w:tcPr>
            <w:tcW w:w="0" w:type="auto"/>
            <w:shd w:val="clear" w:color="auto" w:fill="CCEEFF"/>
            <w:vAlign w:val="bottom"/>
            <w:hideMark/>
          </w:tcPr>
          <w:p w14:paraId="69CE65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E2A93F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27B3F6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D3C0FA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4430A30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EC04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173FB6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9819FA0"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CD58FD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7FC3FA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324243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8D6350"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727C30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B721B5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38FC81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DFC4BB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22F15CC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081526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C43FD6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75D688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557F020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47D35B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281596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750CF8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235CCC7" w14:textId="77777777" w:rsidR="00000000" w:rsidRDefault="009027A3">
            <w:pPr>
              <w:rPr>
                <w:rFonts w:eastAsia="Times New Roman"/>
                <w:sz w:val="20"/>
                <w:szCs w:val="20"/>
              </w:rPr>
            </w:pPr>
            <w:r>
              <w:rPr>
                <w:rFonts w:eastAsia="Times New Roman"/>
                <w:sz w:val="18"/>
                <w:szCs w:val="18"/>
              </w:rPr>
              <w:t> </w:t>
            </w:r>
          </w:p>
        </w:tc>
      </w:tr>
      <w:tr w:rsidR="009027A3" w14:paraId="79BE7824" w14:textId="77777777">
        <w:tc>
          <w:tcPr>
            <w:tcW w:w="0" w:type="auto"/>
            <w:shd w:val="clear" w:color="auto" w:fill="FFFFFF"/>
            <w:vAlign w:val="bottom"/>
            <w:hideMark/>
          </w:tcPr>
          <w:p w14:paraId="73393CF6" w14:textId="77777777" w:rsidR="00000000" w:rsidRDefault="009027A3">
            <w:pPr>
              <w:rPr>
                <w:rFonts w:eastAsia="Times New Roman"/>
                <w:sz w:val="20"/>
                <w:szCs w:val="20"/>
              </w:rPr>
            </w:pPr>
            <w:r>
              <w:rPr>
                <w:rFonts w:eastAsia="Times New Roman"/>
                <w:sz w:val="18"/>
                <w:szCs w:val="18"/>
              </w:rPr>
              <w:t>Issuance of preferred stock in connection with an acquisition</w:t>
            </w:r>
          </w:p>
        </w:tc>
        <w:tc>
          <w:tcPr>
            <w:tcW w:w="0" w:type="auto"/>
            <w:shd w:val="clear" w:color="auto" w:fill="FFFFFF"/>
            <w:vAlign w:val="bottom"/>
            <w:hideMark/>
          </w:tcPr>
          <w:p w14:paraId="75E48CD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BFD293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A240E76" w14:textId="77777777" w:rsidR="00000000" w:rsidRDefault="009027A3">
            <w:pPr>
              <w:jc w:val="right"/>
              <w:rPr>
                <w:rFonts w:eastAsia="Times New Roman"/>
                <w:sz w:val="20"/>
                <w:szCs w:val="20"/>
              </w:rPr>
            </w:pPr>
            <w:r>
              <w:rPr>
                <w:rFonts w:eastAsia="Times New Roman"/>
                <w:sz w:val="18"/>
                <w:szCs w:val="18"/>
              </w:rPr>
              <w:t>760,000</w:t>
            </w:r>
          </w:p>
        </w:tc>
        <w:tc>
          <w:tcPr>
            <w:tcW w:w="0" w:type="auto"/>
            <w:shd w:val="clear" w:color="auto" w:fill="FFFFFF"/>
            <w:vAlign w:val="bottom"/>
            <w:hideMark/>
          </w:tcPr>
          <w:p w14:paraId="744B7DA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F20B07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41E604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C607396" w14:textId="77777777" w:rsidR="00000000" w:rsidRDefault="009027A3">
            <w:pPr>
              <w:jc w:val="right"/>
              <w:rPr>
                <w:rFonts w:eastAsia="Times New Roman"/>
                <w:sz w:val="20"/>
                <w:szCs w:val="20"/>
              </w:rPr>
            </w:pPr>
            <w:r>
              <w:rPr>
                <w:rFonts w:eastAsia="Times New Roman"/>
                <w:sz w:val="18"/>
                <w:szCs w:val="18"/>
              </w:rPr>
              <w:t>1</w:t>
            </w:r>
          </w:p>
        </w:tc>
        <w:tc>
          <w:tcPr>
            <w:tcW w:w="0" w:type="auto"/>
            <w:shd w:val="clear" w:color="auto" w:fill="FFFFFF"/>
            <w:vAlign w:val="bottom"/>
            <w:hideMark/>
          </w:tcPr>
          <w:p w14:paraId="2B3F1BA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F13DD0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8136B2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C036D1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7A7C2F9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939BA5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6ADC45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35119D0"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95817D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397F77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7FE427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04890CB" w14:textId="77777777" w:rsidR="00000000" w:rsidRDefault="009027A3">
            <w:pPr>
              <w:jc w:val="right"/>
              <w:rPr>
                <w:rFonts w:eastAsia="Times New Roman"/>
                <w:sz w:val="20"/>
                <w:szCs w:val="20"/>
              </w:rPr>
            </w:pPr>
            <w:r>
              <w:rPr>
                <w:rFonts w:eastAsia="Times New Roman"/>
                <w:sz w:val="18"/>
                <w:szCs w:val="18"/>
              </w:rPr>
              <w:t>18,999</w:t>
            </w:r>
          </w:p>
        </w:tc>
        <w:tc>
          <w:tcPr>
            <w:tcW w:w="0" w:type="auto"/>
            <w:shd w:val="clear" w:color="auto" w:fill="FFFFFF"/>
            <w:vAlign w:val="bottom"/>
            <w:hideMark/>
          </w:tcPr>
          <w:p w14:paraId="5AE7931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103917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0EF174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F5C00D6"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3799107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61A1E3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306148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B4E2BC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50F235A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7002E2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CF6EDF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813593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952A04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1DC4D1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B8732A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CAEA701" w14:textId="77777777" w:rsidR="00000000" w:rsidRDefault="009027A3">
            <w:pPr>
              <w:jc w:val="right"/>
              <w:rPr>
                <w:rFonts w:eastAsia="Times New Roman"/>
                <w:sz w:val="20"/>
                <w:szCs w:val="20"/>
              </w:rPr>
            </w:pPr>
            <w:r>
              <w:rPr>
                <w:rFonts w:eastAsia="Times New Roman"/>
                <w:sz w:val="18"/>
                <w:szCs w:val="18"/>
              </w:rPr>
              <w:t>19,000</w:t>
            </w:r>
          </w:p>
        </w:tc>
        <w:tc>
          <w:tcPr>
            <w:tcW w:w="0" w:type="auto"/>
            <w:shd w:val="clear" w:color="auto" w:fill="FFFFFF"/>
            <w:vAlign w:val="bottom"/>
            <w:hideMark/>
          </w:tcPr>
          <w:p w14:paraId="43499AA5" w14:textId="77777777" w:rsidR="00000000" w:rsidRDefault="009027A3">
            <w:pPr>
              <w:rPr>
                <w:rFonts w:eastAsia="Times New Roman"/>
                <w:sz w:val="20"/>
                <w:szCs w:val="20"/>
              </w:rPr>
            </w:pPr>
            <w:r>
              <w:rPr>
                <w:rFonts w:eastAsia="Times New Roman"/>
                <w:sz w:val="18"/>
                <w:szCs w:val="18"/>
              </w:rPr>
              <w:t> </w:t>
            </w:r>
          </w:p>
        </w:tc>
      </w:tr>
      <w:tr w:rsidR="009027A3" w14:paraId="13F42F97" w14:textId="77777777">
        <w:tc>
          <w:tcPr>
            <w:tcW w:w="0" w:type="auto"/>
            <w:shd w:val="clear" w:color="auto" w:fill="CCEEFF"/>
            <w:vAlign w:val="bottom"/>
            <w:hideMark/>
          </w:tcPr>
          <w:p w14:paraId="1B13F2DE" w14:textId="77777777" w:rsidR="00000000" w:rsidRDefault="009027A3">
            <w:pPr>
              <w:rPr>
                <w:rFonts w:eastAsia="Times New Roman"/>
                <w:sz w:val="20"/>
                <w:szCs w:val="20"/>
              </w:rPr>
            </w:pPr>
            <w:r>
              <w:rPr>
                <w:rFonts w:eastAsia="Times New Roman"/>
                <w:sz w:val="18"/>
                <w:szCs w:val="18"/>
              </w:rPr>
              <w:t>Stock-based compensation, net of cash settlements</w:t>
            </w:r>
          </w:p>
        </w:tc>
        <w:tc>
          <w:tcPr>
            <w:tcW w:w="0" w:type="auto"/>
            <w:shd w:val="clear" w:color="auto" w:fill="CCEEFF"/>
            <w:vAlign w:val="bottom"/>
            <w:hideMark/>
          </w:tcPr>
          <w:p w14:paraId="6758F6C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B01139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359E1D2"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3A391E3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47FCA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0B4EEC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83A480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5EE908C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D03BAC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320318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5185FA9"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31A8D8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CB4F25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4C1D0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A790A1C"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7085B13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53ED153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9532D9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17095240" w14:textId="77777777" w:rsidR="00000000" w:rsidRDefault="009027A3">
            <w:pPr>
              <w:jc w:val="right"/>
              <w:rPr>
                <w:rFonts w:eastAsia="Times New Roman"/>
                <w:sz w:val="20"/>
                <w:szCs w:val="20"/>
              </w:rPr>
            </w:pPr>
            <w:r>
              <w:rPr>
                <w:rFonts w:eastAsia="Times New Roman"/>
                <w:sz w:val="18"/>
                <w:szCs w:val="18"/>
              </w:rPr>
              <w:t>794</w:t>
            </w:r>
          </w:p>
        </w:tc>
        <w:tc>
          <w:tcPr>
            <w:tcW w:w="0" w:type="auto"/>
            <w:shd w:val="clear" w:color="auto" w:fill="CCEEFF"/>
            <w:vAlign w:val="bottom"/>
            <w:hideMark/>
          </w:tcPr>
          <w:p w14:paraId="5BA52AE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A6BCEF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4EF948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22AF41"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6BAA15C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7712198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C695C4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105F7B8"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CFD253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895A8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4E6241E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A866354"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09D5A6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2FA1961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6508533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vAlign w:val="bottom"/>
            <w:hideMark/>
          </w:tcPr>
          <w:p w14:paraId="0B6E30CE" w14:textId="77777777" w:rsidR="00000000" w:rsidRDefault="009027A3">
            <w:pPr>
              <w:jc w:val="right"/>
              <w:rPr>
                <w:rFonts w:eastAsia="Times New Roman"/>
                <w:sz w:val="20"/>
                <w:szCs w:val="20"/>
              </w:rPr>
            </w:pPr>
            <w:r>
              <w:rPr>
                <w:rFonts w:eastAsia="Times New Roman"/>
                <w:sz w:val="18"/>
                <w:szCs w:val="18"/>
              </w:rPr>
              <w:t>794</w:t>
            </w:r>
          </w:p>
        </w:tc>
        <w:tc>
          <w:tcPr>
            <w:tcW w:w="0" w:type="auto"/>
            <w:shd w:val="clear" w:color="auto" w:fill="CCEEFF"/>
            <w:vAlign w:val="bottom"/>
            <w:hideMark/>
          </w:tcPr>
          <w:p w14:paraId="1D52FE58" w14:textId="77777777" w:rsidR="00000000" w:rsidRDefault="009027A3">
            <w:pPr>
              <w:rPr>
                <w:rFonts w:eastAsia="Times New Roman"/>
                <w:sz w:val="20"/>
                <w:szCs w:val="20"/>
              </w:rPr>
            </w:pPr>
            <w:r>
              <w:rPr>
                <w:rFonts w:eastAsia="Times New Roman"/>
                <w:sz w:val="18"/>
                <w:szCs w:val="18"/>
              </w:rPr>
              <w:t> </w:t>
            </w:r>
          </w:p>
        </w:tc>
      </w:tr>
      <w:tr w:rsidR="009027A3" w14:paraId="28F95CA2" w14:textId="77777777">
        <w:tc>
          <w:tcPr>
            <w:tcW w:w="0" w:type="auto"/>
            <w:shd w:val="clear" w:color="auto" w:fill="FFFFFF"/>
            <w:vAlign w:val="bottom"/>
            <w:hideMark/>
          </w:tcPr>
          <w:p w14:paraId="19D2817C" w14:textId="77777777" w:rsidR="00000000" w:rsidRDefault="009027A3">
            <w:pPr>
              <w:rPr>
                <w:rFonts w:eastAsia="Times New Roman"/>
                <w:sz w:val="20"/>
                <w:szCs w:val="20"/>
              </w:rPr>
            </w:pPr>
            <w:r>
              <w:rPr>
                <w:rFonts w:eastAsia="Times New Roman"/>
                <w:sz w:val="18"/>
                <w:szCs w:val="18"/>
              </w:rPr>
              <w:t>Issuance of warrants in connection with an acquisition</w:t>
            </w:r>
          </w:p>
        </w:tc>
        <w:tc>
          <w:tcPr>
            <w:tcW w:w="0" w:type="auto"/>
            <w:shd w:val="clear" w:color="auto" w:fill="FFFFFF"/>
            <w:vAlign w:val="bottom"/>
            <w:hideMark/>
          </w:tcPr>
          <w:p w14:paraId="3BBE2C6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9BACB7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E1BFF06"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731379D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D37410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BC7258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1F7806B"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0F062A3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A8E534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11EA13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F1B98B7"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70BE873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56F21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A917E5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AA7EB3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76F6F471"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7B0C88FC"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AF0282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5A413CB4" w14:textId="77777777" w:rsidR="00000000" w:rsidRDefault="009027A3">
            <w:pPr>
              <w:jc w:val="right"/>
              <w:rPr>
                <w:rFonts w:eastAsia="Times New Roman"/>
                <w:sz w:val="20"/>
                <w:szCs w:val="20"/>
              </w:rPr>
            </w:pPr>
            <w:r>
              <w:rPr>
                <w:rFonts w:eastAsia="Times New Roman"/>
                <w:sz w:val="18"/>
                <w:szCs w:val="18"/>
              </w:rPr>
              <w:t>300</w:t>
            </w:r>
          </w:p>
        </w:tc>
        <w:tc>
          <w:tcPr>
            <w:tcW w:w="0" w:type="auto"/>
            <w:shd w:val="clear" w:color="auto" w:fill="FFFFFF"/>
            <w:vAlign w:val="bottom"/>
            <w:hideMark/>
          </w:tcPr>
          <w:p w14:paraId="13C2ABB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E43768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D2634F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DC9C19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7015898F"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54B37F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31AE28A4"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159DA5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F1B2A3A"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02FEA5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493E910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004EAFE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FFFFFF"/>
            <w:vAlign w:val="bottom"/>
            <w:hideMark/>
          </w:tcPr>
          <w:p w14:paraId="65C02562"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17671E5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6A038329"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vAlign w:val="bottom"/>
            <w:hideMark/>
          </w:tcPr>
          <w:p w14:paraId="23CBA565" w14:textId="77777777" w:rsidR="00000000" w:rsidRDefault="009027A3">
            <w:pPr>
              <w:jc w:val="right"/>
              <w:rPr>
                <w:rFonts w:eastAsia="Times New Roman"/>
                <w:sz w:val="20"/>
                <w:szCs w:val="20"/>
              </w:rPr>
            </w:pPr>
            <w:r>
              <w:rPr>
                <w:rFonts w:eastAsia="Times New Roman"/>
                <w:sz w:val="18"/>
                <w:szCs w:val="18"/>
              </w:rPr>
              <w:t>300</w:t>
            </w:r>
          </w:p>
        </w:tc>
        <w:tc>
          <w:tcPr>
            <w:tcW w:w="0" w:type="auto"/>
            <w:shd w:val="clear" w:color="auto" w:fill="FFFFFF"/>
            <w:vAlign w:val="bottom"/>
            <w:hideMark/>
          </w:tcPr>
          <w:p w14:paraId="5694E3F0" w14:textId="77777777" w:rsidR="00000000" w:rsidRDefault="009027A3">
            <w:pPr>
              <w:rPr>
                <w:rFonts w:eastAsia="Times New Roman"/>
                <w:sz w:val="20"/>
                <w:szCs w:val="20"/>
              </w:rPr>
            </w:pPr>
            <w:r>
              <w:rPr>
                <w:rFonts w:eastAsia="Times New Roman"/>
                <w:sz w:val="18"/>
                <w:szCs w:val="18"/>
              </w:rPr>
              <w:t> </w:t>
            </w:r>
          </w:p>
        </w:tc>
      </w:tr>
      <w:tr w:rsidR="009027A3" w14:paraId="033ACA28" w14:textId="77777777">
        <w:tc>
          <w:tcPr>
            <w:tcW w:w="0" w:type="auto"/>
            <w:shd w:val="clear" w:color="auto" w:fill="CCEEFF"/>
            <w:tcMar>
              <w:top w:w="0" w:type="dxa"/>
              <w:left w:w="0" w:type="dxa"/>
              <w:bottom w:w="30" w:type="dxa"/>
              <w:right w:w="0" w:type="dxa"/>
            </w:tcMar>
            <w:vAlign w:val="bottom"/>
            <w:hideMark/>
          </w:tcPr>
          <w:p w14:paraId="016382A8" w14:textId="77777777" w:rsidR="00000000" w:rsidRDefault="009027A3">
            <w:pPr>
              <w:rPr>
                <w:rFonts w:eastAsia="Times New Roman"/>
                <w:sz w:val="20"/>
                <w:szCs w:val="20"/>
              </w:rPr>
            </w:pPr>
            <w:r>
              <w:rPr>
                <w:rFonts w:eastAsia="Times New Roman"/>
                <w:sz w:val="18"/>
                <w:szCs w:val="18"/>
              </w:rPr>
              <w:t>Preferred stock dividends</w:t>
            </w:r>
          </w:p>
        </w:tc>
        <w:tc>
          <w:tcPr>
            <w:tcW w:w="0" w:type="auto"/>
            <w:shd w:val="clear" w:color="auto" w:fill="CCEEFF"/>
            <w:tcMar>
              <w:top w:w="0" w:type="dxa"/>
              <w:left w:w="0" w:type="dxa"/>
              <w:bottom w:w="30" w:type="dxa"/>
              <w:right w:w="0" w:type="dxa"/>
            </w:tcMar>
            <w:vAlign w:val="bottom"/>
            <w:hideMark/>
          </w:tcPr>
          <w:p w14:paraId="6198054D"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0104380"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AFA535A"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605C72F8"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55B374AD"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08FEFDB"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CF18AB0"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29624B8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AF7EF07"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499C4D8"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A21827D"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6297BE17"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72645989"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ECBCD2A"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3B8A896B"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4CC69A73"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7A1FF9AD"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37BA6220"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4533E45" w14:textId="77777777" w:rsidR="00000000" w:rsidRDefault="009027A3">
            <w:pPr>
              <w:jc w:val="right"/>
              <w:rPr>
                <w:rFonts w:eastAsia="Times New Roman"/>
                <w:sz w:val="20"/>
                <w:szCs w:val="20"/>
              </w:rPr>
            </w:pPr>
            <w:r>
              <w:rPr>
                <w:rFonts w:eastAsia="Times New Roman"/>
                <w:sz w:val="18"/>
                <w:szCs w:val="18"/>
              </w:rPr>
              <w:t>(2,643</w:t>
            </w:r>
          </w:p>
        </w:tc>
        <w:tc>
          <w:tcPr>
            <w:tcW w:w="0" w:type="auto"/>
            <w:shd w:val="clear" w:color="auto" w:fill="CCEEFF"/>
            <w:tcMar>
              <w:top w:w="0" w:type="dxa"/>
              <w:left w:w="0" w:type="dxa"/>
              <w:bottom w:w="30" w:type="dxa"/>
              <w:right w:w="0" w:type="dxa"/>
            </w:tcMar>
            <w:vAlign w:val="bottom"/>
            <w:hideMark/>
          </w:tcPr>
          <w:p w14:paraId="08888BFA" w14:textId="77777777" w:rsidR="00000000" w:rsidRDefault="009027A3">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796E9E0E"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3B26DAF"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F2689F3"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5486EBA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570BE865"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7EDF4C65"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782B97F"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4D133240"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747B976A"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46CB95D"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A10085E" w14:textId="77777777" w:rsidR="00000000" w:rsidRDefault="009027A3">
            <w:pPr>
              <w:jc w:val="right"/>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741DC0FB" w14:textId="77777777" w:rsidR="00000000" w:rsidRDefault="009027A3">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4815E49"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20AEF28" w14:textId="77777777" w:rsidR="00000000" w:rsidRDefault="009027A3">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885CD29" w14:textId="77777777" w:rsidR="00000000" w:rsidRDefault="009027A3">
            <w:pPr>
              <w:jc w:val="right"/>
              <w:rPr>
                <w:rFonts w:eastAsia="Times New Roman"/>
                <w:sz w:val="20"/>
                <w:szCs w:val="20"/>
              </w:rPr>
            </w:pPr>
            <w:r>
              <w:rPr>
                <w:rFonts w:eastAsia="Times New Roman"/>
                <w:sz w:val="18"/>
                <w:szCs w:val="18"/>
              </w:rPr>
              <w:t>(2,643</w:t>
            </w:r>
          </w:p>
        </w:tc>
        <w:tc>
          <w:tcPr>
            <w:tcW w:w="0" w:type="auto"/>
            <w:shd w:val="clear" w:color="auto" w:fill="CCEEFF"/>
            <w:tcMar>
              <w:top w:w="0" w:type="dxa"/>
              <w:left w:w="0" w:type="dxa"/>
              <w:bottom w:w="30" w:type="dxa"/>
              <w:right w:w="0" w:type="dxa"/>
            </w:tcMar>
            <w:vAlign w:val="bottom"/>
            <w:hideMark/>
          </w:tcPr>
          <w:p w14:paraId="201C92DC" w14:textId="77777777" w:rsidR="00000000" w:rsidRDefault="009027A3">
            <w:pPr>
              <w:rPr>
                <w:rFonts w:eastAsia="Times New Roman"/>
                <w:sz w:val="20"/>
                <w:szCs w:val="20"/>
              </w:rPr>
            </w:pPr>
            <w:r>
              <w:rPr>
                <w:rFonts w:eastAsia="Times New Roman"/>
                <w:sz w:val="18"/>
                <w:szCs w:val="18"/>
              </w:rPr>
              <w:t>)</w:t>
            </w:r>
          </w:p>
        </w:tc>
      </w:tr>
      <w:tr w:rsidR="009027A3" w14:paraId="04707747" w14:textId="77777777">
        <w:tc>
          <w:tcPr>
            <w:tcW w:w="0" w:type="auto"/>
            <w:shd w:val="clear" w:color="auto" w:fill="FFFFFF"/>
            <w:tcMar>
              <w:top w:w="0" w:type="dxa"/>
              <w:left w:w="0" w:type="dxa"/>
              <w:bottom w:w="50" w:type="dxa"/>
              <w:right w:w="0" w:type="dxa"/>
            </w:tcMar>
            <w:vAlign w:val="bottom"/>
            <w:hideMark/>
          </w:tcPr>
          <w:p w14:paraId="016A17E8" w14:textId="77777777" w:rsidR="00000000" w:rsidRDefault="009027A3">
            <w:pPr>
              <w:rPr>
                <w:rFonts w:eastAsia="Times New Roman"/>
                <w:sz w:val="20"/>
                <w:szCs w:val="20"/>
              </w:rPr>
            </w:pPr>
            <w:r>
              <w:rPr>
                <w:rFonts w:eastAsia="Times New Roman"/>
                <w:sz w:val="18"/>
                <w:szCs w:val="18"/>
              </w:rPr>
              <w:t>Balance - March 31, 2020</w:t>
            </w:r>
          </w:p>
        </w:tc>
        <w:tc>
          <w:tcPr>
            <w:tcW w:w="0" w:type="auto"/>
            <w:shd w:val="clear" w:color="auto" w:fill="FFFFFF"/>
            <w:tcMar>
              <w:top w:w="0" w:type="dxa"/>
              <w:left w:w="0" w:type="dxa"/>
              <w:bottom w:w="50" w:type="dxa"/>
              <w:right w:w="0" w:type="dxa"/>
            </w:tcMar>
            <w:vAlign w:val="bottom"/>
            <w:hideMark/>
          </w:tcPr>
          <w:p w14:paraId="5E23DBAD"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20AF55C2"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0179B904" w14:textId="77777777" w:rsidR="00000000" w:rsidRDefault="009027A3">
            <w:pPr>
              <w:jc w:val="right"/>
              <w:rPr>
                <w:rFonts w:eastAsia="Times New Roman"/>
                <w:sz w:val="20"/>
                <w:szCs w:val="20"/>
              </w:rPr>
            </w:pPr>
            <w:r>
              <w:rPr>
                <w:rFonts w:eastAsia="Times New Roman"/>
                <w:sz w:val="18"/>
                <w:szCs w:val="18"/>
              </w:rPr>
              <w:t>3,328,195</w:t>
            </w:r>
          </w:p>
        </w:tc>
        <w:tc>
          <w:tcPr>
            <w:tcW w:w="0" w:type="auto"/>
            <w:shd w:val="clear" w:color="auto" w:fill="FFFFFF"/>
            <w:tcMar>
              <w:top w:w="0" w:type="dxa"/>
              <w:left w:w="0" w:type="dxa"/>
              <w:bottom w:w="50" w:type="dxa"/>
              <w:right w:w="0" w:type="dxa"/>
            </w:tcMar>
            <w:vAlign w:val="bottom"/>
            <w:hideMark/>
          </w:tcPr>
          <w:p w14:paraId="35BB712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72F0761A"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0DEFAAB3"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3E745431" w14:textId="77777777" w:rsidR="00000000" w:rsidRDefault="009027A3">
            <w:pPr>
              <w:jc w:val="right"/>
              <w:rPr>
                <w:rFonts w:eastAsia="Times New Roman"/>
                <w:sz w:val="20"/>
                <w:szCs w:val="20"/>
              </w:rPr>
            </w:pPr>
            <w:r>
              <w:rPr>
                <w:rFonts w:eastAsia="Times New Roman"/>
                <w:sz w:val="18"/>
                <w:szCs w:val="18"/>
              </w:rPr>
              <w:t>3</w:t>
            </w:r>
          </w:p>
        </w:tc>
        <w:tc>
          <w:tcPr>
            <w:tcW w:w="0" w:type="auto"/>
            <w:shd w:val="clear" w:color="auto" w:fill="FFFFFF"/>
            <w:tcMar>
              <w:top w:w="0" w:type="dxa"/>
              <w:left w:w="0" w:type="dxa"/>
              <w:bottom w:w="50" w:type="dxa"/>
              <w:right w:w="0" w:type="dxa"/>
            </w:tcMar>
            <w:vAlign w:val="bottom"/>
            <w:hideMark/>
          </w:tcPr>
          <w:p w14:paraId="0FCEBA5D"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08D03E1B"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7EB4DC1"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5912A494" w14:textId="77777777" w:rsidR="00000000" w:rsidRDefault="009027A3">
            <w:pPr>
              <w:jc w:val="right"/>
              <w:rPr>
                <w:rFonts w:eastAsia="Times New Roman"/>
                <w:sz w:val="20"/>
                <w:szCs w:val="20"/>
              </w:rPr>
            </w:pPr>
            <w:r>
              <w:rPr>
                <w:rFonts w:eastAsia="Times New Roman"/>
                <w:sz w:val="18"/>
                <w:szCs w:val="18"/>
              </w:rPr>
              <w:t>13,108,092</w:t>
            </w:r>
          </w:p>
        </w:tc>
        <w:tc>
          <w:tcPr>
            <w:tcW w:w="0" w:type="auto"/>
            <w:shd w:val="clear" w:color="auto" w:fill="FFFFFF"/>
            <w:tcMar>
              <w:top w:w="0" w:type="dxa"/>
              <w:left w:w="0" w:type="dxa"/>
              <w:bottom w:w="50" w:type="dxa"/>
              <w:right w:w="0" w:type="dxa"/>
            </w:tcMar>
            <w:vAlign w:val="bottom"/>
            <w:hideMark/>
          </w:tcPr>
          <w:p w14:paraId="3B4095D6"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37C104F0"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02E74EFF"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7ECE3E03" w14:textId="77777777" w:rsidR="00000000" w:rsidRDefault="009027A3">
            <w:pPr>
              <w:jc w:val="right"/>
              <w:rPr>
                <w:rFonts w:eastAsia="Times New Roman"/>
                <w:sz w:val="20"/>
                <w:szCs w:val="20"/>
              </w:rPr>
            </w:pPr>
            <w:r>
              <w:rPr>
                <w:rFonts w:eastAsia="Times New Roman"/>
                <w:sz w:val="18"/>
                <w:szCs w:val="18"/>
              </w:rPr>
              <w:t>13</w:t>
            </w:r>
          </w:p>
        </w:tc>
        <w:tc>
          <w:tcPr>
            <w:tcW w:w="0" w:type="auto"/>
            <w:shd w:val="clear" w:color="auto" w:fill="FFFFFF"/>
            <w:tcMar>
              <w:top w:w="0" w:type="dxa"/>
              <w:left w:w="0" w:type="dxa"/>
              <w:bottom w:w="50" w:type="dxa"/>
              <w:right w:w="0" w:type="dxa"/>
            </w:tcMar>
            <w:vAlign w:val="bottom"/>
            <w:hideMark/>
          </w:tcPr>
          <w:p w14:paraId="492DEDD5"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0209CEC9"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4D4EB6A8"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5FC2295E" w14:textId="77777777" w:rsidR="00000000" w:rsidRDefault="009027A3">
            <w:pPr>
              <w:jc w:val="right"/>
              <w:rPr>
                <w:rFonts w:eastAsia="Times New Roman"/>
                <w:sz w:val="20"/>
                <w:szCs w:val="20"/>
              </w:rPr>
            </w:pPr>
            <w:r>
              <w:rPr>
                <w:rFonts w:eastAsia="Times New Roman"/>
                <w:sz w:val="18"/>
                <w:szCs w:val="18"/>
              </w:rPr>
              <w:t>86,853</w:t>
            </w:r>
          </w:p>
        </w:tc>
        <w:tc>
          <w:tcPr>
            <w:tcW w:w="0" w:type="auto"/>
            <w:shd w:val="clear" w:color="auto" w:fill="FFFFFF"/>
            <w:tcMar>
              <w:top w:w="0" w:type="dxa"/>
              <w:left w:w="0" w:type="dxa"/>
              <w:bottom w:w="50" w:type="dxa"/>
              <w:right w:w="0" w:type="dxa"/>
            </w:tcMar>
            <w:vAlign w:val="bottom"/>
            <w:hideMark/>
          </w:tcPr>
          <w:p w14:paraId="36B9DFEE" w14:textId="77777777" w:rsidR="00000000" w:rsidRDefault="009027A3">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14:paraId="13D06CB4"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DE6F48E"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6040CA25" w14:textId="77777777" w:rsidR="00000000" w:rsidRDefault="009027A3">
            <w:pPr>
              <w:jc w:val="right"/>
              <w:rPr>
                <w:rFonts w:eastAsia="Times New Roman"/>
                <w:sz w:val="20"/>
                <w:szCs w:val="20"/>
              </w:rPr>
            </w:pPr>
            <w:r>
              <w:rPr>
                <w:rFonts w:eastAsia="Times New Roman"/>
                <w:sz w:val="18"/>
                <w:szCs w:val="18"/>
              </w:rPr>
              <w:t>(27,577</w:t>
            </w:r>
          </w:p>
        </w:tc>
        <w:tc>
          <w:tcPr>
            <w:tcW w:w="0" w:type="auto"/>
            <w:shd w:val="clear" w:color="auto" w:fill="FFFFFF"/>
            <w:tcMar>
              <w:top w:w="0" w:type="dxa"/>
              <w:left w:w="0" w:type="dxa"/>
              <w:bottom w:w="50" w:type="dxa"/>
              <w:right w:w="0" w:type="dxa"/>
            </w:tcMar>
            <w:vAlign w:val="bottom"/>
            <w:hideMark/>
          </w:tcPr>
          <w:p w14:paraId="3097D020"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4B181791"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764CFB80"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025957F0" w14:textId="77777777" w:rsidR="00000000" w:rsidRDefault="009027A3">
            <w:pPr>
              <w:jc w:val="right"/>
              <w:rPr>
                <w:rFonts w:eastAsia="Times New Roman"/>
                <w:sz w:val="20"/>
                <w:szCs w:val="20"/>
              </w:rPr>
            </w:pPr>
            <w:r>
              <w:rPr>
                <w:rFonts w:eastAsia="Times New Roman"/>
                <w:sz w:val="18"/>
                <w:szCs w:val="18"/>
              </w:rPr>
              <w:t>(1,433</w:t>
            </w:r>
          </w:p>
        </w:tc>
        <w:tc>
          <w:tcPr>
            <w:tcW w:w="0" w:type="auto"/>
            <w:shd w:val="clear" w:color="auto" w:fill="FFFFFF"/>
            <w:tcMar>
              <w:top w:w="0" w:type="dxa"/>
              <w:left w:w="0" w:type="dxa"/>
              <w:bottom w:w="50" w:type="dxa"/>
              <w:right w:w="0" w:type="dxa"/>
            </w:tcMar>
            <w:vAlign w:val="bottom"/>
            <w:hideMark/>
          </w:tcPr>
          <w:p w14:paraId="388F3E2C"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6A50E95D"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3D157B4A"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7C278BF0" w14:textId="77777777" w:rsidR="00000000" w:rsidRDefault="009027A3">
            <w:pPr>
              <w:jc w:val="right"/>
              <w:rPr>
                <w:rFonts w:eastAsia="Times New Roman"/>
                <w:sz w:val="20"/>
                <w:szCs w:val="20"/>
              </w:rPr>
            </w:pPr>
            <w:r>
              <w:rPr>
                <w:rFonts w:eastAsia="Times New Roman"/>
                <w:sz w:val="18"/>
                <w:szCs w:val="18"/>
              </w:rPr>
              <w:t>(662</w:t>
            </w:r>
          </w:p>
        </w:tc>
        <w:tc>
          <w:tcPr>
            <w:tcW w:w="0" w:type="auto"/>
            <w:shd w:val="clear" w:color="auto" w:fill="FFFFFF"/>
            <w:tcMar>
              <w:top w:w="0" w:type="dxa"/>
              <w:left w:w="0" w:type="dxa"/>
              <w:bottom w:w="50" w:type="dxa"/>
              <w:right w:w="0" w:type="dxa"/>
            </w:tcMar>
            <w:vAlign w:val="bottom"/>
            <w:hideMark/>
          </w:tcPr>
          <w:p w14:paraId="14307006" w14:textId="77777777" w:rsidR="00000000" w:rsidRDefault="009027A3">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14:paraId="21465725" w14:textId="77777777" w:rsidR="00000000" w:rsidRDefault="009027A3">
            <w:pPr>
              <w:rPr>
                <w:rFonts w:eastAsia="Times New Roman"/>
                <w:sz w:val="20"/>
                <w:szCs w:val="20"/>
              </w:rPr>
            </w:pPr>
            <w:r>
              <w:rPr>
                <w:rFonts w:eastAsia="Times New Roman"/>
                <w:sz w:val="18"/>
                <w:szCs w:val="18"/>
              </w:rPr>
              <w:t> </w:t>
            </w:r>
          </w:p>
        </w:tc>
        <w:tc>
          <w:tcPr>
            <w:tcW w:w="0" w:type="auto"/>
            <w:tcBorders>
              <w:bottom w:val="double" w:sz="6" w:space="0" w:color="000000"/>
            </w:tcBorders>
            <w:shd w:val="clear" w:color="auto" w:fill="FFFFFF"/>
            <w:vAlign w:val="bottom"/>
            <w:hideMark/>
          </w:tcPr>
          <w:p w14:paraId="2289EC6D" w14:textId="77777777" w:rsidR="00000000" w:rsidRDefault="009027A3">
            <w:pPr>
              <w:rPr>
                <w:rFonts w:eastAsia="Times New Roman"/>
                <w:sz w:val="20"/>
                <w:szCs w:val="20"/>
              </w:rPr>
            </w:pPr>
            <w:r>
              <w:rPr>
                <w:rFonts w:eastAsia="Times New Roman"/>
                <w:sz w:val="18"/>
                <w:szCs w:val="18"/>
              </w:rPr>
              <w:t>$</w:t>
            </w:r>
          </w:p>
        </w:tc>
        <w:tc>
          <w:tcPr>
            <w:tcW w:w="0" w:type="auto"/>
            <w:tcBorders>
              <w:bottom w:val="double" w:sz="6" w:space="0" w:color="000000"/>
            </w:tcBorders>
            <w:shd w:val="clear" w:color="auto" w:fill="FFFFFF"/>
            <w:vAlign w:val="bottom"/>
            <w:hideMark/>
          </w:tcPr>
          <w:p w14:paraId="203FDE1A" w14:textId="77777777" w:rsidR="00000000" w:rsidRDefault="009027A3">
            <w:pPr>
              <w:jc w:val="right"/>
              <w:rPr>
                <w:rFonts w:eastAsia="Times New Roman"/>
                <w:sz w:val="20"/>
                <w:szCs w:val="20"/>
              </w:rPr>
            </w:pPr>
            <w:r>
              <w:rPr>
                <w:rFonts w:eastAsia="Times New Roman"/>
                <w:sz w:val="18"/>
                <w:szCs w:val="18"/>
              </w:rPr>
              <w:t>57,197</w:t>
            </w:r>
          </w:p>
        </w:tc>
        <w:tc>
          <w:tcPr>
            <w:tcW w:w="0" w:type="auto"/>
            <w:shd w:val="clear" w:color="auto" w:fill="FFFFFF"/>
            <w:tcMar>
              <w:top w:w="0" w:type="dxa"/>
              <w:left w:w="0" w:type="dxa"/>
              <w:bottom w:w="50" w:type="dxa"/>
              <w:right w:w="0" w:type="dxa"/>
            </w:tcMar>
            <w:vAlign w:val="bottom"/>
            <w:hideMark/>
          </w:tcPr>
          <w:p w14:paraId="4D385061" w14:textId="77777777" w:rsidR="00000000" w:rsidRDefault="009027A3">
            <w:pPr>
              <w:rPr>
                <w:rFonts w:eastAsia="Times New Roman"/>
                <w:sz w:val="20"/>
                <w:szCs w:val="20"/>
              </w:rPr>
            </w:pPr>
            <w:r>
              <w:rPr>
                <w:rFonts w:eastAsia="Times New Roman"/>
                <w:sz w:val="18"/>
                <w:szCs w:val="18"/>
              </w:rPr>
              <w:t> </w:t>
            </w:r>
          </w:p>
        </w:tc>
      </w:tr>
    </w:tbl>
    <w:p w14:paraId="699C90B1" w14:textId="77777777" w:rsidR="00000000" w:rsidRDefault="009027A3">
      <w:pPr>
        <w:pStyle w:val="a3"/>
        <w:spacing w:before="0" w:beforeAutospacing="0" w:after="0" w:afterAutospacing="0"/>
        <w:rPr>
          <w:sz w:val="20"/>
          <w:szCs w:val="20"/>
        </w:rPr>
      </w:pPr>
      <w:r>
        <w:rPr>
          <w:sz w:val="20"/>
          <w:szCs w:val="20"/>
        </w:rPr>
        <w:t> </w:t>
      </w:r>
    </w:p>
    <w:p w14:paraId="3667D574" w14:textId="77777777" w:rsidR="00000000" w:rsidRDefault="009027A3">
      <w:pPr>
        <w:pStyle w:val="a3"/>
        <w:spacing w:before="0" w:beforeAutospacing="0" w:after="0" w:afterAutospacing="0"/>
        <w:rPr>
          <w:sz w:val="20"/>
          <w:szCs w:val="20"/>
        </w:rPr>
      </w:pPr>
      <w:r>
        <w:rPr>
          <w:sz w:val="20"/>
          <w:szCs w:val="20"/>
        </w:rPr>
        <w:t>For all periods presented, the preferred stock dividends were paid monthly at the rate of $2.75 per share per annum.</w:t>
      </w:r>
    </w:p>
    <w:p w14:paraId="4874A658" w14:textId="77777777" w:rsidR="00000000" w:rsidRDefault="009027A3">
      <w:pPr>
        <w:pStyle w:val="a3"/>
        <w:spacing w:before="0" w:beforeAutospacing="0" w:after="0" w:afterAutospacing="0"/>
        <w:rPr>
          <w:sz w:val="20"/>
          <w:szCs w:val="20"/>
        </w:rPr>
      </w:pPr>
      <w:r>
        <w:rPr>
          <w:sz w:val="20"/>
          <w:szCs w:val="20"/>
        </w:rPr>
        <w:t> </w:t>
      </w:r>
    </w:p>
    <w:p w14:paraId="3E1E6AB1" w14:textId="77777777" w:rsidR="00000000" w:rsidRDefault="009027A3">
      <w:pPr>
        <w:pStyle w:val="a3"/>
        <w:spacing w:before="0" w:beforeAutospacing="0" w:after="0" w:afterAutospacing="0"/>
        <w:rPr>
          <w:sz w:val="20"/>
          <w:szCs w:val="20"/>
        </w:rPr>
      </w:pPr>
      <w:r>
        <w:rPr>
          <w:sz w:val="20"/>
          <w:szCs w:val="20"/>
        </w:rPr>
        <w:t>See notes to condensed consolidated financial statements.</w:t>
      </w:r>
    </w:p>
    <w:p w14:paraId="2FEFD148"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41A9DBE" w14:textId="77777777">
        <w:trPr>
          <w:divId w:val="1300569907"/>
        </w:trPr>
        <w:tc>
          <w:tcPr>
            <w:tcW w:w="5000" w:type="pct"/>
            <w:hideMark/>
          </w:tcPr>
          <w:p w14:paraId="1E3C8DDA" w14:textId="77777777" w:rsidR="00000000" w:rsidRDefault="009027A3">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2A4B2011" w14:textId="77777777">
        <w:tc>
          <w:tcPr>
            <w:tcW w:w="5000" w:type="pct"/>
            <w:hideMark/>
          </w:tcPr>
          <w:p w14:paraId="5C2248AE" w14:textId="77777777" w:rsidR="00000000" w:rsidRDefault="009027A3">
            <w:pPr>
              <w:rPr>
                <w:rFonts w:eastAsia="Times New Roman"/>
                <w:sz w:val="20"/>
                <w:szCs w:val="20"/>
              </w:rPr>
            </w:pPr>
            <w:r>
              <w:rPr>
                <w:rFonts w:eastAsia="Times New Roman"/>
                <w:sz w:val="20"/>
                <w:szCs w:val="20"/>
              </w:rPr>
              <w:t> </w:t>
            </w:r>
          </w:p>
        </w:tc>
      </w:tr>
    </w:tbl>
    <w:p w14:paraId="1F19F263" w14:textId="77777777" w:rsidR="00000000" w:rsidRDefault="009027A3">
      <w:pPr>
        <w:pStyle w:val="a3"/>
        <w:spacing w:before="0" w:beforeAutospacing="0" w:after="0" w:afterAutospacing="0"/>
        <w:rPr>
          <w:sz w:val="20"/>
          <w:szCs w:val="20"/>
        </w:rPr>
      </w:pPr>
      <w:r>
        <w:rPr>
          <w:sz w:val="20"/>
          <w:szCs w:val="20"/>
        </w:rPr>
        <w:t> </w:t>
      </w:r>
    </w:p>
    <w:p w14:paraId="41747B02" w14:textId="77777777" w:rsidR="00000000" w:rsidRDefault="009027A3">
      <w:pPr>
        <w:pStyle w:val="a3"/>
        <w:spacing w:before="0" w:beforeAutospacing="0" w:after="0" w:afterAutospacing="0"/>
        <w:jc w:val="center"/>
        <w:rPr>
          <w:sz w:val="20"/>
          <w:szCs w:val="20"/>
        </w:rPr>
      </w:pPr>
      <w:r>
        <w:rPr>
          <w:b/>
          <w:bCs/>
          <w:sz w:val="20"/>
          <w:szCs w:val="20"/>
        </w:rPr>
        <w:t>CARECLOUD, INC.</w:t>
      </w:r>
    </w:p>
    <w:p w14:paraId="2C9FDAAA" w14:textId="77777777" w:rsidR="00000000" w:rsidRDefault="009027A3">
      <w:pPr>
        <w:pStyle w:val="a3"/>
        <w:spacing w:before="0" w:beforeAutospacing="0" w:after="0" w:afterAutospacing="0"/>
        <w:jc w:val="center"/>
        <w:rPr>
          <w:sz w:val="20"/>
          <w:szCs w:val="20"/>
        </w:rPr>
      </w:pPr>
      <w:bookmarkStart w:id="6" w:name="a_006"/>
      <w:bookmarkEnd w:id="6"/>
      <w:r>
        <w:rPr>
          <w:b/>
          <w:bCs/>
          <w:sz w:val="20"/>
          <w:szCs w:val="20"/>
        </w:rPr>
        <w:t>CONDENSED CONSOLIDATED STATEMENTS OF CASH FLOWS (UNAUDITED)</w:t>
      </w:r>
    </w:p>
    <w:p w14:paraId="0B94648F" w14:textId="77777777" w:rsidR="00000000" w:rsidRDefault="009027A3">
      <w:pPr>
        <w:pStyle w:val="a3"/>
        <w:spacing w:before="0" w:beforeAutospacing="0" w:after="0" w:afterAutospacing="0"/>
        <w:jc w:val="center"/>
        <w:rPr>
          <w:sz w:val="20"/>
          <w:szCs w:val="20"/>
        </w:rPr>
      </w:pPr>
      <w:r>
        <w:rPr>
          <w:b/>
          <w:bCs/>
          <w:sz w:val="20"/>
          <w:szCs w:val="20"/>
        </w:rPr>
        <w:t>FOR THE THREE MONTHS ENDED MARCH 31, 2021 AND 2020</w:t>
      </w:r>
    </w:p>
    <w:p w14:paraId="56E26949" w14:textId="77777777" w:rsidR="00000000" w:rsidRDefault="009027A3">
      <w:pPr>
        <w:pStyle w:val="a3"/>
        <w:spacing w:before="0" w:beforeAutospacing="0" w:after="0" w:afterAutospacing="0"/>
        <w:jc w:val="center"/>
        <w:rPr>
          <w:sz w:val="20"/>
          <w:szCs w:val="20"/>
        </w:rPr>
      </w:pPr>
      <w:r>
        <w:rPr>
          <w:sz w:val="20"/>
          <w:szCs w:val="20"/>
        </w:rPr>
        <w:t>(</w:t>
      </w:r>
      <w:r>
        <w:rPr>
          <w:sz w:val="20"/>
          <w:szCs w:val="20"/>
          <w:u w:val="single"/>
        </w:rPr>
        <w:t>$ in thousands</w:t>
      </w:r>
      <w:r>
        <w:rPr>
          <w:sz w:val="20"/>
          <w:szCs w:val="20"/>
        </w:rPr>
        <w:t>)</w:t>
      </w:r>
    </w:p>
    <w:p w14:paraId="46EDFD38"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41C1FDE2" w14:textId="77777777">
        <w:tc>
          <w:tcPr>
            <w:tcW w:w="0" w:type="auto"/>
            <w:vAlign w:val="bottom"/>
            <w:hideMark/>
          </w:tcPr>
          <w:p w14:paraId="3318362B"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42E2EDE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CCBDE9"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vAlign w:val="bottom"/>
            <w:hideMark/>
          </w:tcPr>
          <w:p w14:paraId="479E6012" w14:textId="77777777" w:rsidR="00000000" w:rsidRDefault="009027A3">
            <w:pPr>
              <w:rPr>
                <w:rFonts w:eastAsia="Times New Roman"/>
                <w:b/>
                <w:bCs/>
                <w:sz w:val="20"/>
                <w:szCs w:val="20"/>
              </w:rPr>
            </w:pPr>
            <w:r>
              <w:rPr>
                <w:rFonts w:eastAsia="Times New Roman"/>
                <w:b/>
                <w:bCs/>
                <w:sz w:val="20"/>
                <w:szCs w:val="20"/>
              </w:rPr>
              <w:t> </w:t>
            </w:r>
          </w:p>
        </w:tc>
        <w:tc>
          <w:tcPr>
            <w:tcW w:w="0" w:type="auto"/>
            <w:vAlign w:val="bottom"/>
            <w:hideMark/>
          </w:tcPr>
          <w:p w14:paraId="21D876DF"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5504CF"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vAlign w:val="bottom"/>
            <w:hideMark/>
          </w:tcPr>
          <w:p w14:paraId="40A62ABA" w14:textId="77777777" w:rsidR="00000000" w:rsidRDefault="009027A3">
            <w:pPr>
              <w:rPr>
                <w:rFonts w:eastAsia="Times New Roman"/>
                <w:b/>
                <w:bCs/>
                <w:sz w:val="20"/>
                <w:szCs w:val="20"/>
              </w:rPr>
            </w:pPr>
            <w:r>
              <w:rPr>
                <w:rFonts w:eastAsia="Times New Roman"/>
                <w:b/>
                <w:bCs/>
                <w:sz w:val="20"/>
                <w:szCs w:val="20"/>
              </w:rPr>
              <w:t> </w:t>
            </w:r>
          </w:p>
        </w:tc>
      </w:tr>
      <w:tr w:rsidR="00000000" w14:paraId="59CE8D1B" w14:textId="77777777">
        <w:tc>
          <w:tcPr>
            <w:tcW w:w="0" w:type="auto"/>
            <w:shd w:val="clear" w:color="auto" w:fill="CCEEFF"/>
            <w:vAlign w:val="bottom"/>
            <w:hideMark/>
          </w:tcPr>
          <w:p w14:paraId="4A35988C" w14:textId="77777777" w:rsidR="00000000" w:rsidRDefault="009027A3">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14:paraId="052A1D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283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5919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1F71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43AA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47E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518CA"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B4CAA2" w14:textId="77777777" w:rsidR="00000000" w:rsidRDefault="009027A3">
            <w:pPr>
              <w:rPr>
                <w:rFonts w:eastAsia="Times New Roman"/>
                <w:sz w:val="20"/>
                <w:szCs w:val="20"/>
              </w:rPr>
            </w:pPr>
            <w:r>
              <w:rPr>
                <w:rFonts w:eastAsia="Times New Roman"/>
                <w:sz w:val="20"/>
                <w:szCs w:val="20"/>
              </w:rPr>
              <w:t> </w:t>
            </w:r>
          </w:p>
        </w:tc>
      </w:tr>
      <w:tr w:rsidR="00000000" w14:paraId="23160881" w14:textId="77777777">
        <w:tc>
          <w:tcPr>
            <w:tcW w:w="3000" w:type="pct"/>
            <w:shd w:val="clear" w:color="auto" w:fill="FFFFFF"/>
            <w:vAlign w:val="bottom"/>
            <w:hideMark/>
          </w:tcPr>
          <w:p w14:paraId="64081FFF" w14:textId="77777777" w:rsidR="00000000" w:rsidRDefault="009027A3">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26C055A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A29D3E"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6877287D" w14:textId="77777777" w:rsidR="00000000" w:rsidRDefault="009027A3">
            <w:pPr>
              <w:jc w:val="right"/>
              <w:rPr>
                <w:rFonts w:eastAsia="Times New Roman"/>
                <w:sz w:val="20"/>
                <w:szCs w:val="20"/>
              </w:rPr>
            </w:pPr>
            <w:r>
              <w:rPr>
                <w:rFonts w:eastAsia="Times New Roman"/>
                <w:sz w:val="20"/>
                <w:szCs w:val="20"/>
              </w:rPr>
              <w:t>(1,964</w:t>
            </w:r>
          </w:p>
        </w:tc>
        <w:tc>
          <w:tcPr>
            <w:tcW w:w="50" w:type="pct"/>
            <w:shd w:val="clear" w:color="auto" w:fill="FFFFFF"/>
            <w:vAlign w:val="bottom"/>
            <w:hideMark/>
          </w:tcPr>
          <w:p w14:paraId="3E5942DD" w14:textId="77777777" w:rsidR="00000000" w:rsidRDefault="009027A3">
            <w:pPr>
              <w:rPr>
                <w:rFonts w:eastAsia="Times New Roman"/>
                <w:sz w:val="20"/>
                <w:szCs w:val="20"/>
              </w:rPr>
            </w:pPr>
            <w:r>
              <w:rPr>
                <w:rFonts w:eastAsia="Times New Roman"/>
                <w:sz w:val="20"/>
                <w:szCs w:val="20"/>
              </w:rPr>
              <w:t>)</w:t>
            </w:r>
          </w:p>
        </w:tc>
        <w:tc>
          <w:tcPr>
            <w:tcW w:w="100" w:type="pct"/>
            <w:shd w:val="clear" w:color="auto" w:fill="FFFFFF"/>
            <w:vAlign w:val="bottom"/>
            <w:hideMark/>
          </w:tcPr>
          <w:p w14:paraId="0166F101"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38693C"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402A13A4" w14:textId="77777777" w:rsidR="00000000" w:rsidRDefault="009027A3">
            <w:pPr>
              <w:jc w:val="right"/>
              <w:rPr>
                <w:rFonts w:eastAsia="Times New Roman"/>
                <w:sz w:val="20"/>
                <w:szCs w:val="20"/>
              </w:rPr>
            </w:pPr>
            <w:r>
              <w:rPr>
                <w:rFonts w:eastAsia="Times New Roman"/>
                <w:sz w:val="20"/>
                <w:szCs w:val="20"/>
              </w:rPr>
              <w:t>(2,502</w:t>
            </w:r>
          </w:p>
        </w:tc>
        <w:tc>
          <w:tcPr>
            <w:tcW w:w="50" w:type="pct"/>
            <w:shd w:val="clear" w:color="auto" w:fill="FFFFFF"/>
            <w:vAlign w:val="bottom"/>
            <w:hideMark/>
          </w:tcPr>
          <w:p w14:paraId="29404EA6" w14:textId="77777777" w:rsidR="00000000" w:rsidRDefault="009027A3">
            <w:pPr>
              <w:rPr>
                <w:rFonts w:eastAsia="Times New Roman"/>
                <w:sz w:val="20"/>
                <w:szCs w:val="20"/>
              </w:rPr>
            </w:pPr>
            <w:r>
              <w:rPr>
                <w:rFonts w:eastAsia="Times New Roman"/>
                <w:sz w:val="20"/>
                <w:szCs w:val="20"/>
              </w:rPr>
              <w:t>)</w:t>
            </w:r>
          </w:p>
        </w:tc>
      </w:tr>
      <w:tr w:rsidR="00000000" w14:paraId="727014F5" w14:textId="77777777">
        <w:tc>
          <w:tcPr>
            <w:tcW w:w="0" w:type="auto"/>
            <w:shd w:val="clear" w:color="auto" w:fill="CCEEFF"/>
            <w:vAlign w:val="bottom"/>
            <w:hideMark/>
          </w:tcPr>
          <w:p w14:paraId="1F50FA4F" w14:textId="77777777" w:rsidR="00000000" w:rsidRDefault="009027A3">
            <w:pPr>
              <w:rPr>
                <w:rFonts w:eastAsia="Times New Roman"/>
                <w:sz w:val="20"/>
                <w:szCs w:val="20"/>
              </w:rPr>
            </w:pPr>
            <w:r>
              <w:rPr>
                <w:rFonts w:eastAsia="Times New Roman"/>
                <w:sz w:val="20"/>
                <w:szCs w:val="20"/>
              </w:rPr>
              <w:t>Adjustments to reconcile net loss to net cash provided by (used in) operating activities:</w:t>
            </w:r>
          </w:p>
        </w:tc>
        <w:tc>
          <w:tcPr>
            <w:tcW w:w="0" w:type="auto"/>
            <w:shd w:val="clear" w:color="auto" w:fill="CCEEFF"/>
            <w:vAlign w:val="bottom"/>
            <w:hideMark/>
          </w:tcPr>
          <w:p w14:paraId="009F5A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F7FA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E0904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0B766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AA8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E22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823B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A01C72" w14:textId="77777777" w:rsidR="00000000" w:rsidRDefault="009027A3">
            <w:pPr>
              <w:rPr>
                <w:rFonts w:eastAsia="Times New Roman"/>
                <w:sz w:val="20"/>
                <w:szCs w:val="20"/>
              </w:rPr>
            </w:pPr>
            <w:r>
              <w:rPr>
                <w:rFonts w:eastAsia="Times New Roman"/>
                <w:sz w:val="20"/>
                <w:szCs w:val="20"/>
              </w:rPr>
              <w:t> </w:t>
            </w:r>
          </w:p>
        </w:tc>
      </w:tr>
      <w:tr w:rsidR="00000000" w14:paraId="334212C8" w14:textId="77777777">
        <w:tc>
          <w:tcPr>
            <w:tcW w:w="0" w:type="auto"/>
            <w:shd w:val="clear" w:color="auto" w:fill="FFFFFF"/>
            <w:tcMar>
              <w:top w:w="0" w:type="dxa"/>
              <w:left w:w="200" w:type="dxa"/>
              <w:bottom w:w="0" w:type="dxa"/>
              <w:right w:w="0" w:type="dxa"/>
            </w:tcMar>
            <w:vAlign w:val="bottom"/>
            <w:hideMark/>
          </w:tcPr>
          <w:p w14:paraId="50E0E926"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5F5D313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6FA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7DE8C" w14:textId="77777777" w:rsidR="00000000" w:rsidRDefault="009027A3">
            <w:pPr>
              <w:jc w:val="right"/>
              <w:rPr>
                <w:rFonts w:eastAsia="Times New Roman"/>
                <w:sz w:val="20"/>
                <w:szCs w:val="20"/>
              </w:rPr>
            </w:pPr>
            <w:r>
              <w:rPr>
                <w:rFonts w:eastAsia="Times New Roman"/>
                <w:sz w:val="20"/>
                <w:szCs w:val="20"/>
              </w:rPr>
              <w:t>2,945</w:t>
            </w:r>
          </w:p>
        </w:tc>
        <w:tc>
          <w:tcPr>
            <w:tcW w:w="0" w:type="auto"/>
            <w:shd w:val="clear" w:color="auto" w:fill="FFFFFF"/>
            <w:vAlign w:val="bottom"/>
            <w:hideMark/>
          </w:tcPr>
          <w:p w14:paraId="6F6198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2235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B341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D4B977" w14:textId="77777777" w:rsidR="00000000" w:rsidRDefault="009027A3">
            <w:pPr>
              <w:jc w:val="right"/>
              <w:rPr>
                <w:rFonts w:eastAsia="Times New Roman"/>
                <w:sz w:val="20"/>
                <w:szCs w:val="20"/>
              </w:rPr>
            </w:pPr>
            <w:r>
              <w:rPr>
                <w:rFonts w:eastAsia="Times New Roman"/>
                <w:sz w:val="20"/>
                <w:szCs w:val="20"/>
              </w:rPr>
              <w:t>1,504</w:t>
            </w:r>
          </w:p>
        </w:tc>
        <w:tc>
          <w:tcPr>
            <w:tcW w:w="0" w:type="auto"/>
            <w:shd w:val="clear" w:color="auto" w:fill="FFFFFF"/>
            <w:vAlign w:val="bottom"/>
            <w:hideMark/>
          </w:tcPr>
          <w:p w14:paraId="74DBE737" w14:textId="77777777" w:rsidR="00000000" w:rsidRDefault="009027A3">
            <w:pPr>
              <w:rPr>
                <w:rFonts w:eastAsia="Times New Roman"/>
                <w:sz w:val="20"/>
                <w:szCs w:val="20"/>
              </w:rPr>
            </w:pPr>
            <w:r>
              <w:rPr>
                <w:rFonts w:eastAsia="Times New Roman"/>
                <w:sz w:val="20"/>
                <w:szCs w:val="20"/>
              </w:rPr>
              <w:t> </w:t>
            </w:r>
          </w:p>
        </w:tc>
      </w:tr>
      <w:tr w:rsidR="00000000" w14:paraId="7A708E97" w14:textId="77777777">
        <w:tc>
          <w:tcPr>
            <w:tcW w:w="0" w:type="auto"/>
            <w:shd w:val="clear" w:color="auto" w:fill="CCEEFF"/>
            <w:tcMar>
              <w:top w:w="0" w:type="dxa"/>
              <w:left w:w="200" w:type="dxa"/>
              <w:bottom w:w="0" w:type="dxa"/>
              <w:right w:w="0" w:type="dxa"/>
            </w:tcMar>
            <w:vAlign w:val="bottom"/>
            <w:hideMark/>
          </w:tcPr>
          <w:p w14:paraId="08D7486B" w14:textId="77777777" w:rsidR="00000000" w:rsidRDefault="009027A3">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14:paraId="4601E87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014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E4BBC" w14:textId="77777777" w:rsidR="00000000" w:rsidRDefault="009027A3">
            <w:pPr>
              <w:jc w:val="right"/>
              <w:rPr>
                <w:rFonts w:eastAsia="Times New Roman"/>
                <w:sz w:val="20"/>
                <w:szCs w:val="20"/>
              </w:rPr>
            </w:pPr>
            <w:r>
              <w:rPr>
                <w:rFonts w:eastAsia="Times New Roman"/>
                <w:sz w:val="20"/>
                <w:szCs w:val="20"/>
              </w:rPr>
              <w:t>728</w:t>
            </w:r>
          </w:p>
        </w:tc>
        <w:tc>
          <w:tcPr>
            <w:tcW w:w="0" w:type="auto"/>
            <w:shd w:val="clear" w:color="auto" w:fill="CCEEFF"/>
            <w:vAlign w:val="bottom"/>
            <w:hideMark/>
          </w:tcPr>
          <w:p w14:paraId="455C747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DCF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46F71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35752" w14:textId="77777777" w:rsidR="00000000" w:rsidRDefault="009027A3">
            <w:pPr>
              <w:jc w:val="right"/>
              <w:rPr>
                <w:rFonts w:eastAsia="Times New Roman"/>
                <w:sz w:val="20"/>
                <w:szCs w:val="20"/>
              </w:rPr>
            </w:pPr>
            <w:r>
              <w:rPr>
                <w:rFonts w:eastAsia="Times New Roman"/>
                <w:sz w:val="20"/>
                <w:szCs w:val="20"/>
              </w:rPr>
              <w:t>684</w:t>
            </w:r>
          </w:p>
        </w:tc>
        <w:tc>
          <w:tcPr>
            <w:tcW w:w="0" w:type="auto"/>
            <w:shd w:val="clear" w:color="auto" w:fill="CCEEFF"/>
            <w:vAlign w:val="bottom"/>
            <w:hideMark/>
          </w:tcPr>
          <w:p w14:paraId="3EB9D6C1" w14:textId="77777777" w:rsidR="00000000" w:rsidRDefault="009027A3">
            <w:pPr>
              <w:rPr>
                <w:rFonts w:eastAsia="Times New Roman"/>
                <w:sz w:val="20"/>
                <w:szCs w:val="20"/>
              </w:rPr>
            </w:pPr>
            <w:r>
              <w:rPr>
                <w:rFonts w:eastAsia="Times New Roman"/>
                <w:sz w:val="20"/>
                <w:szCs w:val="20"/>
              </w:rPr>
              <w:t> </w:t>
            </w:r>
          </w:p>
        </w:tc>
      </w:tr>
      <w:tr w:rsidR="00000000" w14:paraId="5B8EE518" w14:textId="77777777">
        <w:tc>
          <w:tcPr>
            <w:tcW w:w="0" w:type="auto"/>
            <w:shd w:val="clear" w:color="auto" w:fill="FFFFFF"/>
            <w:tcMar>
              <w:top w:w="0" w:type="dxa"/>
              <w:left w:w="200" w:type="dxa"/>
              <w:bottom w:w="0" w:type="dxa"/>
              <w:right w:w="0" w:type="dxa"/>
            </w:tcMar>
            <w:vAlign w:val="bottom"/>
            <w:hideMark/>
          </w:tcPr>
          <w:p w14:paraId="4B1B26F3" w14:textId="77777777" w:rsidR="00000000" w:rsidRDefault="009027A3">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6BB207E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6EC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EAB72" w14:textId="77777777" w:rsidR="00000000" w:rsidRDefault="009027A3">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25042A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994C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DD7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0C6E8" w14:textId="77777777" w:rsidR="00000000" w:rsidRDefault="009027A3">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14:paraId="309B9424" w14:textId="77777777" w:rsidR="00000000" w:rsidRDefault="009027A3">
            <w:pPr>
              <w:rPr>
                <w:rFonts w:eastAsia="Times New Roman"/>
                <w:sz w:val="20"/>
                <w:szCs w:val="20"/>
              </w:rPr>
            </w:pPr>
            <w:r>
              <w:rPr>
                <w:rFonts w:eastAsia="Times New Roman"/>
                <w:sz w:val="20"/>
                <w:szCs w:val="20"/>
              </w:rPr>
              <w:t>)</w:t>
            </w:r>
          </w:p>
        </w:tc>
      </w:tr>
      <w:tr w:rsidR="00000000" w14:paraId="70C42DC7" w14:textId="77777777">
        <w:tc>
          <w:tcPr>
            <w:tcW w:w="0" w:type="auto"/>
            <w:shd w:val="clear" w:color="auto" w:fill="CCEEFF"/>
            <w:tcMar>
              <w:top w:w="0" w:type="dxa"/>
              <w:left w:w="200" w:type="dxa"/>
              <w:bottom w:w="0" w:type="dxa"/>
              <w:right w:w="0" w:type="dxa"/>
            </w:tcMar>
            <w:vAlign w:val="bottom"/>
            <w:hideMark/>
          </w:tcPr>
          <w:p w14:paraId="13F7B685" w14:textId="77777777" w:rsidR="00000000" w:rsidRDefault="009027A3">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14:paraId="2121B5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4C317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368B1" w14:textId="77777777" w:rsidR="00000000" w:rsidRDefault="009027A3">
            <w:pPr>
              <w:jc w:val="right"/>
              <w:rPr>
                <w:rFonts w:eastAsia="Times New Roman"/>
                <w:sz w:val="20"/>
                <w:szCs w:val="20"/>
              </w:rPr>
            </w:pPr>
            <w:r>
              <w:rPr>
                <w:rFonts w:eastAsia="Times New Roman"/>
                <w:sz w:val="20"/>
                <w:szCs w:val="20"/>
              </w:rPr>
              <w:t>192</w:t>
            </w:r>
          </w:p>
        </w:tc>
        <w:tc>
          <w:tcPr>
            <w:tcW w:w="0" w:type="auto"/>
            <w:shd w:val="clear" w:color="auto" w:fill="CCEEFF"/>
            <w:vAlign w:val="bottom"/>
            <w:hideMark/>
          </w:tcPr>
          <w:p w14:paraId="3EA437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D83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318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79EAE" w14:textId="77777777" w:rsidR="00000000" w:rsidRDefault="009027A3">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14:paraId="304F6436" w14:textId="77777777" w:rsidR="00000000" w:rsidRDefault="009027A3">
            <w:pPr>
              <w:rPr>
                <w:rFonts w:eastAsia="Times New Roman"/>
                <w:sz w:val="20"/>
                <w:szCs w:val="20"/>
              </w:rPr>
            </w:pPr>
            <w:r>
              <w:rPr>
                <w:rFonts w:eastAsia="Times New Roman"/>
                <w:sz w:val="20"/>
                <w:szCs w:val="20"/>
              </w:rPr>
              <w:t> </w:t>
            </w:r>
          </w:p>
        </w:tc>
      </w:tr>
      <w:tr w:rsidR="00000000" w14:paraId="1C2E14AF" w14:textId="77777777">
        <w:tc>
          <w:tcPr>
            <w:tcW w:w="0" w:type="auto"/>
            <w:shd w:val="clear" w:color="auto" w:fill="FFFFFF"/>
            <w:tcMar>
              <w:top w:w="0" w:type="dxa"/>
              <w:left w:w="200" w:type="dxa"/>
              <w:bottom w:w="0" w:type="dxa"/>
              <w:right w:w="0" w:type="dxa"/>
            </w:tcMar>
            <w:vAlign w:val="bottom"/>
            <w:hideMark/>
          </w:tcPr>
          <w:p w14:paraId="311D140B" w14:textId="77777777" w:rsidR="00000000" w:rsidRDefault="009027A3">
            <w:pPr>
              <w:rPr>
                <w:rFonts w:eastAsia="Times New Roman"/>
                <w:sz w:val="20"/>
                <w:szCs w:val="20"/>
              </w:rPr>
            </w:pPr>
            <w:r>
              <w:rPr>
                <w:rFonts w:eastAsia="Times New Roman"/>
                <w:sz w:val="20"/>
                <w:szCs w:val="20"/>
              </w:rPr>
              <w:t>(Benefit) provision for deferred income taxes</w:t>
            </w:r>
          </w:p>
        </w:tc>
        <w:tc>
          <w:tcPr>
            <w:tcW w:w="0" w:type="auto"/>
            <w:shd w:val="clear" w:color="auto" w:fill="FFFFFF"/>
            <w:vAlign w:val="bottom"/>
            <w:hideMark/>
          </w:tcPr>
          <w:p w14:paraId="4396C17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87BE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A61166" w14:textId="77777777" w:rsidR="00000000" w:rsidRDefault="009027A3">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14:paraId="78F6384A"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18DA5E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C0D3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2E313" w14:textId="77777777" w:rsidR="00000000" w:rsidRDefault="009027A3">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290E1450" w14:textId="77777777" w:rsidR="00000000" w:rsidRDefault="009027A3">
            <w:pPr>
              <w:rPr>
                <w:rFonts w:eastAsia="Times New Roman"/>
                <w:sz w:val="20"/>
                <w:szCs w:val="20"/>
              </w:rPr>
            </w:pPr>
            <w:r>
              <w:rPr>
                <w:rFonts w:eastAsia="Times New Roman"/>
                <w:sz w:val="20"/>
                <w:szCs w:val="20"/>
              </w:rPr>
              <w:t> </w:t>
            </w:r>
          </w:p>
        </w:tc>
      </w:tr>
      <w:tr w:rsidR="00000000" w14:paraId="0C33B7A3" w14:textId="77777777">
        <w:tc>
          <w:tcPr>
            <w:tcW w:w="0" w:type="auto"/>
            <w:shd w:val="clear" w:color="auto" w:fill="CCEEFF"/>
            <w:tcMar>
              <w:top w:w="0" w:type="dxa"/>
              <w:left w:w="200" w:type="dxa"/>
              <w:bottom w:w="0" w:type="dxa"/>
              <w:right w:w="0" w:type="dxa"/>
            </w:tcMar>
            <w:vAlign w:val="bottom"/>
            <w:hideMark/>
          </w:tcPr>
          <w:p w14:paraId="2EDC4C53" w14:textId="77777777" w:rsidR="00000000" w:rsidRDefault="009027A3">
            <w:pPr>
              <w:rPr>
                <w:rFonts w:eastAsia="Times New Roman"/>
                <w:sz w:val="20"/>
                <w:szCs w:val="20"/>
              </w:rPr>
            </w:pPr>
            <w:r>
              <w:rPr>
                <w:rFonts w:eastAsia="Times New Roman"/>
                <w:sz w:val="20"/>
                <w:szCs w:val="20"/>
              </w:rPr>
              <w:t>Foreign exchange loss (gain)</w:t>
            </w:r>
          </w:p>
        </w:tc>
        <w:tc>
          <w:tcPr>
            <w:tcW w:w="0" w:type="auto"/>
            <w:shd w:val="clear" w:color="auto" w:fill="CCEEFF"/>
            <w:vAlign w:val="bottom"/>
            <w:hideMark/>
          </w:tcPr>
          <w:p w14:paraId="5468E25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BF394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562AA" w14:textId="77777777" w:rsidR="00000000" w:rsidRDefault="009027A3">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14:paraId="46A6CFA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80BF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0A63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4E2B1" w14:textId="77777777" w:rsidR="00000000" w:rsidRDefault="009027A3">
            <w:pPr>
              <w:jc w:val="right"/>
              <w:rPr>
                <w:rFonts w:eastAsia="Times New Roman"/>
                <w:sz w:val="20"/>
                <w:szCs w:val="20"/>
              </w:rPr>
            </w:pPr>
            <w:r>
              <w:rPr>
                <w:rFonts w:eastAsia="Times New Roman"/>
                <w:sz w:val="20"/>
                <w:szCs w:val="20"/>
              </w:rPr>
              <w:t>(423</w:t>
            </w:r>
          </w:p>
        </w:tc>
        <w:tc>
          <w:tcPr>
            <w:tcW w:w="0" w:type="auto"/>
            <w:shd w:val="clear" w:color="auto" w:fill="CCEEFF"/>
            <w:vAlign w:val="bottom"/>
            <w:hideMark/>
          </w:tcPr>
          <w:p w14:paraId="5C999D48" w14:textId="77777777" w:rsidR="00000000" w:rsidRDefault="009027A3">
            <w:pPr>
              <w:rPr>
                <w:rFonts w:eastAsia="Times New Roman"/>
                <w:sz w:val="20"/>
                <w:szCs w:val="20"/>
              </w:rPr>
            </w:pPr>
            <w:r>
              <w:rPr>
                <w:rFonts w:eastAsia="Times New Roman"/>
                <w:sz w:val="20"/>
                <w:szCs w:val="20"/>
              </w:rPr>
              <w:t>)</w:t>
            </w:r>
          </w:p>
        </w:tc>
      </w:tr>
      <w:tr w:rsidR="00000000" w14:paraId="29EEAB4D" w14:textId="77777777">
        <w:tc>
          <w:tcPr>
            <w:tcW w:w="0" w:type="auto"/>
            <w:shd w:val="clear" w:color="auto" w:fill="FFFFFF"/>
            <w:tcMar>
              <w:top w:w="0" w:type="dxa"/>
              <w:left w:w="200" w:type="dxa"/>
              <w:bottom w:w="0" w:type="dxa"/>
              <w:right w:w="0" w:type="dxa"/>
            </w:tcMar>
            <w:vAlign w:val="bottom"/>
            <w:hideMark/>
          </w:tcPr>
          <w:p w14:paraId="3718B1F2" w14:textId="77777777" w:rsidR="00000000" w:rsidRDefault="009027A3">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14:paraId="496F609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D8515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69A48" w14:textId="77777777" w:rsidR="00000000" w:rsidRDefault="009027A3">
            <w:pPr>
              <w:jc w:val="right"/>
              <w:rPr>
                <w:rFonts w:eastAsia="Times New Roman"/>
                <w:sz w:val="20"/>
                <w:szCs w:val="20"/>
              </w:rPr>
            </w:pPr>
            <w:r>
              <w:rPr>
                <w:rFonts w:eastAsia="Times New Roman"/>
                <w:sz w:val="20"/>
                <w:szCs w:val="20"/>
              </w:rPr>
              <w:t>139</w:t>
            </w:r>
          </w:p>
        </w:tc>
        <w:tc>
          <w:tcPr>
            <w:tcW w:w="0" w:type="auto"/>
            <w:shd w:val="clear" w:color="auto" w:fill="FFFFFF"/>
            <w:vAlign w:val="bottom"/>
            <w:hideMark/>
          </w:tcPr>
          <w:p w14:paraId="19497D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6BB3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1FA6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03016" w14:textId="77777777" w:rsidR="00000000" w:rsidRDefault="009027A3">
            <w:pPr>
              <w:jc w:val="right"/>
              <w:rPr>
                <w:rFonts w:eastAsia="Times New Roman"/>
                <w:sz w:val="20"/>
                <w:szCs w:val="20"/>
              </w:rPr>
            </w:pPr>
            <w:r>
              <w:rPr>
                <w:rFonts w:eastAsia="Times New Roman"/>
                <w:sz w:val="20"/>
                <w:szCs w:val="20"/>
              </w:rPr>
              <w:t>167</w:t>
            </w:r>
          </w:p>
        </w:tc>
        <w:tc>
          <w:tcPr>
            <w:tcW w:w="0" w:type="auto"/>
            <w:shd w:val="clear" w:color="auto" w:fill="FFFFFF"/>
            <w:vAlign w:val="bottom"/>
            <w:hideMark/>
          </w:tcPr>
          <w:p w14:paraId="2B31A0B3" w14:textId="77777777" w:rsidR="00000000" w:rsidRDefault="009027A3">
            <w:pPr>
              <w:rPr>
                <w:rFonts w:eastAsia="Times New Roman"/>
                <w:sz w:val="20"/>
                <w:szCs w:val="20"/>
              </w:rPr>
            </w:pPr>
            <w:r>
              <w:rPr>
                <w:rFonts w:eastAsia="Times New Roman"/>
                <w:sz w:val="20"/>
                <w:szCs w:val="20"/>
              </w:rPr>
              <w:t> </w:t>
            </w:r>
          </w:p>
        </w:tc>
      </w:tr>
      <w:tr w:rsidR="00000000" w14:paraId="7B4C9957" w14:textId="77777777">
        <w:tc>
          <w:tcPr>
            <w:tcW w:w="0" w:type="auto"/>
            <w:shd w:val="clear" w:color="auto" w:fill="CCEEFF"/>
            <w:tcMar>
              <w:top w:w="0" w:type="dxa"/>
              <w:left w:w="200" w:type="dxa"/>
              <w:bottom w:w="0" w:type="dxa"/>
              <w:right w:w="0" w:type="dxa"/>
            </w:tcMar>
            <w:vAlign w:val="bottom"/>
            <w:hideMark/>
          </w:tcPr>
          <w:p w14:paraId="442E6C42" w14:textId="77777777" w:rsidR="00000000" w:rsidRDefault="009027A3">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14:paraId="43FBFE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251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DFCA2"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D190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9F24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50E02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3A67C" w14:textId="77777777" w:rsidR="00000000" w:rsidRDefault="009027A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0106C1FC" w14:textId="77777777" w:rsidR="00000000" w:rsidRDefault="009027A3">
            <w:pPr>
              <w:rPr>
                <w:rFonts w:eastAsia="Times New Roman"/>
                <w:sz w:val="20"/>
                <w:szCs w:val="20"/>
              </w:rPr>
            </w:pPr>
            <w:r>
              <w:rPr>
                <w:rFonts w:eastAsia="Times New Roman"/>
                <w:sz w:val="20"/>
                <w:szCs w:val="20"/>
              </w:rPr>
              <w:t> </w:t>
            </w:r>
          </w:p>
        </w:tc>
      </w:tr>
      <w:tr w:rsidR="00000000" w14:paraId="6FE6D599" w14:textId="77777777">
        <w:tc>
          <w:tcPr>
            <w:tcW w:w="0" w:type="auto"/>
            <w:shd w:val="clear" w:color="auto" w:fill="FFFFFF"/>
            <w:tcMar>
              <w:top w:w="0" w:type="dxa"/>
              <w:left w:w="200" w:type="dxa"/>
              <w:bottom w:w="0" w:type="dxa"/>
              <w:right w:w="0" w:type="dxa"/>
            </w:tcMar>
            <w:vAlign w:val="bottom"/>
            <w:hideMark/>
          </w:tcPr>
          <w:p w14:paraId="44A392AC" w14:textId="77777777" w:rsidR="00000000" w:rsidRDefault="009027A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23E9D6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A9A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569D9" w14:textId="77777777" w:rsidR="00000000" w:rsidRDefault="009027A3">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14:paraId="759A84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40DF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29A4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5DFA9" w14:textId="77777777" w:rsidR="00000000" w:rsidRDefault="009027A3">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63E1FE54" w14:textId="77777777" w:rsidR="00000000" w:rsidRDefault="009027A3">
            <w:pPr>
              <w:rPr>
                <w:rFonts w:eastAsia="Times New Roman"/>
                <w:sz w:val="20"/>
                <w:szCs w:val="20"/>
              </w:rPr>
            </w:pPr>
            <w:r>
              <w:rPr>
                <w:rFonts w:eastAsia="Times New Roman"/>
                <w:sz w:val="20"/>
                <w:szCs w:val="20"/>
              </w:rPr>
              <w:t> </w:t>
            </w:r>
          </w:p>
        </w:tc>
      </w:tr>
      <w:tr w:rsidR="00000000" w14:paraId="7D8ED8D3" w14:textId="77777777">
        <w:tc>
          <w:tcPr>
            <w:tcW w:w="0" w:type="auto"/>
            <w:shd w:val="clear" w:color="auto" w:fill="CCEEFF"/>
            <w:tcMar>
              <w:top w:w="0" w:type="dxa"/>
              <w:left w:w="200" w:type="dxa"/>
              <w:bottom w:w="0" w:type="dxa"/>
              <w:right w:w="0" w:type="dxa"/>
            </w:tcMar>
            <w:vAlign w:val="bottom"/>
            <w:hideMark/>
          </w:tcPr>
          <w:p w14:paraId="059D3CCE" w14:textId="77777777" w:rsidR="00000000" w:rsidRDefault="009027A3">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14:paraId="7C3265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867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306E8"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9CA7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672B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AC81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BFC3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18AC17" w14:textId="77777777" w:rsidR="00000000" w:rsidRDefault="009027A3">
            <w:pPr>
              <w:rPr>
                <w:rFonts w:eastAsia="Times New Roman"/>
                <w:sz w:val="20"/>
                <w:szCs w:val="20"/>
              </w:rPr>
            </w:pPr>
            <w:r>
              <w:rPr>
                <w:rFonts w:eastAsia="Times New Roman"/>
                <w:sz w:val="20"/>
                <w:szCs w:val="20"/>
              </w:rPr>
              <w:t> </w:t>
            </w:r>
          </w:p>
        </w:tc>
      </w:tr>
      <w:tr w:rsidR="00000000" w14:paraId="0C530C50" w14:textId="77777777">
        <w:tc>
          <w:tcPr>
            <w:tcW w:w="0" w:type="auto"/>
            <w:shd w:val="clear" w:color="auto" w:fill="FFFFFF"/>
            <w:tcMar>
              <w:top w:w="0" w:type="dxa"/>
              <w:left w:w="400" w:type="dxa"/>
              <w:bottom w:w="0" w:type="dxa"/>
              <w:right w:w="0" w:type="dxa"/>
            </w:tcMar>
            <w:vAlign w:val="bottom"/>
            <w:hideMark/>
          </w:tcPr>
          <w:p w14:paraId="6C211B33" w14:textId="77777777" w:rsidR="00000000" w:rsidRDefault="009027A3">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4D1D59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B0B6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23B67" w14:textId="77777777" w:rsidR="00000000" w:rsidRDefault="009027A3">
            <w:pPr>
              <w:jc w:val="right"/>
              <w:rPr>
                <w:rFonts w:eastAsia="Times New Roman"/>
                <w:sz w:val="20"/>
                <w:szCs w:val="20"/>
              </w:rPr>
            </w:pPr>
            <w:r>
              <w:rPr>
                <w:rFonts w:eastAsia="Times New Roman"/>
                <w:sz w:val="20"/>
                <w:szCs w:val="20"/>
              </w:rPr>
              <w:t>(522</w:t>
            </w:r>
          </w:p>
        </w:tc>
        <w:tc>
          <w:tcPr>
            <w:tcW w:w="0" w:type="auto"/>
            <w:shd w:val="clear" w:color="auto" w:fill="FFFFFF"/>
            <w:vAlign w:val="bottom"/>
            <w:hideMark/>
          </w:tcPr>
          <w:p w14:paraId="7A6D99FC"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59B941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1D70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292B7" w14:textId="77777777" w:rsidR="00000000" w:rsidRDefault="009027A3">
            <w:pPr>
              <w:jc w:val="right"/>
              <w:rPr>
                <w:rFonts w:eastAsia="Times New Roman"/>
                <w:sz w:val="20"/>
                <w:szCs w:val="20"/>
              </w:rPr>
            </w:pPr>
            <w:r>
              <w:rPr>
                <w:rFonts w:eastAsia="Times New Roman"/>
                <w:sz w:val="20"/>
                <w:szCs w:val="20"/>
              </w:rPr>
              <w:t>(302</w:t>
            </w:r>
          </w:p>
        </w:tc>
        <w:tc>
          <w:tcPr>
            <w:tcW w:w="0" w:type="auto"/>
            <w:shd w:val="clear" w:color="auto" w:fill="FFFFFF"/>
            <w:vAlign w:val="bottom"/>
            <w:hideMark/>
          </w:tcPr>
          <w:p w14:paraId="79033D49" w14:textId="77777777" w:rsidR="00000000" w:rsidRDefault="009027A3">
            <w:pPr>
              <w:rPr>
                <w:rFonts w:eastAsia="Times New Roman"/>
                <w:sz w:val="20"/>
                <w:szCs w:val="20"/>
              </w:rPr>
            </w:pPr>
            <w:r>
              <w:rPr>
                <w:rFonts w:eastAsia="Times New Roman"/>
                <w:sz w:val="20"/>
                <w:szCs w:val="20"/>
              </w:rPr>
              <w:t>)</w:t>
            </w:r>
          </w:p>
        </w:tc>
      </w:tr>
      <w:tr w:rsidR="00000000" w14:paraId="68144D9E" w14:textId="77777777">
        <w:tc>
          <w:tcPr>
            <w:tcW w:w="0" w:type="auto"/>
            <w:shd w:val="clear" w:color="auto" w:fill="CCEEFF"/>
            <w:tcMar>
              <w:top w:w="0" w:type="dxa"/>
              <w:left w:w="400" w:type="dxa"/>
              <w:bottom w:w="0" w:type="dxa"/>
              <w:right w:w="0" w:type="dxa"/>
            </w:tcMar>
            <w:vAlign w:val="bottom"/>
            <w:hideMark/>
          </w:tcPr>
          <w:p w14:paraId="690C1707" w14:textId="77777777" w:rsidR="00000000" w:rsidRDefault="009027A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0FDC49B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042FE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AF26AE" w14:textId="77777777" w:rsidR="00000000" w:rsidRDefault="009027A3">
            <w:pPr>
              <w:jc w:val="right"/>
              <w:rPr>
                <w:rFonts w:eastAsia="Times New Roman"/>
                <w:sz w:val="20"/>
                <w:szCs w:val="20"/>
              </w:rPr>
            </w:pPr>
            <w:r>
              <w:rPr>
                <w:rFonts w:eastAsia="Times New Roman"/>
                <w:sz w:val="20"/>
                <w:szCs w:val="20"/>
              </w:rPr>
              <w:t>(270</w:t>
            </w:r>
          </w:p>
        </w:tc>
        <w:tc>
          <w:tcPr>
            <w:tcW w:w="0" w:type="auto"/>
            <w:shd w:val="clear" w:color="auto" w:fill="CCEEFF"/>
            <w:vAlign w:val="bottom"/>
            <w:hideMark/>
          </w:tcPr>
          <w:p w14:paraId="226BD906"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E717F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B77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E5BF7" w14:textId="77777777" w:rsidR="00000000" w:rsidRDefault="009027A3">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0DFAC2EA" w14:textId="77777777" w:rsidR="00000000" w:rsidRDefault="009027A3">
            <w:pPr>
              <w:rPr>
                <w:rFonts w:eastAsia="Times New Roman"/>
                <w:sz w:val="20"/>
                <w:szCs w:val="20"/>
              </w:rPr>
            </w:pPr>
            <w:r>
              <w:rPr>
                <w:rFonts w:eastAsia="Times New Roman"/>
                <w:sz w:val="20"/>
                <w:szCs w:val="20"/>
              </w:rPr>
              <w:t> </w:t>
            </w:r>
          </w:p>
        </w:tc>
      </w:tr>
      <w:tr w:rsidR="00000000" w14:paraId="3B7A479A" w14:textId="77777777">
        <w:tc>
          <w:tcPr>
            <w:tcW w:w="0" w:type="auto"/>
            <w:shd w:val="clear" w:color="auto" w:fill="FFFFFF"/>
            <w:tcMar>
              <w:top w:w="0" w:type="dxa"/>
              <w:left w:w="400" w:type="dxa"/>
              <w:bottom w:w="0" w:type="dxa"/>
              <w:right w:w="0" w:type="dxa"/>
            </w:tcMar>
            <w:vAlign w:val="bottom"/>
            <w:hideMark/>
          </w:tcPr>
          <w:p w14:paraId="6DF29298" w14:textId="77777777" w:rsidR="00000000" w:rsidRDefault="009027A3">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0DEEB6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CE9D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C0658"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14:paraId="193C12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9D1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0DB6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4E467A" w14:textId="77777777" w:rsidR="00000000" w:rsidRDefault="009027A3">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14:paraId="73F28F8F" w14:textId="77777777" w:rsidR="00000000" w:rsidRDefault="009027A3">
            <w:pPr>
              <w:rPr>
                <w:rFonts w:eastAsia="Times New Roman"/>
                <w:sz w:val="20"/>
                <w:szCs w:val="20"/>
              </w:rPr>
            </w:pPr>
            <w:r>
              <w:rPr>
                <w:rFonts w:eastAsia="Times New Roman"/>
                <w:sz w:val="20"/>
                <w:szCs w:val="20"/>
              </w:rPr>
              <w:t> </w:t>
            </w:r>
          </w:p>
        </w:tc>
      </w:tr>
      <w:tr w:rsidR="00000000" w14:paraId="13280A10" w14:textId="77777777">
        <w:tc>
          <w:tcPr>
            <w:tcW w:w="0" w:type="auto"/>
            <w:shd w:val="clear" w:color="auto" w:fill="CCEEFF"/>
            <w:tcMar>
              <w:top w:w="0" w:type="dxa"/>
              <w:left w:w="400" w:type="dxa"/>
              <w:bottom w:w="0" w:type="dxa"/>
              <w:right w:w="0" w:type="dxa"/>
            </w:tcMar>
            <w:vAlign w:val="bottom"/>
            <w:hideMark/>
          </w:tcPr>
          <w:p w14:paraId="5D19B317" w14:textId="77777777" w:rsidR="00000000" w:rsidRDefault="009027A3">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14:paraId="3DF8528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297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0E101D" w14:textId="77777777" w:rsidR="00000000" w:rsidRDefault="009027A3">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14:paraId="598D19C0"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521C64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038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3170A1" w14:textId="77777777" w:rsidR="00000000" w:rsidRDefault="009027A3">
            <w:pPr>
              <w:jc w:val="right"/>
              <w:rPr>
                <w:rFonts w:eastAsia="Times New Roman"/>
                <w:sz w:val="20"/>
                <w:szCs w:val="20"/>
              </w:rPr>
            </w:pPr>
            <w:r>
              <w:rPr>
                <w:rFonts w:eastAsia="Times New Roman"/>
                <w:sz w:val="20"/>
                <w:szCs w:val="20"/>
              </w:rPr>
              <w:t>(110</w:t>
            </w:r>
          </w:p>
        </w:tc>
        <w:tc>
          <w:tcPr>
            <w:tcW w:w="0" w:type="auto"/>
            <w:shd w:val="clear" w:color="auto" w:fill="CCEEFF"/>
            <w:vAlign w:val="bottom"/>
            <w:hideMark/>
          </w:tcPr>
          <w:p w14:paraId="0BBAAA68" w14:textId="77777777" w:rsidR="00000000" w:rsidRDefault="009027A3">
            <w:pPr>
              <w:rPr>
                <w:rFonts w:eastAsia="Times New Roman"/>
                <w:sz w:val="20"/>
                <w:szCs w:val="20"/>
              </w:rPr>
            </w:pPr>
            <w:r>
              <w:rPr>
                <w:rFonts w:eastAsia="Times New Roman"/>
                <w:sz w:val="20"/>
                <w:szCs w:val="20"/>
              </w:rPr>
              <w:t>)</w:t>
            </w:r>
          </w:p>
        </w:tc>
      </w:tr>
      <w:tr w:rsidR="00000000" w14:paraId="3E9C6E3A" w14:textId="77777777">
        <w:tc>
          <w:tcPr>
            <w:tcW w:w="0" w:type="auto"/>
            <w:shd w:val="clear" w:color="auto" w:fill="FFFFFF"/>
            <w:tcMar>
              <w:top w:w="0" w:type="dxa"/>
              <w:left w:w="400" w:type="dxa"/>
              <w:bottom w:w="0" w:type="dxa"/>
              <w:right w:w="0" w:type="dxa"/>
            </w:tcMar>
            <w:vAlign w:val="bottom"/>
            <w:hideMark/>
          </w:tcPr>
          <w:p w14:paraId="0216B6B9" w14:textId="77777777" w:rsidR="00000000" w:rsidRDefault="009027A3">
            <w:pPr>
              <w:rPr>
                <w:rFonts w:eastAsia="Times New Roman"/>
                <w:sz w:val="20"/>
                <w:szCs w:val="20"/>
              </w:rPr>
            </w:pPr>
            <w:r>
              <w:rPr>
                <w:rFonts w:eastAsia="Times New Roman"/>
                <w:sz w:val="20"/>
                <w:szCs w:val="20"/>
              </w:rPr>
              <w:t>Accounts payable and other liabilities</w:t>
            </w:r>
          </w:p>
        </w:tc>
        <w:tc>
          <w:tcPr>
            <w:tcW w:w="0" w:type="auto"/>
            <w:shd w:val="clear" w:color="auto" w:fill="FFFFFF"/>
            <w:vAlign w:val="bottom"/>
            <w:hideMark/>
          </w:tcPr>
          <w:p w14:paraId="3C6C7F7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6200A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BFAEAE" w14:textId="77777777" w:rsidR="00000000" w:rsidRDefault="009027A3">
            <w:pPr>
              <w:jc w:val="right"/>
              <w:rPr>
                <w:rFonts w:eastAsia="Times New Roman"/>
                <w:sz w:val="20"/>
                <w:szCs w:val="20"/>
              </w:rPr>
            </w:pPr>
            <w:r>
              <w:rPr>
                <w:rFonts w:eastAsia="Times New Roman"/>
                <w:sz w:val="20"/>
                <w:szCs w:val="20"/>
              </w:rPr>
              <w:t>(1,706</w:t>
            </w:r>
          </w:p>
        </w:tc>
        <w:tc>
          <w:tcPr>
            <w:tcW w:w="0" w:type="auto"/>
            <w:shd w:val="clear" w:color="auto" w:fill="FFFFFF"/>
            <w:vAlign w:val="bottom"/>
            <w:hideMark/>
          </w:tcPr>
          <w:p w14:paraId="679D22E6"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1250BBA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3BD74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BF7274" w14:textId="77777777" w:rsidR="00000000" w:rsidRDefault="009027A3">
            <w:pPr>
              <w:jc w:val="right"/>
              <w:rPr>
                <w:rFonts w:eastAsia="Times New Roman"/>
                <w:sz w:val="20"/>
                <w:szCs w:val="20"/>
              </w:rPr>
            </w:pPr>
            <w:r>
              <w:rPr>
                <w:rFonts w:eastAsia="Times New Roman"/>
                <w:sz w:val="20"/>
                <w:szCs w:val="20"/>
              </w:rPr>
              <w:t>(4,461</w:t>
            </w:r>
          </w:p>
        </w:tc>
        <w:tc>
          <w:tcPr>
            <w:tcW w:w="0" w:type="auto"/>
            <w:shd w:val="clear" w:color="auto" w:fill="FFFFFF"/>
            <w:vAlign w:val="bottom"/>
            <w:hideMark/>
          </w:tcPr>
          <w:p w14:paraId="03967894" w14:textId="77777777" w:rsidR="00000000" w:rsidRDefault="009027A3">
            <w:pPr>
              <w:rPr>
                <w:rFonts w:eastAsia="Times New Roman"/>
                <w:sz w:val="20"/>
                <w:szCs w:val="20"/>
              </w:rPr>
            </w:pPr>
            <w:r>
              <w:rPr>
                <w:rFonts w:eastAsia="Times New Roman"/>
                <w:sz w:val="20"/>
                <w:szCs w:val="20"/>
              </w:rPr>
              <w:t>)</w:t>
            </w:r>
          </w:p>
        </w:tc>
      </w:tr>
      <w:tr w:rsidR="00000000" w14:paraId="64DB9ABB" w14:textId="77777777">
        <w:tc>
          <w:tcPr>
            <w:tcW w:w="0" w:type="auto"/>
            <w:shd w:val="clear" w:color="auto" w:fill="CCEEFF"/>
            <w:tcMar>
              <w:top w:w="0" w:type="dxa"/>
              <w:left w:w="600" w:type="dxa"/>
              <w:bottom w:w="0" w:type="dxa"/>
              <w:right w:w="0" w:type="dxa"/>
            </w:tcMar>
            <w:vAlign w:val="bottom"/>
            <w:hideMark/>
          </w:tcPr>
          <w:p w14:paraId="123D8436" w14:textId="77777777" w:rsidR="00000000" w:rsidRDefault="009027A3">
            <w:pPr>
              <w:rPr>
                <w:rFonts w:eastAsia="Times New Roman"/>
                <w:sz w:val="20"/>
                <w:szCs w:val="20"/>
              </w:rPr>
            </w:pPr>
            <w:r>
              <w:rPr>
                <w:rFonts w:eastAsia="Times New Roman"/>
                <w:sz w:val="20"/>
                <w:szCs w:val="20"/>
              </w:rPr>
              <w:t>Net cash provided by (used in) operating activities</w:t>
            </w:r>
          </w:p>
        </w:tc>
        <w:tc>
          <w:tcPr>
            <w:tcW w:w="0" w:type="auto"/>
            <w:shd w:val="clear" w:color="auto" w:fill="CCEEFF"/>
            <w:vAlign w:val="bottom"/>
            <w:hideMark/>
          </w:tcPr>
          <w:p w14:paraId="5D05B6A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3BFC0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3F9112" w14:textId="77777777" w:rsidR="00000000" w:rsidRDefault="009027A3">
            <w:pPr>
              <w:jc w:val="right"/>
              <w:rPr>
                <w:rFonts w:eastAsia="Times New Roman"/>
                <w:sz w:val="20"/>
                <w:szCs w:val="20"/>
              </w:rPr>
            </w:pPr>
            <w:r>
              <w:rPr>
                <w:rFonts w:eastAsia="Times New Roman"/>
                <w:sz w:val="20"/>
                <w:szCs w:val="20"/>
              </w:rPr>
              <w:t>958</w:t>
            </w:r>
          </w:p>
        </w:tc>
        <w:tc>
          <w:tcPr>
            <w:tcW w:w="0" w:type="auto"/>
            <w:shd w:val="clear" w:color="auto" w:fill="CCEEFF"/>
            <w:vAlign w:val="bottom"/>
            <w:hideMark/>
          </w:tcPr>
          <w:p w14:paraId="50AD502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8E8A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32D5A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3BCA06" w14:textId="77777777" w:rsidR="00000000" w:rsidRDefault="009027A3">
            <w:pPr>
              <w:jc w:val="right"/>
              <w:rPr>
                <w:rFonts w:eastAsia="Times New Roman"/>
                <w:sz w:val="20"/>
                <w:szCs w:val="20"/>
              </w:rPr>
            </w:pPr>
            <w:r>
              <w:rPr>
                <w:rFonts w:eastAsia="Times New Roman"/>
                <w:sz w:val="20"/>
                <w:szCs w:val="20"/>
              </w:rPr>
              <w:t>(3,884</w:t>
            </w:r>
          </w:p>
        </w:tc>
        <w:tc>
          <w:tcPr>
            <w:tcW w:w="0" w:type="auto"/>
            <w:shd w:val="clear" w:color="auto" w:fill="CCEEFF"/>
            <w:vAlign w:val="bottom"/>
            <w:hideMark/>
          </w:tcPr>
          <w:p w14:paraId="06C23E45" w14:textId="77777777" w:rsidR="00000000" w:rsidRDefault="009027A3">
            <w:pPr>
              <w:rPr>
                <w:rFonts w:eastAsia="Times New Roman"/>
                <w:sz w:val="20"/>
                <w:szCs w:val="20"/>
              </w:rPr>
            </w:pPr>
            <w:r>
              <w:rPr>
                <w:rFonts w:eastAsia="Times New Roman"/>
                <w:sz w:val="20"/>
                <w:szCs w:val="20"/>
              </w:rPr>
              <w:t>)</w:t>
            </w:r>
          </w:p>
        </w:tc>
      </w:tr>
      <w:tr w:rsidR="00000000" w14:paraId="2B011DE3" w14:textId="77777777">
        <w:tc>
          <w:tcPr>
            <w:tcW w:w="0" w:type="auto"/>
            <w:shd w:val="clear" w:color="auto" w:fill="FFFFFF"/>
            <w:vAlign w:val="bottom"/>
            <w:hideMark/>
          </w:tcPr>
          <w:p w14:paraId="57CBE494" w14:textId="77777777" w:rsidR="00000000" w:rsidRDefault="009027A3">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14:paraId="440CEA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F41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FA75D"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9464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22A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1CB6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5E838"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6A7B18" w14:textId="77777777" w:rsidR="00000000" w:rsidRDefault="009027A3">
            <w:pPr>
              <w:rPr>
                <w:rFonts w:eastAsia="Times New Roman"/>
                <w:sz w:val="20"/>
                <w:szCs w:val="20"/>
              </w:rPr>
            </w:pPr>
            <w:r>
              <w:rPr>
                <w:rFonts w:eastAsia="Times New Roman"/>
                <w:sz w:val="20"/>
                <w:szCs w:val="20"/>
              </w:rPr>
              <w:t> </w:t>
            </w:r>
          </w:p>
        </w:tc>
      </w:tr>
      <w:tr w:rsidR="00000000" w14:paraId="3808C230" w14:textId="77777777">
        <w:tc>
          <w:tcPr>
            <w:tcW w:w="0" w:type="auto"/>
            <w:shd w:val="clear" w:color="auto" w:fill="CCEEFF"/>
            <w:tcMar>
              <w:top w:w="0" w:type="dxa"/>
              <w:left w:w="200" w:type="dxa"/>
              <w:bottom w:w="0" w:type="dxa"/>
              <w:right w:w="0" w:type="dxa"/>
            </w:tcMar>
            <w:vAlign w:val="bottom"/>
            <w:hideMark/>
          </w:tcPr>
          <w:p w14:paraId="64E462F5" w14:textId="77777777" w:rsidR="00000000" w:rsidRDefault="009027A3">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14:paraId="28B534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C417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8045D" w14:textId="77777777" w:rsidR="00000000" w:rsidRDefault="009027A3">
            <w:pPr>
              <w:jc w:val="right"/>
              <w:rPr>
                <w:rFonts w:eastAsia="Times New Roman"/>
                <w:sz w:val="20"/>
                <w:szCs w:val="20"/>
              </w:rPr>
            </w:pPr>
            <w:r>
              <w:rPr>
                <w:rFonts w:eastAsia="Times New Roman"/>
                <w:sz w:val="20"/>
                <w:szCs w:val="20"/>
              </w:rPr>
              <w:t>(695</w:t>
            </w:r>
          </w:p>
        </w:tc>
        <w:tc>
          <w:tcPr>
            <w:tcW w:w="0" w:type="auto"/>
            <w:shd w:val="clear" w:color="auto" w:fill="CCEEFF"/>
            <w:vAlign w:val="bottom"/>
            <w:hideMark/>
          </w:tcPr>
          <w:p w14:paraId="44AC3BFA"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E85B7A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2F5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08B44" w14:textId="77777777" w:rsidR="00000000" w:rsidRDefault="009027A3">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14:paraId="6FEB7C34" w14:textId="77777777" w:rsidR="00000000" w:rsidRDefault="009027A3">
            <w:pPr>
              <w:rPr>
                <w:rFonts w:eastAsia="Times New Roman"/>
                <w:sz w:val="20"/>
                <w:szCs w:val="20"/>
              </w:rPr>
            </w:pPr>
            <w:r>
              <w:rPr>
                <w:rFonts w:eastAsia="Times New Roman"/>
                <w:sz w:val="20"/>
                <w:szCs w:val="20"/>
              </w:rPr>
              <w:t>)</w:t>
            </w:r>
          </w:p>
        </w:tc>
      </w:tr>
      <w:tr w:rsidR="00000000" w14:paraId="61B94AF7" w14:textId="77777777">
        <w:tc>
          <w:tcPr>
            <w:tcW w:w="0" w:type="auto"/>
            <w:shd w:val="clear" w:color="auto" w:fill="FFFFFF"/>
            <w:tcMar>
              <w:top w:w="0" w:type="dxa"/>
              <w:left w:w="200" w:type="dxa"/>
              <w:bottom w:w="0" w:type="dxa"/>
              <w:right w:w="0" w:type="dxa"/>
            </w:tcMar>
            <w:vAlign w:val="bottom"/>
            <w:hideMark/>
          </w:tcPr>
          <w:p w14:paraId="430E8979" w14:textId="77777777" w:rsidR="00000000" w:rsidRDefault="009027A3">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14:paraId="1FBCBF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0C6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CBD957" w14:textId="77777777" w:rsidR="00000000" w:rsidRDefault="009027A3">
            <w:pPr>
              <w:jc w:val="right"/>
              <w:rPr>
                <w:rFonts w:eastAsia="Times New Roman"/>
                <w:sz w:val="20"/>
                <w:szCs w:val="20"/>
              </w:rPr>
            </w:pPr>
            <w:r>
              <w:rPr>
                <w:rFonts w:eastAsia="Times New Roman"/>
                <w:sz w:val="20"/>
                <w:szCs w:val="20"/>
              </w:rPr>
              <w:t>(1,524</w:t>
            </w:r>
          </w:p>
        </w:tc>
        <w:tc>
          <w:tcPr>
            <w:tcW w:w="0" w:type="auto"/>
            <w:shd w:val="clear" w:color="auto" w:fill="FFFFFF"/>
            <w:vAlign w:val="bottom"/>
            <w:hideMark/>
          </w:tcPr>
          <w:p w14:paraId="1E5DCB54"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0F4E1E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F4C4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FD8ED" w14:textId="77777777" w:rsidR="00000000" w:rsidRDefault="009027A3">
            <w:pPr>
              <w:jc w:val="right"/>
              <w:rPr>
                <w:rFonts w:eastAsia="Times New Roman"/>
                <w:sz w:val="20"/>
                <w:szCs w:val="20"/>
              </w:rPr>
            </w:pPr>
            <w:r>
              <w:rPr>
                <w:rFonts w:eastAsia="Times New Roman"/>
                <w:sz w:val="20"/>
                <w:szCs w:val="20"/>
              </w:rPr>
              <w:t>(1,641</w:t>
            </w:r>
          </w:p>
        </w:tc>
        <w:tc>
          <w:tcPr>
            <w:tcW w:w="0" w:type="auto"/>
            <w:shd w:val="clear" w:color="auto" w:fill="FFFFFF"/>
            <w:vAlign w:val="bottom"/>
            <w:hideMark/>
          </w:tcPr>
          <w:p w14:paraId="1DA1C2C2" w14:textId="77777777" w:rsidR="00000000" w:rsidRDefault="009027A3">
            <w:pPr>
              <w:rPr>
                <w:rFonts w:eastAsia="Times New Roman"/>
                <w:sz w:val="20"/>
                <w:szCs w:val="20"/>
              </w:rPr>
            </w:pPr>
            <w:r>
              <w:rPr>
                <w:rFonts w:eastAsia="Times New Roman"/>
                <w:sz w:val="20"/>
                <w:szCs w:val="20"/>
              </w:rPr>
              <w:t>)</w:t>
            </w:r>
          </w:p>
        </w:tc>
      </w:tr>
      <w:tr w:rsidR="00000000" w14:paraId="30AF3DE5" w14:textId="77777777">
        <w:tc>
          <w:tcPr>
            <w:tcW w:w="0" w:type="auto"/>
            <w:shd w:val="clear" w:color="auto" w:fill="CCEEFF"/>
            <w:tcMar>
              <w:top w:w="0" w:type="dxa"/>
              <w:left w:w="200" w:type="dxa"/>
              <w:bottom w:w="0" w:type="dxa"/>
              <w:right w:w="0" w:type="dxa"/>
            </w:tcMar>
            <w:vAlign w:val="bottom"/>
            <w:hideMark/>
          </w:tcPr>
          <w:p w14:paraId="1C7DD24E" w14:textId="77777777" w:rsidR="00000000" w:rsidRDefault="009027A3">
            <w:pPr>
              <w:rPr>
                <w:rFonts w:eastAsia="Times New Roman"/>
                <w:sz w:val="20"/>
                <w:szCs w:val="20"/>
              </w:rPr>
            </w:pPr>
            <w:r>
              <w:rPr>
                <w:rFonts w:eastAsia="Times New Roman"/>
                <w:sz w:val="20"/>
                <w:szCs w:val="20"/>
              </w:rPr>
              <w:t>Cash paid for acquisitions (net)</w:t>
            </w:r>
          </w:p>
        </w:tc>
        <w:tc>
          <w:tcPr>
            <w:tcW w:w="0" w:type="auto"/>
            <w:shd w:val="clear" w:color="auto" w:fill="CCEEFF"/>
            <w:vAlign w:val="bottom"/>
            <w:hideMark/>
          </w:tcPr>
          <w:p w14:paraId="21F9B56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B0292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285C25"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63C5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EDDC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DF041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ADD128" w14:textId="77777777" w:rsidR="00000000" w:rsidRDefault="009027A3">
            <w:pPr>
              <w:jc w:val="right"/>
              <w:rPr>
                <w:rFonts w:eastAsia="Times New Roman"/>
                <w:sz w:val="20"/>
                <w:szCs w:val="20"/>
              </w:rPr>
            </w:pPr>
            <w:r>
              <w:rPr>
                <w:rFonts w:eastAsia="Times New Roman"/>
                <w:sz w:val="20"/>
                <w:szCs w:val="20"/>
              </w:rPr>
              <w:t>(11,853</w:t>
            </w:r>
          </w:p>
        </w:tc>
        <w:tc>
          <w:tcPr>
            <w:tcW w:w="0" w:type="auto"/>
            <w:shd w:val="clear" w:color="auto" w:fill="CCEEFF"/>
            <w:vAlign w:val="bottom"/>
            <w:hideMark/>
          </w:tcPr>
          <w:p w14:paraId="053DD8B5" w14:textId="77777777" w:rsidR="00000000" w:rsidRDefault="009027A3">
            <w:pPr>
              <w:rPr>
                <w:rFonts w:eastAsia="Times New Roman"/>
                <w:sz w:val="20"/>
                <w:szCs w:val="20"/>
              </w:rPr>
            </w:pPr>
            <w:r>
              <w:rPr>
                <w:rFonts w:eastAsia="Times New Roman"/>
                <w:sz w:val="20"/>
                <w:szCs w:val="20"/>
              </w:rPr>
              <w:t>)</w:t>
            </w:r>
          </w:p>
        </w:tc>
      </w:tr>
      <w:tr w:rsidR="00000000" w14:paraId="52929425" w14:textId="77777777">
        <w:tc>
          <w:tcPr>
            <w:tcW w:w="0" w:type="auto"/>
            <w:shd w:val="clear" w:color="auto" w:fill="FFFFFF"/>
            <w:tcMar>
              <w:top w:w="0" w:type="dxa"/>
              <w:left w:w="400" w:type="dxa"/>
              <w:bottom w:w="0" w:type="dxa"/>
              <w:right w:w="0" w:type="dxa"/>
            </w:tcMar>
            <w:vAlign w:val="bottom"/>
            <w:hideMark/>
          </w:tcPr>
          <w:p w14:paraId="4DE63F20" w14:textId="77777777" w:rsidR="00000000" w:rsidRDefault="009027A3">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15108CA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F107A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FB72F" w14:textId="77777777" w:rsidR="00000000" w:rsidRDefault="009027A3">
            <w:pPr>
              <w:jc w:val="right"/>
              <w:rPr>
                <w:rFonts w:eastAsia="Times New Roman"/>
                <w:sz w:val="20"/>
                <w:szCs w:val="20"/>
              </w:rPr>
            </w:pPr>
            <w:r>
              <w:rPr>
                <w:rFonts w:eastAsia="Times New Roman"/>
                <w:sz w:val="20"/>
                <w:szCs w:val="20"/>
              </w:rPr>
              <w:t>(2,219</w:t>
            </w:r>
          </w:p>
        </w:tc>
        <w:tc>
          <w:tcPr>
            <w:tcW w:w="0" w:type="auto"/>
            <w:shd w:val="clear" w:color="auto" w:fill="FFFFFF"/>
            <w:vAlign w:val="bottom"/>
            <w:hideMark/>
          </w:tcPr>
          <w:p w14:paraId="70E36947"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5F4AB58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22520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B0F463" w14:textId="77777777" w:rsidR="00000000" w:rsidRDefault="009027A3">
            <w:pPr>
              <w:jc w:val="right"/>
              <w:rPr>
                <w:rFonts w:eastAsia="Times New Roman"/>
                <w:sz w:val="20"/>
                <w:szCs w:val="20"/>
              </w:rPr>
            </w:pPr>
            <w:r>
              <w:rPr>
                <w:rFonts w:eastAsia="Times New Roman"/>
                <w:sz w:val="20"/>
                <w:szCs w:val="20"/>
              </w:rPr>
              <w:t>(14,033</w:t>
            </w:r>
          </w:p>
        </w:tc>
        <w:tc>
          <w:tcPr>
            <w:tcW w:w="0" w:type="auto"/>
            <w:shd w:val="clear" w:color="auto" w:fill="FFFFFF"/>
            <w:vAlign w:val="bottom"/>
            <w:hideMark/>
          </w:tcPr>
          <w:p w14:paraId="529C55C0" w14:textId="77777777" w:rsidR="00000000" w:rsidRDefault="009027A3">
            <w:pPr>
              <w:rPr>
                <w:rFonts w:eastAsia="Times New Roman"/>
                <w:sz w:val="20"/>
                <w:szCs w:val="20"/>
              </w:rPr>
            </w:pPr>
            <w:r>
              <w:rPr>
                <w:rFonts w:eastAsia="Times New Roman"/>
                <w:sz w:val="20"/>
                <w:szCs w:val="20"/>
              </w:rPr>
              <w:t>)</w:t>
            </w:r>
          </w:p>
        </w:tc>
      </w:tr>
      <w:tr w:rsidR="00000000" w14:paraId="1363BCC8" w14:textId="77777777">
        <w:tc>
          <w:tcPr>
            <w:tcW w:w="0" w:type="auto"/>
            <w:shd w:val="clear" w:color="auto" w:fill="CCEEFF"/>
            <w:vAlign w:val="bottom"/>
            <w:hideMark/>
          </w:tcPr>
          <w:p w14:paraId="5C4A30C6" w14:textId="77777777" w:rsidR="00000000" w:rsidRDefault="009027A3">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14:paraId="253DF3E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27B7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79E48"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501B6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372F4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E9FD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8145D"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621244" w14:textId="77777777" w:rsidR="00000000" w:rsidRDefault="009027A3">
            <w:pPr>
              <w:rPr>
                <w:rFonts w:eastAsia="Times New Roman"/>
                <w:sz w:val="20"/>
                <w:szCs w:val="20"/>
              </w:rPr>
            </w:pPr>
            <w:r>
              <w:rPr>
                <w:rFonts w:eastAsia="Times New Roman"/>
                <w:sz w:val="20"/>
                <w:szCs w:val="20"/>
              </w:rPr>
              <w:t> </w:t>
            </w:r>
          </w:p>
        </w:tc>
      </w:tr>
      <w:tr w:rsidR="00000000" w14:paraId="3539475A" w14:textId="77777777">
        <w:tc>
          <w:tcPr>
            <w:tcW w:w="0" w:type="auto"/>
            <w:shd w:val="clear" w:color="auto" w:fill="FFFFFF"/>
            <w:tcMar>
              <w:top w:w="0" w:type="dxa"/>
              <w:left w:w="200" w:type="dxa"/>
              <w:bottom w:w="0" w:type="dxa"/>
              <w:right w:w="0" w:type="dxa"/>
            </w:tcMar>
            <w:vAlign w:val="bottom"/>
            <w:hideMark/>
          </w:tcPr>
          <w:p w14:paraId="744E04B8" w14:textId="77777777" w:rsidR="00000000" w:rsidRDefault="009027A3">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14:paraId="7017EC4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D0F7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AE0625" w14:textId="77777777" w:rsidR="00000000" w:rsidRDefault="009027A3">
            <w:pPr>
              <w:jc w:val="right"/>
              <w:rPr>
                <w:rFonts w:eastAsia="Times New Roman"/>
                <w:sz w:val="20"/>
                <w:szCs w:val="20"/>
              </w:rPr>
            </w:pPr>
            <w:r>
              <w:rPr>
                <w:rFonts w:eastAsia="Times New Roman"/>
                <w:sz w:val="20"/>
                <w:szCs w:val="20"/>
              </w:rPr>
              <w:t>(3,592</w:t>
            </w:r>
          </w:p>
        </w:tc>
        <w:tc>
          <w:tcPr>
            <w:tcW w:w="0" w:type="auto"/>
            <w:shd w:val="clear" w:color="auto" w:fill="FFFFFF"/>
            <w:vAlign w:val="bottom"/>
            <w:hideMark/>
          </w:tcPr>
          <w:p w14:paraId="6E2E9A19"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0CDA971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1FC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1BE54" w14:textId="77777777" w:rsidR="00000000" w:rsidRDefault="009027A3">
            <w:pPr>
              <w:jc w:val="right"/>
              <w:rPr>
                <w:rFonts w:eastAsia="Times New Roman"/>
                <w:sz w:val="20"/>
                <w:szCs w:val="20"/>
              </w:rPr>
            </w:pPr>
            <w:r>
              <w:rPr>
                <w:rFonts w:eastAsia="Times New Roman"/>
                <w:sz w:val="20"/>
                <w:szCs w:val="20"/>
              </w:rPr>
              <w:t>(1,981</w:t>
            </w:r>
          </w:p>
        </w:tc>
        <w:tc>
          <w:tcPr>
            <w:tcW w:w="0" w:type="auto"/>
            <w:shd w:val="clear" w:color="auto" w:fill="FFFFFF"/>
            <w:vAlign w:val="bottom"/>
            <w:hideMark/>
          </w:tcPr>
          <w:p w14:paraId="680F7CF2" w14:textId="77777777" w:rsidR="00000000" w:rsidRDefault="009027A3">
            <w:pPr>
              <w:rPr>
                <w:rFonts w:eastAsia="Times New Roman"/>
                <w:sz w:val="20"/>
                <w:szCs w:val="20"/>
              </w:rPr>
            </w:pPr>
            <w:r>
              <w:rPr>
                <w:rFonts w:eastAsia="Times New Roman"/>
                <w:sz w:val="20"/>
                <w:szCs w:val="20"/>
              </w:rPr>
              <w:t>)</w:t>
            </w:r>
          </w:p>
        </w:tc>
      </w:tr>
      <w:tr w:rsidR="00000000" w14:paraId="382DAAAA" w14:textId="77777777">
        <w:tc>
          <w:tcPr>
            <w:tcW w:w="0" w:type="auto"/>
            <w:shd w:val="clear" w:color="auto" w:fill="CCEEFF"/>
            <w:tcMar>
              <w:top w:w="0" w:type="dxa"/>
              <w:left w:w="200" w:type="dxa"/>
              <w:bottom w:w="0" w:type="dxa"/>
              <w:right w:w="0" w:type="dxa"/>
            </w:tcMar>
            <w:vAlign w:val="bottom"/>
            <w:hideMark/>
          </w:tcPr>
          <w:p w14:paraId="71730FB3" w14:textId="77777777" w:rsidR="00000000" w:rsidRDefault="009027A3">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14:paraId="662E35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C947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85B04" w14:textId="77777777" w:rsidR="00000000" w:rsidRDefault="009027A3">
            <w:pPr>
              <w:jc w:val="right"/>
              <w:rPr>
                <w:rFonts w:eastAsia="Times New Roman"/>
                <w:sz w:val="20"/>
                <w:szCs w:val="20"/>
              </w:rPr>
            </w:pPr>
            <w:r>
              <w:rPr>
                <w:rFonts w:eastAsia="Times New Roman"/>
                <w:sz w:val="20"/>
                <w:szCs w:val="20"/>
              </w:rPr>
              <w:t>(1,402</w:t>
            </w:r>
          </w:p>
        </w:tc>
        <w:tc>
          <w:tcPr>
            <w:tcW w:w="0" w:type="auto"/>
            <w:shd w:val="clear" w:color="auto" w:fill="CCEEFF"/>
            <w:vAlign w:val="bottom"/>
            <w:hideMark/>
          </w:tcPr>
          <w:p w14:paraId="35E894BA"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369E69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5D9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EDAD7" w14:textId="77777777" w:rsidR="00000000" w:rsidRDefault="009027A3">
            <w:pPr>
              <w:jc w:val="right"/>
              <w:rPr>
                <w:rFonts w:eastAsia="Times New Roman"/>
                <w:sz w:val="20"/>
                <w:szCs w:val="20"/>
              </w:rPr>
            </w:pPr>
            <w:r>
              <w:rPr>
                <w:rFonts w:eastAsia="Times New Roman"/>
                <w:sz w:val="20"/>
                <w:szCs w:val="20"/>
              </w:rPr>
              <w:t>(820</w:t>
            </w:r>
          </w:p>
        </w:tc>
        <w:tc>
          <w:tcPr>
            <w:tcW w:w="0" w:type="auto"/>
            <w:shd w:val="clear" w:color="auto" w:fill="CCEEFF"/>
            <w:vAlign w:val="bottom"/>
            <w:hideMark/>
          </w:tcPr>
          <w:p w14:paraId="084E1FFC" w14:textId="77777777" w:rsidR="00000000" w:rsidRDefault="009027A3">
            <w:pPr>
              <w:rPr>
                <w:rFonts w:eastAsia="Times New Roman"/>
                <w:sz w:val="20"/>
                <w:szCs w:val="20"/>
              </w:rPr>
            </w:pPr>
            <w:r>
              <w:rPr>
                <w:rFonts w:eastAsia="Times New Roman"/>
                <w:sz w:val="20"/>
                <w:szCs w:val="20"/>
              </w:rPr>
              <w:t>)</w:t>
            </w:r>
          </w:p>
        </w:tc>
      </w:tr>
      <w:tr w:rsidR="00000000" w14:paraId="286FC2C8" w14:textId="77777777">
        <w:tc>
          <w:tcPr>
            <w:tcW w:w="0" w:type="auto"/>
            <w:shd w:val="clear" w:color="auto" w:fill="FFFFFF"/>
            <w:tcMar>
              <w:top w:w="0" w:type="dxa"/>
              <w:left w:w="200" w:type="dxa"/>
              <w:bottom w:w="0" w:type="dxa"/>
              <w:right w:w="0" w:type="dxa"/>
            </w:tcMar>
            <w:vAlign w:val="bottom"/>
            <w:hideMark/>
          </w:tcPr>
          <w:p w14:paraId="4AF9045D" w14:textId="77777777" w:rsidR="00000000" w:rsidRDefault="009027A3">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14:paraId="4E293E0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C54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520F3" w14:textId="77777777" w:rsidR="00000000" w:rsidRDefault="009027A3">
            <w:pPr>
              <w:jc w:val="right"/>
              <w:rPr>
                <w:rFonts w:eastAsia="Times New Roman"/>
                <w:sz w:val="20"/>
                <w:szCs w:val="20"/>
              </w:rPr>
            </w:pPr>
            <w:r>
              <w:rPr>
                <w:rFonts w:eastAsia="Times New Roman"/>
                <w:sz w:val="20"/>
                <w:szCs w:val="20"/>
              </w:rPr>
              <w:t>(241</w:t>
            </w:r>
          </w:p>
        </w:tc>
        <w:tc>
          <w:tcPr>
            <w:tcW w:w="0" w:type="auto"/>
            <w:shd w:val="clear" w:color="auto" w:fill="FFFFFF"/>
            <w:vAlign w:val="bottom"/>
            <w:hideMark/>
          </w:tcPr>
          <w:p w14:paraId="707E00BD"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2CEF33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AD0A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3CDA5" w14:textId="77777777" w:rsidR="00000000" w:rsidRDefault="009027A3">
            <w:pPr>
              <w:jc w:val="right"/>
              <w:rPr>
                <w:rFonts w:eastAsia="Times New Roman"/>
                <w:sz w:val="20"/>
                <w:szCs w:val="20"/>
              </w:rPr>
            </w:pPr>
            <w:r>
              <w:rPr>
                <w:rFonts w:eastAsia="Times New Roman"/>
                <w:sz w:val="20"/>
                <w:szCs w:val="20"/>
              </w:rPr>
              <w:t>(139</w:t>
            </w:r>
          </w:p>
        </w:tc>
        <w:tc>
          <w:tcPr>
            <w:tcW w:w="0" w:type="auto"/>
            <w:shd w:val="clear" w:color="auto" w:fill="FFFFFF"/>
            <w:vAlign w:val="bottom"/>
            <w:hideMark/>
          </w:tcPr>
          <w:p w14:paraId="64A4FC4B" w14:textId="77777777" w:rsidR="00000000" w:rsidRDefault="009027A3">
            <w:pPr>
              <w:rPr>
                <w:rFonts w:eastAsia="Times New Roman"/>
                <w:sz w:val="20"/>
                <w:szCs w:val="20"/>
              </w:rPr>
            </w:pPr>
            <w:r>
              <w:rPr>
                <w:rFonts w:eastAsia="Times New Roman"/>
                <w:sz w:val="20"/>
                <w:szCs w:val="20"/>
              </w:rPr>
              <w:t>)</w:t>
            </w:r>
          </w:p>
        </w:tc>
      </w:tr>
      <w:tr w:rsidR="00000000" w14:paraId="45C3F9D4" w14:textId="77777777">
        <w:tc>
          <w:tcPr>
            <w:tcW w:w="0" w:type="auto"/>
            <w:shd w:val="clear" w:color="auto" w:fill="CCEEFF"/>
            <w:tcMar>
              <w:top w:w="0" w:type="dxa"/>
              <w:left w:w="200" w:type="dxa"/>
              <w:bottom w:w="0" w:type="dxa"/>
              <w:right w:w="0" w:type="dxa"/>
            </w:tcMar>
            <w:vAlign w:val="bottom"/>
            <w:hideMark/>
          </w:tcPr>
          <w:p w14:paraId="62903DF5" w14:textId="77777777" w:rsidR="00000000" w:rsidRDefault="009027A3">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14:paraId="52A5CEE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F20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A2ABE" w14:textId="77777777" w:rsidR="00000000" w:rsidRDefault="009027A3">
            <w:pPr>
              <w:jc w:val="right"/>
              <w:rPr>
                <w:rFonts w:eastAsia="Times New Roman"/>
                <w:sz w:val="20"/>
                <w:szCs w:val="20"/>
              </w:rPr>
            </w:pPr>
            <w:r>
              <w:rPr>
                <w:rFonts w:eastAsia="Times New Roman"/>
                <w:sz w:val="20"/>
                <w:szCs w:val="20"/>
              </w:rPr>
              <w:t>6,392</w:t>
            </w:r>
          </w:p>
        </w:tc>
        <w:tc>
          <w:tcPr>
            <w:tcW w:w="0" w:type="auto"/>
            <w:shd w:val="clear" w:color="auto" w:fill="CCEEFF"/>
            <w:vAlign w:val="bottom"/>
            <w:hideMark/>
          </w:tcPr>
          <w:p w14:paraId="5866A5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356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5F2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703A3"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16333B8" w14:textId="77777777" w:rsidR="00000000" w:rsidRDefault="009027A3">
            <w:pPr>
              <w:rPr>
                <w:rFonts w:eastAsia="Times New Roman"/>
                <w:sz w:val="20"/>
                <w:szCs w:val="20"/>
              </w:rPr>
            </w:pPr>
            <w:r>
              <w:rPr>
                <w:rFonts w:eastAsia="Times New Roman"/>
                <w:sz w:val="20"/>
                <w:szCs w:val="20"/>
              </w:rPr>
              <w:t> </w:t>
            </w:r>
          </w:p>
        </w:tc>
      </w:tr>
      <w:tr w:rsidR="00000000" w14:paraId="51AEBCFD" w14:textId="77777777">
        <w:tc>
          <w:tcPr>
            <w:tcW w:w="0" w:type="auto"/>
            <w:shd w:val="clear" w:color="auto" w:fill="FFFFFF"/>
            <w:tcMar>
              <w:top w:w="0" w:type="dxa"/>
              <w:left w:w="200" w:type="dxa"/>
              <w:bottom w:w="0" w:type="dxa"/>
              <w:right w:w="0" w:type="dxa"/>
            </w:tcMar>
            <w:vAlign w:val="bottom"/>
            <w:hideMark/>
          </w:tcPr>
          <w:p w14:paraId="0A5407A5" w14:textId="77777777" w:rsidR="00000000" w:rsidRDefault="009027A3">
            <w:pPr>
              <w:rPr>
                <w:rFonts w:eastAsia="Times New Roman"/>
                <w:sz w:val="20"/>
                <w:szCs w:val="20"/>
              </w:rPr>
            </w:pPr>
            <w:r>
              <w:rPr>
                <w:rFonts w:eastAsia="Times New Roman"/>
                <w:sz w:val="20"/>
                <w:szCs w:val="20"/>
              </w:rPr>
              <w:t>Proceeds from line of credit</w:t>
            </w:r>
          </w:p>
        </w:tc>
        <w:tc>
          <w:tcPr>
            <w:tcW w:w="0" w:type="auto"/>
            <w:shd w:val="clear" w:color="auto" w:fill="FFFFFF"/>
            <w:vAlign w:val="bottom"/>
            <w:hideMark/>
          </w:tcPr>
          <w:p w14:paraId="54B5FF4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1066A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3EA5D4"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B6C80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4910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BB8F7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7B48E7" w14:textId="77777777" w:rsidR="00000000" w:rsidRDefault="009027A3">
            <w:pPr>
              <w:jc w:val="right"/>
              <w:rPr>
                <w:rFonts w:eastAsia="Times New Roman"/>
                <w:sz w:val="20"/>
                <w:szCs w:val="20"/>
              </w:rPr>
            </w:pPr>
            <w:r>
              <w:rPr>
                <w:rFonts w:eastAsia="Times New Roman"/>
                <w:sz w:val="20"/>
                <w:szCs w:val="20"/>
              </w:rPr>
              <w:t>9,750</w:t>
            </w:r>
          </w:p>
        </w:tc>
        <w:tc>
          <w:tcPr>
            <w:tcW w:w="0" w:type="auto"/>
            <w:shd w:val="clear" w:color="auto" w:fill="FFFFFF"/>
            <w:vAlign w:val="bottom"/>
            <w:hideMark/>
          </w:tcPr>
          <w:p w14:paraId="46A8B82F" w14:textId="77777777" w:rsidR="00000000" w:rsidRDefault="009027A3">
            <w:pPr>
              <w:rPr>
                <w:rFonts w:eastAsia="Times New Roman"/>
                <w:sz w:val="20"/>
                <w:szCs w:val="20"/>
              </w:rPr>
            </w:pPr>
            <w:r>
              <w:rPr>
                <w:rFonts w:eastAsia="Times New Roman"/>
                <w:sz w:val="20"/>
                <w:szCs w:val="20"/>
              </w:rPr>
              <w:t> </w:t>
            </w:r>
          </w:p>
        </w:tc>
      </w:tr>
      <w:tr w:rsidR="00000000" w14:paraId="4DD8FDF9" w14:textId="77777777">
        <w:tc>
          <w:tcPr>
            <w:tcW w:w="0" w:type="auto"/>
            <w:shd w:val="clear" w:color="auto" w:fill="CCEEFF"/>
            <w:tcMar>
              <w:top w:w="0" w:type="dxa"/>
              <w:left w:w="400" w:type="dxa"/>
              <w:bottom w:w="0" w:type="dxa"/>
              <w:right w:w="0" w:type="dxa"/>
            </w:tcMar>
            <w:vAlign w:val="bottom"/>
            <w:hideMark/>
          </w:tcPr>
          <w:p w14:paraId="37950E8D" w14:textId="77777777" w:rsidR="00000000" w:rsidRDefault="009027A3">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14:paraId="6C5C0C7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580C6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DF872F" w14:textId="77777777" w:rsidR="00000000" w:rsidRDefault="009027A3">
            <w:pPr>
              <w:jc w:val="right"/>
              <w:rPr>
                <w:rFonts w:eastAsia="Times New Roman"/>
                <w:sz w:val="20"/>
                <w:szCs w:val="20"/>
              </w:rPr>
            </w:pPr>
            <w:r>
              <w:rPr>
                <w:rFonts w:eastAsia="Times New Roman"/>
                <w:sz w:val="20"/>
                <w:szCs w:val="20"/>
              </w:rPr>
              <w:t>1,157</w:t>
            </w:r>
          </w:p>
        </w:tc>
        <w:tc>
          <w:tcPr>
            <w:tcW w:w="0" w:type="auto"/>
            <w:shd w:val="clear" w:color="auto" w:fill="CCEEFF"/>
            <w:vAlign w:val="bottom"/>
            <w:hideMark/>
          </w:tcPr>
          <w:p w14:paraId="6851D4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EC52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EDDFB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ACC0C1" w14:textId="77777777" w:rsidR="00000000" w:rsidRDefault="009027A3">
            <w:pPr>
              <w:jc w:val="right"/>
              <w:rPr>
                <w:rFonts w:eastAsia="Times New Roman"/>
                <w:sz w:val="20"/>
                <w:szCs w:val="20"/>
              </w:rPr>
            </w:pPr>
            <w:r>
              <w:rPr>
                <w:rFonts w:eastAsia="Times New Roman"/>
                <w:sz w:val="20"/>
                <w:szCs w:val="20"/>
              </w:rPr>
              <w:t>6,810</w:t>
            </w:r>
          </w:p>
        </w:tc>
        <w:tc>
          <w:tcPr>
            <w:tcW w:w="0" w:type="auto"/>
            <w:shd w:val="clear" w:color="auto" w:fill="CCEEFF"/>
            <w:vAlign w:val="bottom"/>
            <w:hideMark/>
          </w:tcPr>
          <w:p w14:paraId="246B9251" w14:textId="77777777" w:rsidR="00000000" w:rsidRDefault="009027A3">
            <w:pPr>
              <w:rPr>
                <w:rFonts w:eastAsia="Times New Roman"/>
                <w:sz w:val="20"/>
                <w:szCs w:val="20"/>
              </w:rPr>
            </w:pPr>
            <w:r>
              <w:rPr>
                <w:rFonts w:eastAsia="Times New Roman"/>
                <w:sz w:val="20"/>
                <w:szCs w:val="20"/>
              </w:rPr>
              <w:t> </w:t>
            </w:r>
          </w:p>
        </w:tc>
      </w:tr>
      <w:tr w:rsidR="00000000" w14:paraId="79530251" w14:textId="77777777">
        <w:tc>
          <w:tcPr>
            <w:tcW w:w="0" w:type="auto"/>
            <w:shd w:val="clear" w:color="auto" w:fill="FFFFFF"/>
            <w:vAlign w:val="bottom"/>
            <w:hideMark/>
          </w:tcPr>
          <w:p w14:paraId="18941D6A" w14:textId="77777777" w:rsidR="00000000" w:rsidRDefault="009027A3">
            <w:pPr>
              <w:rPr>
                <w:rFonts w:eastAsia="Times New Roman"/>
                <w:sz w:val="20"/>
                <w:szCs w:val="20"/>
              </w:rPr>
            </w:pPr>
            <w:r>
              <w:rPr>
                <w:rFonts w:eastAsia="Times New Roman"/>
                <w:sz w:val="20"/>
                <w:szCs w:val="20"/>
              </w:rPr>
              <w:t>EFFECT OF EXCHANGE RATE CHANGES ON CASH</w:t>
            </w:r>
          </w:p>
        </w:tc>
        <w:tc>
          <w:tcPr>
            <w:tcW w:w="0" w:type="auto"/>
            <w:shd w:val="clear" w:color="auto" w:fill="FFFFFF"/>
            <w:vAlign w:val="bottom"/>
            <w:hideMark/>
          </w:tcPr>
          <w:p w14:paraId="05392AD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2CA6C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074775" w14:textId="77777777" w:rsidR="00000000" w:rsidRDefault="009027A3">
            <w:pPr>
              <w:jc w:val="right"/>
              <w:rPr>
                <w:rFonts w:eastAsia="Times New Roman"/>
                <w:sz w:val="20"/>
                <w:szCs w:val="20"/>
              </w:rPr>
            </w:pPr>
            <w:r>
              <w:rPr>
                <w:rFonts w:eastAsia="Times New Roman"/>
                <w:sz w:val="20"/>
                <w:szCs w:val="20"/>
              </w:rPr>
              <w:t>174</w:t>
            </w:r>
          </w:p>
        </w:tc>
        <w:tc>
          <w:tcPr>
            <w:tcW w:w="0" w:type="auto"/>
            <w:shd w:val="clear" w:color="auto" w:fill="FFFFFF"/>
            <w:vAlign w:val="bottom"/>
            <w:hideMark/>
          </w:tcPr>
          <w:p w14:paraId="734D36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5CA9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AA698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A07746" w14:textId="77777777" w:rsidR="00000000" w:rsidRDefault="009027A3">
            <w:pPr>
              <w:jc w:val="right"/>
              <w:rPr>
                <w:rFonts w:eastAsia="Times New Roman"/>
                <w:sz w:val="20"/>
                <w:szCs w:val="20"/>
              </w:rPr>
            </w:pPr>
            <w:r>
              <w:rPr>
                <w:rFonts w:eastAsia="Times New Roman"/>
                <w:sz w:val="20"/>
                <w:szCs w:val="20"/>
              </w:rPr>
              <w:t>(492</w:t>
            </w:r>
          </w:p>
        </w:tc>
        <w:tc>
          <w:tcPr>
            <w:tcW w:w="0" w:type="auto"/>
            <w:shd w:val="clear" w:color="auto" w:fill="FFFFFF"/>
            <w:vAlign w:val="bottom"/>
            <w:hideMark/>
          </w:tcPr>
          <w:p w14:paraId="790CC0F2" w14:textId="77777777" w:rsidR="00000000" w:rsidRDefault="009027A3">
            <w:pPr>
              <w:rPr>
                <w:rFonts w:eastAsia="Times New Roman"/>
                <w:sz w:val="20"/>
                <w:szCs w:val="20"/>
              </w:rPr>
            </w:pPr>
            <w:r>
              <w:rPr>
                <w:rFonts w:eastAsia="Times New Roman"/>
                <w:sz w:val="20"/>
                <w:szCs w:val="20"/>
              </w:rPr>
              <w:t>)</w:t>
            </w:r>
          </w:p>
        </w:tc>
      </w:tr>
      <w:tr w:rsidR="00000000" w14:paraId="195B6B57" w14:textId="77777777">
        <w:tc>
          <w:tcPr>
            <w:tcW w:w="0" w:type="auto"/>
            <w:shd w:val="clear" w:color="auto" w:fill="CCEEFF"/>
            <w:vAlign w:val="bottom"/>
            <w:hideMark/>
          </w:tcPr>
          <w:p w14:paraId="008CC7C1" w14:textId="77777777" w:rsidR="00000000" w:rsidRDefault="009027A3">
            <w:pPr>
              <w:rPr>
                <w:rFonts w:eastAsia="Times New Roman"/>
                <w:sz w:val="20"/>
                <w:szCs w:val="20"/>
              </w:rPr>
            </w:pPr>
            <w:r>
              <w:rPr>
                <w:rFonts w:eastAsia="Times New Roman"/>
                <w:sz w:val="20"/>
                <w:szCs w:val="20"/>
              </w:rPr>
              <w:t>NET INCREASE (DECREASE) IN CASH</w:t>
            </w:r>
          </w:p>
        </w:tc>
        <w:tc>
          <w:tcPr>
            <w:tcW w:w="0" w:type="auto"/>
            <w:shd w:val="clear" w:color="auto" w:fill="CCEEFF"/>
            <w:vAlign w:val="bottom"/>
            <w:hideMark/>
          </w:tcPr>
          <w:p w14:paraId="33D7E10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F85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151EE" w14:textId="77777777" w:rsidR="00000000" w:rsidRDefault="009027A3">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14:paraId="52B0EAD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EB3C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B348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A28AB" w14:textId="77777777" w:rsidR="00000000" w:rsidRDefault="009027A3">
            <w:pPr>
              <w:jc w:val="right"/>
              <w:rPr>
                <w:rFonts w:eastAsia="Times New Roman"/>
                <w:sz w:val="20"/>
                <w:szCs w:val="20"/>
              </w:rPr>
            </w:pPr>
            <w:r>
              <w:rPr>
                <w:rFonts w:eastAsia="Times New Roman"/>
                <w:sz w:val="20"/>
                <w:szCs w:val="20"/>
              </w:rPr>
              <w:t>(11,599</w:t>
            </w:r>
          </w:p>
        </w:tc>
        <w:tc>
          <w:tcPr>
            <w:tcW w:w="0" w:type="auto"/>
            <w:shd w:val="clear" w:color="auto" w:fill="CCEEFF"/>
            <w:vAlign w:val="bottom"/>
            <w:hideMark/>
          </w:tcPr>
          <w:p w14:paraId="21F6EFD4" w14:textId="77777777" w:rsidR="00000000" w:rsidRDefault="009027A3">
            <w:pPr>
              <w:rPr>
                <w:rFonts w:eastAsia="Times New Roman"/>
                <w:sz w:val="20"/>
                <w:szCs w:val="20"/>
              </w:rPr>
            </w:pPr>
            <w:r>
              <w:rPr>
                <w:rFonts w:eastAsia="Times New Roman"/>
                <w:sz w:val="20"/>
                <w:szCs w:val="20"/>
              </w:rPr>
              <w:t>)</w:t>
            </w:r>
          </w:p>
        </w:tc>
      </w:tr>
      <w:tr w:rsidR="00000000" w14:paraId="29EA9BD0" w14:textId="77777777">
        <w:tc>
          <w:tcPr>
            <w:tcW w:w="0" w:type="auto"/>
            <w:shd w:val="clear" w:color="auto" w:fill="FFFFFF"/>
            <w:vAlign w:val="bottom"/>
            <w:hideMark/>
          </w:tcPr>
          <w:p w14:paraId="63319B7B" w14:textId="77777777" w:rsidR="00000000" w:rsidRDefault="009027A3">
            <w:pPr>
              <w:rPr>
                <w:rFonts w:eastAsia="Times New Roman"/>
                <w:sz w:val="20"/>
                <w:szCs w:val="20"/>
              </w:rPr>
            </w:pPr>
            <w:r>
              <w:rPr>
                <w:rFonts w:eastAsia="Times New Roman"/>
                <w:sz w:val="20"/>
                <w:szCs w:val="20"/>
              </w:rPr>
              <w:t>CASH - beginning of the period</w:t>
            </w:r>
          </w:p>
        </w:tc>
        <w:tc>
          <w:tcPr>
            <w:tcW w:w="0" w:type="auto"/>
            <w:shd w:val="clear" w:color="auto" w:fill="FFFFFF"/>
            <w:vAlign w:val="bottom"/>
            <w:hideMark/>
          </w:tcPr>
          <w:p w14:paraId="0126A45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7B4B3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022E65" w14:textId="77777777" w:rsidR="00000000" w:rsidRDefault="009027A3">
            <w:pPr>
              <w:jc w:val="right"/>
              <w:rPr>
                <w:rFonts w:eastAsia="Times New Roman"/>
                <w:sz w:val="20"/>
                <w:szCs w:val="20"/>
              </w:rPr>
            </w:pPr>
            <w:r>
              <w:rPr>
                <w:rFonts w:eastAsia="Times New Roman"/>
                <w:sz w:val="20"/>
                <w:szCs w:val="20"/>
              </w:rPr>
              <w:t>20,925</w:t>
            </w:r>
          </w:p>
        </w:tc>
        <w:tc>
          <w:tcPr>
            <w:tcW w:w="0" w:type="auto"/>
            <w:shd w:val="clear" w:color="auto" w:fill="FFFFFF"/>
            <w:vAlign w:val="bottom"/>
            <w:hideMark/>
          </w:tcPr>
          <w:p w14:paraId="61BA7F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B4956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D49E5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CAFDC4" w14:textId="77777777" w:rsidR="00000000" w:rsidRDefault="009027A3">
            <w:pPr>
              <w:jc w:val="right"/>
              <w:rPr>
                <w:rFonts w:eastAsia="Times New Roman"/>
                <w:sz w:val="20"/>
                <w:szCs w:val="20"/>
              </w:rPr>
            </w:pPr>
            <w:r>
              <w:rPr>
                <w:rFonts w:eastAsia="Times New Roman"/>
                <w:sz w:val="20"/>
                <w:szCs w:val="20"/>
              </w:rPr>
              <w:t>19,994</w:t>
            </w:r>
          </w:p>
        </w:tc>
        <w:tc>
          <w:tcPr>
            <w:tcW w:w="0" w:type="auto"/>
            <w:shd w:val="clear" w:color="auto" w:fill="FFFFFF"/>
            <w:vAlign w:val="bottom"/>
            <w:hideMark/>
          </w:tcPr>
          <w:p w14:paraId="2D762EB5" w14:textId="77777777" w:rsidR="00000000" w:rsidRDefault="009027A3">
            <w:pPr>
              <w:rPr>
                <w:rFonts w:eastAsia="Times New Roman"/>
                <w:sz w:val="20"/>
                <w:szCs w:val="20"/>
              </w:rPr>
            </w:pPr>
            <w:r>
              <w:rPr>
                <w:rFonts w:eastAsia="Times New Roman"/>
                <w:sz w:val="20"/>
                <w:szCs w:val="20"/>
              </w:rPr>
              <w:t> </w:t>
            </w:r>
          </w:p>
        </w:tc>
      </w:tr>
      <w:tr w:rsidR="00000000" w14:paraId="1EE5E8D6" w14:textId="77777777">
        <w:tc>
          <w:tcPr>
            <w:tcW w:w="0" w:type="auto"/>
            <w:shd w:val="clear" w:color="auto" w:fill="CCEEFF"/>
            <w:vAlign w:val="bottom"/>
            <w:hideMark/>
          </w:tcPr>
          <w:p w14:paraId="28684E09" w14:textId="77777777" w:rsidR="00000000" w:rsidRDefault="009027A3">
            <w:pPr>
              <w:rPr>
                <w:rFonts w:eastAsia="Times New Roman"/>
                <w:sz w:val="20"/>
                <w:szCs w:val="20"/>
              </w:rPr>
            </w:pPr>
            <w:r>
              <w:rPr>
                <w:rFonts w:eastAsia="Times New Roman"/>
                <w:sz w:val="20"/>
                <w:szCs w:val="20"/>
              </w:rPr>
              <w:t>CASH - end of the period</w:t>
            </w:r>
          </w:p>
        </w:tc>
        <w:tc>
          <w:tcPr>
            <w:tcW w:w="0" w:type="auto"/>
            <w:shd w:val="clear" w:color="auto" w:fill="CCEEFF"/>
            <w:vAlign w:val="bottom"/>
            <w:hideMark/>
          </w:tcPr>
          <w:p w14:paraId="4486701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86B409"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B5B860" w14:textId="77777777" w:rsidR="00000000" w:rsidRDefault="009027A3">
            <w:pPr>
              <w:jc w:val="right"/>
              <w:rPr>
                <w:rFonts w:eastAsia="Times New Roman"/>
                <w:sz w:val="20"/>
                <w:szCs w:val="20"/>
              </w:rPr>
            </w:pPr>
            <w:r>
              <w:rPr>
                <w:rFonts w:eastAsia="Times New Roman"/>
                <w:sz w:val="20"/>
                <w:szCs w:val="20"/>
              </w:rPr>
              <w:t>20,995</w:t>
            </w:r>
          </w:p>
        </w:tc>
        <w:tc>
          <w:tcPr>
            <w:tcW w:w="0" w:type="auto"/>
            <w:shd w:val="clear" w:color="auto" w:fill="CCEEFF"/>
            <w:vAlign w:val="bottom"/>
            <w:hideMark/>
          </w:tcPr>
          <w:p w14:paraId="4C6F257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E6542"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7F72E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469327D" w14:textId="77777777" w:rsidR="00000000" w:rsidRDefault="009027A3">
            <w:pPr>
              <w:jc w:val="right"/>
              <w:rPr>
                <w:rFonts w:eastAsia="Times New Roman"/>
                <w:sz w:val="20"/>
                <w:szCs w:val="20"/>
              </w:rPr>
            </w:pPr>
            <w:r>
              <w:rPr>
                <w:rFonts w:eastAsia="Times New Roman"/>
                <w:sz w:val="20"/>
                <w:szCs w:val="20"/>
              </w:rPr>
              <w:t>8,395</w:t>
            </w:r>
          </w:p>
        </w:tc>
        <w:tc>
          <w:tcPr>
            <w:tcW w:w="0" w:type="auto"/>
            <w:shd w:val="clear" w:color="auto" w:fill="CCEEFF"/>
            <w:vAlign w:val="bottom"/>
            <w:hideMark/>
          </w:tcPr>
          <w:p w14:paraId="22C29BF6" w14:textId="77777777" w:rsidR="00000000" w:rsidRDefault="009027A3">
            <w:pPr>
              <w:rPr>
                <w:rFonts w:eastAsia="Times New Roman"/>
                <w:sz w:val="20"/>
                <w:szCs w:val="20"/>
              </w:rPr>
            </w:pPr>
            <w:r>
              <w:rPr>
                <w:rFonts w:eastAsia="Times New Roman"/>
                <w:sz w:val="20"/>
                <w:szCs w:val="20"/>
              </w:rPr>
              <w:t> </w:t>
            </w:r>
          </w:p>
        </w:tc>
      </w:tr>
      <w:tr w:rsidR="00000000" w14:paraId="37C7882B" w14:textId="77777777">
        <w:tc>
          <w:tcPr>
            <w:tcW w:w="0" w:type="auto"/>
            <w:shd w:val="clear" w:color="auto" w:fill="FFFFFF"/>
            <w:vAlign w:val="bottom"/>
            <w:hideMark/>
          </w:tcPr>
          <w:p w14:paraId="7522239E" w14:textId="77777777" w:rsidR="00000000" w:rsidRDefault="009027A3">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14:paraId="39BD68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8F3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7CA3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9496A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3C7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D9184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4C5E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A97A5A" w14:textId="77777777" w:rsidR="00000000" w:rsidRDefault="009027A3">
            <w:pPr>
              <w:rPr>
                <w:rFonts w:eastAsia="Times New Roman"/>
                <w:sz w:val="20"/>
                <w:szCs w:val="20"/>
              </w:rPr>
            </w:pPr>
            <w:r>
              <w:rPr>
                <w:rFonts w:eastAsia="Times New Roman"/>
                <w:sz w:val="20"/>
                <w:szCs w:val="20"/>
              </w:rPr>
              <w:t> </w:t>
            </w:r>
          </w:p>
        </w:tc>
      </w:tr>
      <w:tr w:rsidR="00000000" w14:paraId="6DE3C7AA" w14:textId="77777777">
        <w:tc>
          <w:tcPr>
            <w:tcW w:w="0" w:type="auto"/>
            <w:shd w:val="clear" w:color="auto" w:fill="CCEEFF"/>
            <w:tcMar>
              <w:top w:w="0" w:type="dxa"/>
              <w:left w:w="200" w:type="dxa"/>
              <w:bottom w:w="0" w:type="dxa"/>
              <w:right w:w="0" w:type="dxa"/>
            </w:tcMar>
            <w:vAlign w:val="bottom"/>
            <w:hideMark/>
          </w:tcPr>
          <w:p w14:paraId="7CBF994F" w14:textId="77777777" w:rsidR="00000000" w:rsidRDefault="009027A3">
            <w:pPr>
              <w:rPr>
                <w:rFonts w:eastAsia="Times New Roman"/>
                <w:sz w:val="20"/>
                <w:szCs w:val="20"/>
              </w:rPr>
            </w:pPr>
            <w:r>
              <w:rPr>
                <w:rFonts w:eastAsia="Times New Roman"/>
                <w:sz w:val="20"/>
                <w:szCs w:val="20"/>
              </w:rPr>
              <w:t>Preferred stock issued in connection with an acquisition</w:t>
            </w:r>
          </w:p>
        </w:tc>
        <w:tc>
          <w:tcPr>
            <w:tcW w:w="0" w:type="auto"/>
            <w:shd w:val="clear" w:color="auto" w:fill="CCEEFF"/>
            <w:vAlign w:val="bottom"/>
            <w:hideMark/>
          </w:tcPr>
          <w:p w14:paraId="5D6954AC"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E236C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D5B7602"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8CB1A2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B6DB2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03301B"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1593EB8" w14:textId="77777777" w:rsidR="00000000" w:rsidRDefault="009027A3">
            <w:pPr>
              <w:jc w:val="right"/>
              <w:rPr>
                <w:rFonts w:eastAsia="Times New Roman"/>
                <w:sz w:val="20"/>
                <w:szCs w:val="20"/>
              </w:rPr>
            </w:pPr>
            <w:r>
              <w:rPr>
                <w:rFonts w:eastAsia="Times New Roman"/>
                <w:sz w:val="20"/>
                <w:szCs w:val="20"/>
              </w:rPr>
              <w:t>19,000</w:t>
            </w:r>
          </w:p>
        </w:tc>
        <w:tc>
          <w:tcPr>
            <w:tcW w:w="0" w:type="auto"/>
            <w:shd w:val="clear" w:color="auto" w:fill="CCEEFF"/>
            <w:vAlign w:val="bottom"/>
            <w:hideMark/>
          </w:tcPr>
          <w:p w14:paraId="17C7FA8E" w14:textId="77777777" w:rsidR="00000000" w:rsidRDefault="009027A3">
            <w:pPr>
              <w:rPr>
                <w:rFonts w:eastAsia="Times New Roman"/>
                <w:sz w:val="20"/>
                <w:szCs w:val="20"/>
              </w:rPr>
            </w:pPr>
            <w:r>
              <w:rPr>
                <w:rFonts w:eastAsia="Times New Roman"/>
                <w:sz w:val="20"/>
                <w:szCs w:val="20"/>
              </w:rPr>
              <w:t> </w:t>
            </w:r>
          </w:p>
        </w:tc>
      </w:tr>
      <w:tr w:rsidR="00000000" w14:paraId="09CDA9C2" w14:textId="77777777">
        <w:tc>
          <w:tcPr>
            <w:tcW w:w="0" w:type="auto"/>
            <w:shd w:val="clear" w:color="auto" w:fill="FFFFFF"/>
            <w:tcMar>
              <w:top w:w="0" w:type="dxa"/>
              <w:left w:w="200" w:type="dxa"/>
              <w:bottom w:w="0" w:type="dxa"/>
              <w:right w:w="0" w:type="dxa"/>
            </w:tcMar>
            <w:vAlign w:val="bottom"/>
            <w:hideMark/>
          </w:tcPr>
          <w:p w14:paraId="566FB9CB" w14:textId="77777777" w:rsidR="00000000" w:rsidRDefault="009027A3">
            <w:pPr>
              <w:rPr>
                <w:rFonts w:eastAsia="Times New Roman"/>
                <w:sz w:val="20"/>
                <w:szCs w:val="20"/>
              </w:rPr>
            </w:pPr>
            <w:r>
              <w:rPr>
                <w:rFonts w:eastAsia="Times New Roman"/>
                <w:sz w:val="20"/>
                <w:szCs w:val="20"/>
              </w:rPr>
              <w:t>Dividends declared, not paid</w:t>
            </w:r>
          </w:p>
        </w:tc>
        <w:tc>
          <w:tcPr>
            <w:tcW w:w="0" w:type="auto"/>
            <w:shd w:val="clear" w:color="auto" w:fill="FFFFFF"/>
            <w:vAlign w:val="bottom"/>
            <w:hideMark/>
          </w:tcPr>
          <w:p w14:paraId="1737967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A93EE0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2069FA" w14:textId="77777777" w:rsidR="00000000" w:rsidRDefault="009027A3">
            <w:pPr>
              <w:jc w:val="right"/>
              <w:rPr>
                <w:rFonts w:eastAsia="Times New Roman"/>
                <w:sz w:val="20"/>
                <w:szCs w:val="20"/>
              </w:rPr>
            </w:pPr>
            <w:r>
              <w:rPr>
                <w:rFonts w:eastAsia="Times New Roman"/>
                <w:sz w:val="20"/>
                <w:szCs w:val="20"/>
              </w:rPr>
              <w:t>3,777</w:t>
            </w:r>
          </w:p>
        </w:tc>
        <w:tc>
          <w:tcPr>
            <w:tcW w:w="0" w:type="auto"/>
            <w:shd w:val="clear" w:color="auto" w:fill="FFFFFF"/>
            <w:vAlign w:val="bottom"/>
            <w:hideMark/>
          </w:tcPr>
          <w:p w14:paraId="7E8E5BF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AB26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4BD32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EFFA3A" w14:textId="77777777" w:rsidR="00000000" w:rsidRDefault="009027A3">
            <w:pPr>
              <w:jc w:val="right"/>
              <w:rPr>
                <w:rFonts w:eastAsia="Times New Roman"/>
                <w:sz w:val="20"/>
                <w:szCs w:val="20"/>
              </w:rPr>
            </w:pPr>
            <w:r>
              <w:rPr>
                <w:rFonts w:eastAsia="Times New Roman"/>
                <w:sz w:val="20"/>
                <w:szCs w:val="20"/>
              </w:rPr>
              <w:t>2,407</w:t>
            </w:r>
          </w:p>
        </w:tc>
        <w:tc>
          <w:tcPr>
            <w:tcW w:w="0" w:type="auto"/>
            <w:shd w:val="clear" w:color="auto" w:fill="FFFFFF"/>
            <w:vAlign w:val="bottom"/>
            <w:hideMark/>
          </w:tcPr>
          <w:p w14:paraId="325F36FF" w14:textId="77777777" w:rsidR="00000000" w:rsidRDefault="009027A3">
            <w:pPr>
              <w:rPr>
                <w:rFonts w:eastAsia="Times New Roman"/>
                <w:sz w:val="20"/>
                <w:szCs w:val="20"/>
              </w:rPr>
            </w:pPr>
            <w:r>
              <w:rPr>
                <w:rFonts w:eastAsia="Times New Roman"/>
                <w:sz w:val="20"/>
                <w:szCs w:val="20"/>
              </w:rPr>
              <w:t> </w:t>
            </w:r>
          </w:p>
        </w:tc>
      </w:tr>
      <w:tr w:rsidR="00000000" w14:paraId="476AC17D" w14:textId="77777777">
        <w:tc>
          <w:tcPr>
            <w:tcW w:w="0" w:type="auto"/>
            <w:shd w:val="clear" w:color="auto" w:fill="CCEEFF"/>
            <w:tcMar>
              <w:top w:w="0" w:type="dxa"/>
              <w:left w:w="200" w:type="dxa"/>
              <w:bottom w:w="0" w:type="dxa"/>
              <w:right w:w="0" w:type="dxa"/>
            </w:tcMar>
            <w:vAlign w:val="bottom"/>
            <w:hideMark/>
          </w:tcPr>
          <w:p w14:paraId="31F63824" w14:textId="77777777" w:rsidR="00000000" w:rsidRDefault="009027A3">
            <w:pPr>
              <w:rPr>
                <w:rFonts w:eastAsia="Times New Roman"/>
                <w:sz w:val="20"/>
                <w:szCs w:val="20"/>
              </w:rPr>
            </w:pPr>
            <w:r>
              <w:rPr>
                <w:rFonts w:eastAsia="Times New Roman"/>
                <w:sz w:val="20"/>
                <w:szCs w:val="20"/>
              </w:rPr>
              <w:t>Warrants issued</w:t>
            </w:r>
          </w:p>
        </w:tc>
        <w:tc>
          <w:tcPr>
            <w:tcW w:w="0" w:type="auto"/>
            <w:shd w:val="clear" w:color="auto" w:fill="CCEEFF"/>
            <w:vAlign w:val="bottom"/>
            <w:hideMark/>
          </w:tcPr>
          <w:p w14:paraId="4DD48D8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E47373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D1DD60E"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CA99C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2E86E"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ECB9541"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329E1E4" w14:textId="77777777" w:rsidR="00000000" w:rsidRDefault="009027A3">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14:paraId="48CBA44C" w14:textId="77777777" w:rsidR="00000000" w:rsidRDefault="009027A3">
            <w:pPr>
              <w:rPr>
                <w:rFonts w:eastAsia="Times New Roman"/>
                <w:sz w:val="20"/>
                <w:szCs w:val="20"/>
              </w:rPr>
            </w:pPr>
            <w:r>
              <w:rPr>
                <w:rFonts w:eastAsia="Times New Roman"/>
                <w:sz w:val="20"/>
                <w:szCs w:val="20"/>
              </w:rPr>
              <w:t> </w:t>
            </w:r>
          </w:p>
        </w:tc>
      </w:tr>
      <w:tr w:rsidR="00000000" w14:paraId="7EE53D65" w14:textId="77777777">
        <w:tc>
          <w:tcPr>
            <w:tcW w:w="0" w:type="auto"/>
            <w:shd w:val="clear" w:color="auto" w:fill="FFFFFF"/>
            <w:vAlign w:val="bottom"/>
            <w:hideMark/>
          </w:tcPr>
          <w:p w14:paraId="658DB5FE" w14:textId="77777777" w:rsidR="00000000" w:rsidRDefault="009027A3">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FFFFFF"/>
            <w:vAlign w:val="bottom"/>
            <w:hideMark/>
          </w:tcPr>
          <w:p w14:paraId="088BCC7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F6FA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B60F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24A5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FCB5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7CC0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9F34A"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374F2C" w14:textId="77777777" w:rsidR="00000000" w:rsidRDefault="009027A3">
            <w:pPr>
              <w:rPr>
                <w:rFonts w:eastAsia="Times New Roman"/>
                <w:sz w:val="20"/>
                <w:szCs w:val="20"/>
              </w:rPr>
            </w:pPr>
            <w:r>
              <w:rPr>
                <w:rFonts w:eastAsia="Times New Roman"/>
                <w:sz w:val="20"/>
                <w:szCs w:val="20"/>
              </w:rPr>
              <w:t> </w:t>
            </w:r>
          </w:p>
        </w:tc>
      </w:tr>
      <w:tr w:rsidR="00000000" w14:paraId="45D0806C" w14:textId="77777777">
        <w:tc>
          <w:tcPr>
            <w:tcW w:w="0" w:type="auto"/>
            <w:shd w:val="clear" w:color="auto" w:fill="CCEEFF"/>
            <w:tcMar>
              <w:top w:w="0" w:type="dxa"/>
              <w:left w:w="200" w:type="dxa"/>
              <w:bottom w:w="0" w:type="dxa"/>
              <w:right w:w="0" w:type="dxa"/>
            </w:tcMar>
            <w:vAlign w:val="bottom"/>
            <w:hideMark/>
          </w:tcPr>
          <w:p w14:paraId="3B7159E8" w14:textId="77777777" w:rsidR="00000000" w:rsidRDefault="009027A3">
            <w:pPr>
              <w:rPr>
                <w:rFonts w:eastAsia="Times New Roman"/>
                <w:sz w:val="20"/>
                <w:szCs w:val="20"/>
              </w:rPr>
            </w:pPr>
            <w:r>
              <w:rPr>
                <w:rFonts w:eastAsia="Times New Roman"/>
                <w:sz w:val="20"/>
                <w:szCs w:val="20"/>
              </w:rPr>
              <w:t>Income taxes</w:t>
            </w:r>
          </w:p>
        </w:tc>
        <w:tc>
          <w:tcPr>
            <w:tcW w:w="0" w:type="auto"/>
            <w:shd w:val="clear" w:color="auto" w:fill="CCEEFF"/>
            <w:vAlign w:val="bottom"/>
            <w:hideMark/>
          </w:tcPr>
          <w:p w14:paraId="0692E9D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214DF8"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B908C6" w14:textId="77777777" w:rsidR="00000000" w:rsidRDefault="009027A3">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14:paraId="02925A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5F24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A7B644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AC3FA20" w14:textId="77777777" w:rsidR="00000000" w:rsidRDefault="009027A3">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14:paraId="6B5F65C7" w14:textId="77777777" w:rsidR="00000000" w:rsidRDefault="009027A3">
            <w:pPr>
              <w:rPr>
                <w:rFonts w:eastAsia="Times New Roman"/>
                <w:sz w:val="20"/>
                <w:szCs w:val="20"/>
              </w:rPr>
            </w:pPr>
            <w:r>
              <w:rPr>
                <w:rFonts w:eastAsia="Times New Roman"/>
                <w:sz w:val="20"/>
                <w:szCs w:val="20"/>
              </w:rPr>
              <w:t> </w:t>
            </w:r>
          </w:p>
        </w:tc>
      </w:tr>
      <w:tr w:rsidR="00000000" w14:paraId="5F0083F9" w14:textId="77777777">
        <w:tc>
          <w:tcPr>
            <w:tcW w:w="0" w:type="auto"/>
            <w:shd w:val="clear" w:color="auto" w:fill="FFFFFF"/>
            <w:tcMar>
              <w:top w:w="0" w:type="dxa"/>
              <w:left w:w="200" w:type="dxa"/>
              <w:bottom w:w="0" w:type="dxa"/>
              <w:right w:w="0" w:type="dxa"/>
            </w:tcMar>
            <w:vAlign w:val="bottom"/>
            <w:hideMark/>
          </w:tcPr>
          <w:p w14:paraId="6ADB9642" w14:textId="77777777" w:rsidR="00000000" w:rsidRDefault="009027A3">
            <w:pPr>
              <w:rPr>
                <w:rFonts w:eastAsia="Times New Roman"/>
                <w:sz w:val="20"/>
                <w:szCs w:val="20"/>
              </w:rPr>
            </w:pPr>
            <w:r>
              <w:rPr>
                <w:rFonts w:eastAsia="Times New Roman"/>
                <w:sz w:val="20"/>
                <w:szCs w:val="20"/>
              </w:rPr>
              <w:t>Interest</w:t>
            </w:r>
          </w:p>
        </w:tc>
        <w:tc>
          <w:tcPr>
            <w:tcW w:w="0" w:type="auto"/>
            <w:shd w:val="clear" w:color="auto" w:fill="FFFFFF"/>
            <w:vAlign w:val="bottom"/>
            <w:hideMark/>
          </w:tcPr>
          <w:p w14:paraId="052058D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4FC00B3"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2B3A467" w14:textId="77777777" w:rsidR="00000000" w:rsidRDefault="009027A3">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10B6C0F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46F88"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07A50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D52B13F" w14:textId="77777777" w:rsidR="00000000" w:rsidRDefault="009027A3">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08667E1B" w14:textId="77777777" w:rsidR="00000000" w:rsidRDefault="009027A3">
            <w:pPr>
              <w:rPr>
                <w:rFonts w:eastAsia="Times New Roman"/>
                <w:sz w:val="20"/>
                <w:szCs w:val="20"/>
              </w:rPr>
            </w:pPr>
            <w:r>
              <w:rPr>
                <w:rFonts w:eastAsia="Times New Roman"/>
                <w:sz w:val="20"/>
                <w:szCs w:val="20"/>
              </w:rPr>
              <w:t> </w:t>
            </w:r>
          </w:p>
        </w:tc>
      </w:tr>
    </w:tbl>
    <w:p w14:paraId="31D3C575" w14:textId="77777777" w:rsidR="00000000" w:rsidRDefault="009027A3">
      <w:pPr>
        <w:pStyle w:val="a3"/>
        <w:spacing w:before="0" w:beforeAutospacing="0" w:after="0" w:afterAutospacing="0"/>
        <w:rPr>
          <w:sz w:val="20"/>
          <w:szCs w:val="20"/>
        </w:rPr>
      </w:pPr>
      <w:r>
        <w:rPr>
          <w:sz w:val="20"/>
          <w:szCs w:val="20"/>
        </w:rPr>
        <w:t> </w:t>
      </w:r>
    </w:p>
    <w:p w14:paraId="244ADB25" w14:textId="77777777" w:rsidR="00000000" w:rsidRDefault="009027A3">
      <w:pPr>
        <w:pStyle w:val="a3"/>
        <w:spacing w:before="0" w:beforeAutospacing="0" w:after="0" w:afterAutospacing="0"/>
        <w:rPr>
          <w:sz w:val="20"/>
          <w:szCs w:val="20"/>
        </w:rPr>
      </w:pPr>
      <w:r>
        <w:rPr>
          <w:sz w:val="20"/>
          <w:szCs w:val="20"/>
        </w:rPr>
        <w:t>See notes to condensed consolidated financial statements.</w:t>
      </w:r>
    </w:p>
    <w:p w14:paraId="66C5D269" w14:textId="77777777" w:rsidR="00000000" w:rsidRDefault="009027A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1FF8AD4" w14:textId="77777777">
        <w:trPr>
          <w:divId w:val="2033334511"/>
        </w:trPr>
        <w:tc>
          <w:tcPr>
            <w:tcW w:w="5000" w:type="pct"/>
            <w:hideMark/>
          </w:tcPr>
          <w:p w14:paraId="4E25FA48" w14:textId="77777777" w:rsidR="00000000" w:rsidRDefault="009027A3">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663D72B1" w14:textId="77777777">
        <w:tc>
          <w:tcPr>
            <w:tcW w:w="5000" w:type="pct"/>
            <w:hideMark/>
          </w:tcPr>
          <w:p w14:paraId="637DA55B" w14:textId="77777777" w:rsidR="00000000" w:rsidRDefault="009027A3">
            <w:pPr>
              <w:rPr>
                <w:rFonts w:eastAsia="Times New Roman"/>
                <w:sz w:val="20"/>
                <w:szCs w:val="20"/>
              </w:rPr>
            </w:pPr>
            <w:r>
              <w:rPr>
                <w:rFonts w:eastAsia="Times New Roman"/>
                <w:sz w:val="20"/>
                <w:szCs w:val="20"/>
              </w:rPr>
              <w:t> </w:t>
            </w:r>
          </w:p>
        </w:tc>
      </w:tr>
    </w:tbl>
    <w:p w14:paraId="5E65D9F3" w14:textId="77777777" w:rsidR="00000000" w:rsidRDefault="009027A3">
      <w:pPr>
        <w:pStyle w:val="a3"/>
        <w:spacing w:before="0" w:beforeAutospacing="0" w:after="0" w:afterAutospacing="0"/>
        <w:rPr>
          <w:sz w:val="20"/>
          <w:szCs w:val="20"/>
        </w:rPr>
      </w:pPr>
      <w:r>
        <w:rPr>
          <w:b/>
          <w:bCs/>
          <w:sz w:val="20"/>
          <w:szCs w:val="20"/>
        </w:rPr>
        <w:t> </w:t>
      </w:r>
    </w:p>
    <w:p w14:paraId="04671D77" w14:textId="77777777" w:rsidR="00000000" w:rsidRDefault="009027A3">
      <w:pPr>
        <w:pStyle w:val="a3"/>
        <w:spacing w:before="0" w:beforeAutospacing="0" w:after="0" w:afterAutospacing="0"/>
        <w:ind w:left="475"/>
        <w:jc w:val="center"/>
        <w:rPr>
          <w:sz w:val="20"/>
          <w:szCs w:val="20"/>
        </w:rPr>
      </w:pPr>
      <w:r>
        <w:rPr>
          <w:b/>
          <w:bCs/>
          <w:sz w:val="20"/>
          <w:szCs w:val="20"/>
        </w:rPr>
        <w:t>CARECLOUD, INC.</w:t>
      </w:r>
    </w:p>
    <w:p w14:paraId="02E21E13" w14:textId="77777777" w:rsidR="00000000" w:rsidRDefault="009027A3">
      <w:pPr>
        <w:pStyle w:val="a3"/>
        <w:spacing w:before="0" w:beforeAutospacing="0" w:after="0" w:afterAutospacing="0"/>
        <w:ind w:left="475"/>
        <w:jc w:val="center"/>
        <w:rPr>
          <w:sz w:val="20"/>
          <w:szCs w:val="20"/>
        </w:rPr>
      </w:pPr>
      <w:bookmarkStart w:id="7" w:name="a_007"/>
      <w:bookmarkEnd w:id="7"/>
      <w:r>
        <w:rPr>
          <w:b/>
          <w:bCs/>
          <w:sz w:val="20"/>
          <w:szCs w:val="20"/>
        </w:rPr>
        <w:t xml:space="preserve">NOTES </w:t>
      </w:r>
      <w:r>
        <w:rPr>
          <w:b/>
          <w:bCs/>
          <w:sz w:val="20"/>
          <w:szCs w:val="20"/>
        </w:rPr>
        <w:t>TO CONDENSED CONSOLIDATED FINANCIAL STATEMENTS</w:t>
      </w:r>
    </w:p>
    <w:p w14:paraId="37A86916" w14:textId="77777777" w:rsidR="00000000" w:rsidRDefault="009027A3">
      <w:pPr>
        <w:pStyle w:val="a3"/>
        <w:spacing w:before="0" w:beforeAutospacing="0" w:after="0" w:afterAutospacing="0"/>
        <w:ind w:left="475"/>
        <w:jc w:val="center"/>
        <w:rPr>
          <w:sz w:val="20"/>
          <w:szCs w:val="20"/>
        </w:rPr>
      </w:pPr>
      <w:r>
        <w:rPr>
          <w:b/>
          <w:bCs/>
          <w:sz w:val="20"/>
          <w:szCs w:val="20"/>
        </w:rPr>
        <w:t xml:space="preserve">AS OF AND FOR THE THREE MONTHS ENDED MARCH 31, 2021 </w:t>
      </w:r>
    </w:p>
    <w:p w14:paraId="52D454F3" w14:textId="77777777" w:rsidR="00000000" w:rsidRDefault="009027A3">
      <w:pPr>
        <w:pStyle w:val="a3"/>
        <w:spacing w:before="0" w:beforeAutospacing="0" w:after="0" w:afterAutospacing="0"/>
        <w:ind w:left="475"/>
        <w:jc w:val="center"/>
        <w:rPr>
          <w:sz w:val="20"/>
          <w:szCs w:val="20"/>
        </w:rPr>
      </w:pPr>
      <w:r>
        <w:rPr>
          <w:b/>
          <w:bCs/>
          <w:sz w:val="20"/>
          <w:szCs w:val="20"/>
        </w:rPr>
        <w:t>AND 2020 (UNAUDITED)</w:t>
      </w:r>
    </w:p>
    <w:p w14:paraId="36CBC498" w14:textId="77777777" w:rsidR="00000000" w:rsidRDefault="009027A3">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5A36DAA8" w14:textId="77777777">
        <w:tc>
          <w:tcPr>
            <w:tcW w:w="720" w:type="dxa"/>
            <w:hideMark/>
          </w:tcPr>
          <w:p w14:paraId="4241DEA6" w14:textId="77777777" w:rsidR="00000000" w:rsidRDefault="009027A3">
            <w:pPr>
              <w:rPr>
                <w:rFonts w:eastAsia="Times New Roman"/>
                <w:b/>
                <w:bCs/>
                <w:caps/>
                <w:sz w:val="22"/>
                <w:szCs w:val="22"/>
              </w:rPr>
            </w:pPr>
            <w:r>
              <w:rPr>
                <w:rFonts w:eastAsia="Times New Roman"/>
                <w:b/>
                <w:bCs/>
                <w:caps/>
                <w:sz w:val="20"/>
                <w:szCs w:val="20"/>
              </w:rPr>
              <w:t>1.</w:t>
            </w:r>
          </w:p>
        </w:tc>
        <w:tc>
          <w:tcPr>
            <w:tcW w:w="0" w:type="auto"/>
            <w:hideMark/>
          </w:tcPr>
          <w:p w14:paraId="74076191" w14:textId="77777777" w:rsidR="00000000" w:rsidRDefault="009027A3">
            <w:pPr>
              <w:rPr>
                <w:rFonts w:eastAsia="Times New Roman"/>
                <w:b/>
                <w:bCs/>
                <w:caps/>
                <w:sz w:val="22"/>
                <w:szCs w:val="22"/>
              </w:rPr>
            </w:pPr>
            <w:r>
              <w:rPr>
                <w:rFonts w:eastAsia="Times New Roman"/>
                <w:b/>
                <w:bCs/>
                <w:caps/>
                <w:sz w:val="20"/>
                <w:szCs w:val="20"/>
              </w:rPr>
              <w:t>Organization and Business</w:t>
            </w:r>
          </w:p>
        </w:tc>
      </w:tr>
    </w:tbl>
    <w:p w14:paraId="056F36ED" w14:textId="77777777" w:rsidR="00000000" w:rsidRDefault="009027A3">
      <w:pPr>
        <w:pStyle w:val="a3"/>
        <w:spacing w:before="0" w:beforeAutospacing="0" w:after="0" w:afterAutospacing="0"/>
        <w:jc w:val="both"/>
        <w:rPr>
          <w:sz w:val="20"/>
          <w:szCs w:val="20"/>
        </w:rPr>
      </w:pPr>
      <w:r>
        <w:rPr>
          <w:sz w:val="20"/>
          <w:szCs w:val="20"/>
        </w:rPr>
        <w:t> </w:t>
      </w:r>
    </w:p>
    <w:p w14:paraId="169AD80D" w14:textId="77777777" w:rsidR="00000000" w:rsidRDefault="009027A3">
      <w:pPr>
        <w:pStyle w:val="a3"/>
        <w:spacing w:before="0" w:beforeAutospacing="0" w:after="0" w:afterAutospacing="0"/>
        <w:jc w:val="both"/>
        <w:rPr>
          <w:sz w:val="20"/>
          <w:szCs w:val="20"/>
        </w:rPr>
      </w:pPr>
      <w:r>
        <w:rPr>
          <w:sz w:val="20"/>
          <w:szCs w:val="20"/>
        </w:rPr>
        <w:t>CareCloud, Inc., formerly MTBC, Inc. (“CareCloud”</w:t>
      </w:r>
      <w:r>
        <w:rPr>
          <w:sz w:val="20"/>
          <w:szCs w:val="20"/>
        </w:rPr>
        <w:t>, and together with its consolidated subsidiaries, the “Company”, “we”, “us” and/or “our”) is a healthcare information technology company that offers an integrated suite of proprietary cloud-based electronic health records and practice management solutions</w:t>
      </w:r>
      <w:r>
        <w:rPr>
          <w:sz w:val="20"/>
          <w:szCs w:val="20"/>
        </w:rPr>
        <w:t>, together with related business services, to healthcare providers. The Company’s integrated services are designed to help customers increase revenues, streamline workflows and make better business and clinical decisions, while reducing administrative burd</w:t>
      </w:r>
      <w:r>
        <w:rPr>
          <w:sz w:val="20"/>
          <w:szCs w:val="20"/>
        </w:rPr>
        <w:t>ens and operating costs. The Company’s services include full-scale revenue cycle management, comprehensive practice management services, electronic health records, patient experience management solutions and other technology-driven practice management serv</w:t>
      </w:r>
      <w:r>
        <w:rPr>
          <w:sz w:val="20"/>
          <w:szCs w:val="20"/>
        </w:rPr>
        <w:t>ices for private and hospital-employed healthcare providers. CareCloud has its corporate offices in Somerset, New Jersey and maintains client support teams throughout the U.S., in Pakistan and in Sri Lanka.</w:t>
      </w:r>
    </w:p>
    <w:p w14:paraId="4D5F15CE" w14:textId="77777777" w:rsidR="00000000" w:rsidRDefault="009027A3">
      <w:pPr>
        <w:pStyle w:val="a3"/>
        <w:spacing w:before="0" w:beforeAutospacing="0" w:after="0" w:afterAutospacing="0"/>
        <w:jc w:val="both"/>
        <w:rPr>
          <w:caps/>
          <w:sz w:val="20"/>
          <w:szCs w:val="20"/>
        </w:rPr>
      </w:pPr>
      <w:r>
        <w:rPr>
          <w:sz w:val="20"/>
          <w:szCs w:val="20"/>
        </w:rPr>
        <w:t> </w:t>
      </w:r>
    </w:p>
    <w:p w14:paraId="53D46AAF" w14:textId="77777777" w:rsidR="00000000" w:rsidRDefault="009027A3">
      <w:pPr>
        <w:pStyle w:val="a3"/>
        <w:spacing w:before="0" w:beforeAutospacing="0" w:after="0" w:afterAutospacing="0"/>
        <w:jc w:val="both"/>
        <w:rPr>
          <w:caps/>
          <w:sz w:val="20"/>
          <w:szCs w:val="20"/>
        </w:rPr>
      </w:pPr>
      <w:r>
        <w:rPr>
          <w:sz w:val="20"/>
          <w:szCs w:val="20"/>
        </w:rPr>
        <w:t>CareCloud was founded in 1999 under the name Me</w:t>
      </w:r>
      <w:r>
        <w:rPr>
          <w:sz w:val="20"/>
          <w:szCs w:val="20"/>
        </w:rPr>
        <w:t>dical Transcription Billing, Corp. and incorporated under the laws of the State of Delaware in 2001. In 2004, the Company formed MTBC Private Limited (or “MTBC Pvt. Ltd.”), a 99.9% majority-owned subsidiary of CareCloud based in Pakistan. The remaining 0.0</w:t>
      </w:r>
      <w:r>
        <w:rPr>
          <w:sz w:val="20"/>
          <w:szCs w:val="20"/>
        </w:rPr>
        <w:t>1% of the shares of MTBC Pvt. Ltd. is owned by the founder and Executive Chairman of CareCloud. In 2016, the Company formed MTBC Acquisition Corp. (“MAC”), a Delaware corporation, in connection with its acquisition of substantially all of the assets of Med</w:t>
      </w:r>
      <w:r>
        <w:rPr>
          <w:sz w:val="20"/>
          <w:szCs w:val="20"/>
        </w:rPr>
        <w:t>iGain, LLC and its subsidiary, Millennium Practice Management Associates, LLC (together “MediGain”). MAC has a wholly owned subsidiary in Sri Lanka, RCM MediGain Colombo, Pvt. Ltd. In May 2018, the Company formed CareCloud Practice Management, Corp. (“CPM”</w:t>
      </w:r>
      <w:r>
        <w:rPr>
          <w:sz w:val="20"/>
          <w:szCs w:val="20"/>
        </w:rPr>
        <w:t>), a Delaware corporation, to operate the practice management business acquired from Orion Healthcorp. During March 2021, the Company formed a new wholly-owned subsidiary, CareCloud Acquisition, Corp. which did not have any activity through March 31, 2021.</w:t>
      </w:r>
    </w:p>
    <w:p w14:paraId="170D962A" w14:textId="77777777" w:rsidR="00000000" w:rsidRDefault="009027A3">
      <w:pPr>
        <w:pStyle w:val="a3"/>
        <w:spacing w:before="0" w:beforeAutospacing="0" w:after="0" w:afterAutospacing="0"/>
        <w:jc w:val="both"/>
        <w:rPr>
          <w:caps/>
          <w:sz w:val="20"/>
          <w:szCs w:val="20"/>
        </w:rPr>
      </w:pPr>
      <w:r>
        <w:rPr>
          <w:sz w:val="20"/>
          <w:szCs w:val="20"/>
        </w:rPr>
        <w:t> </w:t>
      </w:r>
    </w:p>
    <w:p w14:paraId="7F4693E2" w14:textId="77777777" w:rsidR="00000000" w:rsidRDefault="009027A3">
      <w:pPr>
        <w:pStyle w:val="a3"/>
        <w:spacing w:before="0" w:beforeAutospacing="0" w:after="0" w:afterAutospacing="0"/>
        <w:jc w:val="both"/>
        <w:rPr>
          <w:caps/>
          <w:sz w:val="20"/>
          <w:szCs w:val="20"/>
        </w:rPr>
      </w:pPr>
      <w:r>
        <w:rPr>
          <w:sz w:val="20"/>
          <w:szCs w:val="20"/>
        </w:rPr>
        <w:t>In January 2020, the Company purchased CareCloud Corporation, a company whose name we took. That company is now known as CareCloud Health, Inc. (“CCH”). In June 2020, the Company purchased Meridian Billing Management Co. and its affiliate Origin Holding</w:t>
      </w:r>
      <w:r>
        <w:rPr>
          <w:sz w:val="20"/>
          <w:szCs w:val="20"/>
        </w:rPr>
        <w:t>s, Inc. (collectively “Meridian” and sometimes referred to as “Meridian Medical Management”). See Note 3.</w:t>
      </w:r>
    </w:p>
    <w:p w14:paraId="51A44202" w14:textId="77777777" w:rsidR="00000000" w:rsidRDefault="009027A3">
      <w:pPr>
        <w:pStyle w:val="a3"/>
        <w:spacing w:before="0" w:beforeAutospacing="0" w:after="0" w:afterAutospacing="0"/>
        <w:jc w:val="both"/>
        <w:rPr>
          <w:caps/>
          <w:sz w:val="20"/>
          <w:szCs w:val="20"/>
        </w:rPr>
      </w:pPr>
      <w:r>
        <w:rPr>
          <w:sz w:val="20"/>
          <w:szCs w:val="20"/>
        </w:rPr>
        <w:t> </w:t>
      </w:r>
    </w:p>
    <w:p w14:paraId="258518C6" w14:textId="77777777" w:rsidR="00000000" w:rsidRDefault="009027A3">
      <w:pPr>
        <w:pStyle w:val="a3"/>
        <w:spacing w:before="0" w:beforeAutospacing="0" w:after="0" w:afterAutospacing="0"/>
        <w:jc w:val="both"/>
        <w:rPr>
          <w:caps/>
          <w:sz w:val="20"/>
          <w:szCs w:val="20"/>
        </w:rPr>
      </w:pPr>
      <w:r>
        <w:rPr>
          <w:sz w:val="20"/>
          <w:szCs w:val="20"/>
        </w:rPr>
        <w:t xml:space="preserve">During the first quarter of 2020, a New Jersey corporation, talkMD Clinicians, PA (“talkMD”), was formed by the wife of the Executive Chairman, who </w:t>
      </w:r>
      <w:r>
        <w:rPr>
          <w:sz w:val="20"/>
          <w:szCs w:val="20"/>
        </w:rPr>
        <w:t>is a licensed physician, to provide telehealth services. talkMD was determined to be a variable interest entity (“VIE”) for financial reporting purposes because the entity will be controlled by the Company. As of March 31, 2021, talkMD had not yet commence</w:t>
      </w:r>
      <w:r>
        <w:rPr>
          <w:sz w:val="20"/>
          <w:szCs w:val="20"/>
        </w:rPr>
        <w:t>d operations or had any transactions or agreements with the Company or otherwise.</w:t>
      </w:r>
    </w:p>
    <w:p w14:paraId="7E1439CB" w14:textId="77777777" w:rsidR="00000000" w:rsidRDefault="009027A3">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13699D93" w14:textId="77777777">
        <w:tc>
          <w:tcPr>
            <w:tcW w:w="720" w:type="dxa"/>
            <w:hideMark/>
          </w:tcPr>
          <w:p w14:paraId="68FA2717" w14:textId="77777777" w:rsidR="00000000" w:rsidRDefault="009027A3">
            <w:pPr>
              <w:rPr>
                <w:rFonts w:eastAsia="Times New Roman"/>
                <w:b/>
                <w:bCs/>
                <w:caps/>
                <w:sz w:val="22"/>
                <w:szCs w:val="22"/>
              </w:rPr>
            </w:pPr>
            <w:r>
              <w:rPr>
                <w:rFonts w:eastAsia="Times New Roman"/>
                <w:b/>
                <w:bCs/>
                <w:caps/>
                <w:sz w:val="20"/>
                <w:szCs w:val="20"/>
              </w:rPr>
              <w:t>2.</w:t>
            </w:r>
          </w:p>
        </w:tc>
        <w:tc>
          <w:tcPr>
            <w:tcW w:w="0" w:type="auto"/>
            <w:hideMark/>
          </w:tcPr>
          <w:p w14:paraId="5FBA916B" w14:textId="77777777" w:rsidR="00000000" w:rsidRDefault="009027A3">
            <w:pPr>
              <w:rPr>
                <w:rFonts w:eastAsia="Times New Roman"/>
                <w:b/>
                <w:bCs/>
                <w:caps/>
                <w:sz w:val="22"/>
                <w:szCs w:val="22"/>
              </w:rPr>
            </w:pPr>
            <w:r>
              <w:rPr>
                <w:rFonts w:eastAsia="Times New Roman"/>
                <w:b/>
                <w:bCs/>
                <w:caps/>
                <w:sz w:val="20"/>
                <w:szCs w:val="20"/>
              </w:rPr>
              <w:t>BASIS OF PRESENTATION</w:t>
            </w:r>
          </w:p>
        </w:tc>
      </w:tr>
    </w:tbl>
    <w:p w14:paraId="55CED2DD" w14:textId="77777777" w:rsidR="00000000" w:rsidRDefault="009027A3">
      <w:pPr>
        <w:pStyle w:val="a3"/>
        <w:spacing w:before="0" w:beforeAutospacing="0" w:after="0" w:afterAutospacing="0"/>
        <w:jc w:val="both"/>
        <w:rPr>
          <w:sz w:val="20"/>
          <w:szCs w:val="20"/>
        </w:rPr>
      </w:pPr>
      <w:r>
        <w:rPr>
          <w:sz w:val="20"/>
          <w:szCs w:val="20"/>
        </w:rPr>
        <w:t> </w:t>
      </w:r>
    </w:p>
    <w:p w14:paraId="7A7C468B"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accompanying unaudited condensed consolidated financial statements have been prepared in accordance with accounting principles generally accepted in the United States of America (“GAAP”) for interim financial reporting and as required by Regulation S-X, Ru</w:t>
      </w:r>
      <w:r>
        <w:rPr>
          <w:sz w:val="20"/>
          <w:szCs w:val="20"/>
        </w:rPr>
        <w:t>le 8-03. Accordingly, they do not include all of the information and notes required by GAAP for complete financial statements. In the opinion of the Company’s management, the accompanying unaudited condensed consolidated financial statements contain all ad</w:t>
      </w:r>
      <w:r>
        <w:rPr>
          <w:sz w:val="20"/>
          <w:szCs w:val="20"/>
        </w:rPr>
        <w:t>justments (consisting of items of a normal and recurring nature) necessary to present fairly the Company’s financial position as of March 31, 2021, the results of operations for the three months ended March 31, 2021 and 2020 and cash flows for the three mo</w:t>
      </w:r>
      <w:r>
        <w:rPr>
          <w:sz w:val="20"/>
          <w:szCs w:val="20"/>
        </w:rPr>
        <w:t xml:space="preserve">nths ended March 31, 2021 and 2020. When preparing financial statements in conformity with GAAP, the Company must make estimates and assumptions that affect the reported amounts of assets and liabilities, disclosure of contingent assets and liabilities at </w:t>
      </w:r>
      <w:r>
        <w:rPr>
          <w:sz w:val="20"/>
          <w:szCs w:val="20"/>
        </w:rPr>
        <w:t>the date of the financial statements and the reported amounts of revenues and expenses during the reporting period. Actual results could differ significantly from those estimates.</w:t>
      </w:r>
    </w:p>
    <w:p w14:paraId="0CAB2FAC"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3CE210" w14:textId="77777777">
        <w:trPr>
          <w:divId w:val="519052668"/>
        </w:trPr>
        <w:tc>
          <w:tcPr>
            <w:tcW w:w="5000" w:type="pct"/>
            <w:hideMark/>
          </w:tcPr>
          <w:p w14:paraId="1E507FA0" w14:textId="77777777" w:rsidR="00000000" w:rsidRDefault="009027A3">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47926850" w14:textId="77777777">
        <w:tc>
          <w:tcPr>
            <w:tcW w:w="5000" w:type="pct"/>
            <w:hideMark/>
          </w:tcPr>
          <w:p w14:paraId="67B9377B" w14:textId="77777777" w:rsidR="00000000" w:rsidRDefault="009027A3">
            <w:pPr>
              <w:rPr>
                <w:rFonts w:eastAsia="Times New Roman"/>
                <w:sz w:val="20"/>
                <w:szCs w:val="20"/>
              </w:rPr>
            </w:pPr>
            <w:r>
              <w:rPr>
                <w:rFonts w:eastAsia="Times New Roman"/>
                <w:sz w:val="20"/>
                <w:szCs w:val="20"/>
              </w:rPr>
              <w:t> </w:t>
            </w:r>
          </w:p>
        </w:tc>
      </w:tr>
    </w:tbl>
    <w:p w14:paraId="56B89DDA" w14:textId="77777777" w:rsidR="00000000" w:rsidRDefault="009027A3">
      <w:pPr>
        <w:pStyle w:val="a3"/>
        <w:spacing w:before="0" w:beforeAutospacing="0" w:after="0" w:afterAutospacing="0"/>
        <w:jc w:val="both"/>
        <w:rPr>
          <w:sz w:val="20"/>
          <w:szCs w:val="20"/>
        </w:rPr>
      </w:pPr>
      <w:r>
        <w:rPr>
          <w:sz w:val="20"/>
          <w:szCs w:val="20"/>
        </w:rPr>
        <w:t> </w:t>
      </w:r>
    </w:p>
    <w:p w14:paraId="038C9768" w14:textId="77777777" w:rsidR="00000000" w:rsidRDefault="009027A3">
      <w:pPr>
        <w:pStyle w:val="a3"/>
        <w:spacing w:before="0" w:beforeAutospacing="0" w:after="0" w:afterAutospacing="0"/>
        <w:jc w:val="both"/>
        <w:rPr>
          <w:sz w:val="20"/>
          <w:szCs w:val="20"/>
        </w:rPr>
      </w:pPr>
      <w:r>
        <w:rPr>
          <w:sz w:val="20"/>
          <w:szCs w:val="20"/>
        </w:rPr>
        <w:t xml:space="preserve">The condensed consolidated balance sheet as of December 31, 2020 </w:t>
      </w:r>
      <w:r>
        <w:rPr>
          <w:sz w:val="20"/>
          <w:szCs w:val="20"/>
        </w:rPr>
        <w:t>was derived from our audited consolidated financial statements. The accompanying unaudited condensed consolidated financial statements and notes thereto should be read in conjunction with the audited consolidated financial statements for the year ended Dec</w:t>
      </w:r>
      <w:r>
        <w:rPr>
          <w:sz w:val="20"/>
          <w:szCs w:val="20"/>
        </w:rPr>
        <w:t>ember 31, 2020, which are included in the Company’s Annual Report on Form 10-K, filed with the SEC on February 25, 2021.</w:t>
      </w:r>
    </w:p>
    <w:p w14:paraId="439910C7" w14:textId="77777777" w:rsidR="00000000" w:rsidRDefault="009027A3">
      <w:pPr>
        <w:pStyle w:val="a3"/>
        <w:spacing w:before="0" w:beforeAutospacing="0" w:after="0" w:afterAutospacing="0"/>
        <w:jc w:val="both"/>
        <w:rPr>
          <w:sz w:val="20"/>
          <w:szCs w:val="20"/>
        </w:rPr>
      </w:pPr>
      <w:r>
        <w:rPr>
          <w:b/>
          <w:bCs/>
          <w:i/>
          <w:iCs/>
          <w:sz w:val="20"/>
          <w:szCs w:val="20"/>
        </w:rPr>
        <w:t> </w:t>
      </w:r>
    </w:p>
    <w:p w14:paraId="62256B45" w14:textId="77777777" w:rsidR="00000000" w:rsidRDefault="009027A3">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On February 14, 2018, the FASB issued ASU 2018-02, </w:t>
      </w:r>
      <w:r>
        <w:rPr>
          <w:i/>
          <w:iCs/>
          <w:sz w:val="20"/>
          <w:szCs w:val="20"/>
        </w:rPr>
        <w:t>Income Statement-Reporting Comprehensive Income</w:t>
      </w:r>
      <w:r>
        <w:rPr>
          <w:i/>
          <w:iCs/>
          <w:sz w:val="20"/>
          <w:szCs w:val="20"/>
        </w:rPr>
        <w:t xml:space="preserve"> (Topic 220): Reclassification of Certain Tax Effects from Accumulated Other Comprehensive Income</w:t>
      </w:r>
      <w:r>
        <w:rPr>
          <w:sz w:val="20"/>
          <w:szCs w:val="20"/>
        </w:rPr>
        <w:t>. These amendments provide financial statement preparers with an option to reclassify standard tax effects within accumulated other comprehensive income to ret</w:t>
      </w:r>
      <w:r>
        <w:rPr>
          <w:sz w:val="20"/>
          <w:szCs w:val="20"/>
        </w:rPr>
        <w:t>ained earnings in each period in which the effect of the change in the U.S. federal corporate income tax rate in the Tax Cuts and Jobs Act is recorded. This guidance is effective for fiscal years beginning after December 15, 2018, and interim periods there</w:t>
      </w:r>
      <w:r>
        <w:rPr>
          <w:sz w:val="20"/>
          <w:szCs w:val="20"/>
        </w:rPr>
        <w:t>in. There was no impact on the condensed consolidated financial statements as a result of this standard.</w:t>
      </w:r>
    </w:p>
    <w:p w14:paraId="5091331F" w14:textId="77777777" w:rsidR="00000000" w:rsidRDefault="009027A3">
      <w:pPr>
        <w:pStyle w:val="a3"/>
        <w:spacing w:before="0" w:beforeAutospacing="0" w:after="0" w:afterAutospacing="0"/>
        <w:jc w:val="both"/>
        <w:rPr>
          <w:sz w:val="20"/>
          <w:szCs w:val="20"/>
        </w:rPr>
      </w:pPr>
      <w:r>
        <w:rPr>
          <w:sz w:val="20"/>
          <w:szCs w:val="20"/>
        </w:rPr>
        <w:t> </w:t>
      </w:r>
    </w:p>
    <w:p w14:paraId="6D630C2B" w14:textId="77777777" w:rsidR="00000000" w:rsidRDefault="009027A3">
      <w:pPr>
        <w:pStyle w:val="a3"/>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Payment Accounting</w:t>
      </w:r>
      <w:r>
        <w:rPr>
          <w:sz w:val="20"/>
          <w:szCs w:val="20"/>
        </w:rPr>
        <w:t>. This ASU simplifies the accounting for nonempl</w:t>
      </w:r>
      <w:r>
        <w:rPr>
          <w:sz w:val="20"/>
          <w:szCs w:val="20"/>
        </w:rPr>
        <w:t>oyee share-based payments by aligning it with the accounting for share-based payments to employees, with exceptions. Under this guidance, the measurement of equity-classified nonemployee awards will be fixed at the grant date, which may lower their cost an</w:t>
      </w:r>
      <w:r>
        <w:rPr>
          <w:sz w:val="20"/>
          <w:szCs w:val="20"/>
        </w:rPr>
        <w:t>d reduce volatility in the income statement. Awards to nonemployees are measured by estimating the fair value of the equity instruments to be issued, rather than the fair value of the goods or services received or the fair value of the equity instruments i</w:t>
      </w:r>
      <w:r>
        <w:rPr>
          <w:sz w:val="20"/>
          <w:szCs w:val="20"/>
        </w:rPr>
        <w:t>ssued, whichever can be measured more reliably. Entities need to consider the probability that a performance condition will be satisfied when an award contains such condition. The guidance is effective for public business entities for fiscal years beginnin</w:t>
      </w:r>
      <w:r>
        <w:rPr>
          <w:sz w:val="20"/>
          <w:szCs w:val="20"/>
        </w:rPr>
        <w:t>g after December 15, 2018, including interim periods within that fiscal year. There was no impact on the condensed consolidated financial statements as a result of this standard.</w:t>
      </w:r>
    </w:p>
    <w:p w14:paraId="0BD6BAA5" w14:textId="77777777" w:rsidR="00000000" w:rsidRDefault="009027A3">
      <w:pPr>
        <w:pStyle w:val="a3"/>
        <w:spacing w:before="0" w:beforeAutospacing="0" w:after="0" w:afterAutospacing="0"/>
        <w:jc w:val="both"/>
        <w:rPr>
          <w:sz w:val="20"/>
          <w:szCs w:val="20"/>
        </w:rPr>
      </w:pPr>
      <w:r>
        <w:rPr>
          <w:sz w:val="20"/>
          <w:szCs w:val="20"/>
        </w:rPr>
        <w:t> </w:t>
      </w:r>
    </w:p>
    <w:p w14:paraId="47C30A82" w14:textId="77777777" w:rsidR="00000000" w:rsidRDefault="009027A3">
      <w:pPr>
        <w:pStyle w:val="a3"/>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w:t>
      </w:r>
      <w:r>
        <w:rPr>
          <w:i/>
          <w:iCs/>
          <w:sz w:val="20"/>
          <w:szCs w:val="20"/>
        </w:rPr>
        <w:t>or Income Taxes</w:t>
      </w:r>
      <w:r>
        <w:rPr>
          <w:sz w:val="20"/>
          <w:szCs w:val="20"/>
        </w:rPr>
        <w:t>. This ASU simplifies accounting for income taxes to reduce complexity in the accounting standards. The amendments consist of the removal of certain exceptions to the general principles of ASC 740 and some additional simplifications. The ame</w:t>
      </w:r>
      <w:r>
        <w:rPr>
          <w:sz w:val="20"/>
          <w:szCs w:val="20"/>
        </w:rPr>
        <w:t>ndments are effective for public business entities for fiscal years beginning after December 15, 2020. There was no impact on the condensed consolidated financial statements as a result of this standard.</w:t>
      </w:r>
    </w:p>
    <w:p w14:paraId="2076EA68" w14:textId="77777777" w:rsidR="00000000" w:rsidRDefault="009027A3">
      <w:pPr>
        <w:pStyle w:val="a3"/>
        <w:spacing w:before="0" w:beforeAutospacing="0" w:after="0" w:afterAutospacing="0"/>
        <w:jc w:val="both"/>
        <w:rPr>
          <w:sz w:val="20"/>
          <w:szCs w:val="20"/>
        </w:rPr>
      </w:pPr>
      <w:r>
        <w:rPr>
          <w:sz w:val="20"/>
          <w:szCs w:val="20"/>
        </w:rPr>
        <w:t> </w:t>
      </w:r>
    </w:p>
    <w:p w14:paraId="0D0B4EB5" w14:textId="77777777" w:rsidR="00000000" w:rsidRDefault="009027A3">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w:t>
      </w:r>
      <w:r>
        <w:rPr>
          <w:i/>
          <w:iCs/>
          <w:sz w:val="20"/>
          <w:szCs w:val="20"/>
        </w:rPr>
        <w:t>Debt with Conversion and Other Options (Subtopic 470-20) and Derivatives and Hedging—Contracts in Entity’s Own Equity (Subtopic 815-40).</w:t>
      </w:r>
      <w:r>
        <w:rPr>
          <w:sz w:val="20"/>
          <w:szCs w:val="20"/>
        </w:rPr>
        <w:t xml:space="preserve"> This ASU simplifies the accounting for certain financial instruments with characteristics of liabilities and equity, in</w:t>
      </w:r>
      <w:r>
        <w:rPr>
          <w:sz w:val="20"/>
          <w:szCs w:val="20"/>
        </w:rPr>
        <w:t>cluding convertible instruments and contracts on an entity’s own equity. The amendments are not required to be implemented until 2022 for public entities. The Company is in the process of investigating if this update will have a significant impact on the c</w:t>
      </w:r>
      <w:r>
        <w:rPr>
          <w:sz w:val="20"/>
          <w:szCs w:val="20"/>
        </w:rPr>
        <w:t>ondensed consolidated financial statements.</w:t>
      </w:r>
    </w:p>
    <w:p w14:paraId="05D72EB4"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3BFB008E" w14:textId="77777777">
        <w:tc>
          <w:tcPr>
            <w:tcW w:w="720" w:type="dxa"/>
            <w:hideMark/>
          </w:tcPr>
          <w:p w14:paraId="2B2764AB" w14:textId="77777777" w:rsidR="00000000" w:rsidRDefault="009027A3">
            <w:pPr>
              <w:rPr>
                <w:rFonts w:eastAsia="Times New Roman"/>
                <w:b/>
                <w:bCs/>
                <w:caps/>
                <w:sz w:val="22"/>
                <w:szCs w:val="22"/>
              </w:rPr>
            </w:pPr>
            <w:r>
              <w:rPr>
                <w:rFonts w:eastAsia="Times New Roman"/>
                <w:b/>
                <w:bCs/>
                <w:caps/>
                <w:sz w:val="20"/>
                <w:szCs w:val="20"/>
              </w:rPr>
              <w:t>3.</w:t>
            </w:r>
          </w:p>
        </w:tc>
        <w:tc>
          <w:tcPr>
            <w:tcW w:w="0" w:type="auto"/>
            <w:hideMark/>
          </w:tcPr>
          <w:p w14:paraId="214DAD38" w14:textId="77777777" w:rsidR="00000000" w:rsidRDefault="009027A3">
            <w:pPr>
              <w:rPr>
                <w:rFonts w:eastAsia="Times New Roman"/>
                <w:b/>
                <w:bCs/>
                <w:caps/>
                <w:sz w:val="22"/>
                <w:szCs w:val="22"/>
              </w:rPr>
            </w:pPr>
            <w:r>
              <w:rPr>
                <w:rFonts w:eastAsia="Times New Roman"/>
                <w:b/>
                <w:bCs/>
                <w:caps/>
                <w:sz w:val="20"/>
                <w:szCs w:val="20"/>
              </w:rPr>
              <w:t>ACQUISITIONS</w:t>
            </w:r>
          </w:p>
        </w:tc>
      </w:tr>
    </w:tbl>
    <w:p w14:paraId="27511ECE" w14:textId="77777777" w:rsidR="00000000" w:rsidRDefault="009027A3">
      <w:pPr>
        <w:pStyle w:val="a3"/>
        <w:spacing w:before="0" w:beforeAutospacing="0" w:after="0" w:afterAutospacing="0"/>
        <w:jc w:val="both"/>
        <w:rPr>
          <w:sz w:val="20"/>
          <w:szCs w:val="20"/>
        </w:rPr>
      </w:pPr>
      <w:r>
        <w:rPr>
          <w:b/>
          <w:bCs/>
          <w:sz w:val="20"/>
          <w:szCs w:val="20"/>
        </w:rPr>
        <w:t> </w:t>
      </w:r>
    </w:p>
    <w:p w14:paraId="6E1788CB" w14:textId="77777777" w:rsidR="00000000" w:rsidRDefault="009027A3">
      <w:pPr>
        <w:pStyle w:val="a3"/>
        <w:spacing w:before="0" w:beforeAutospacing="0" w:after="0" w:afterAutospacing="0"/>
        <w:jc w:val="both"/>
        <w:rPr>
          <w:sz w:val="20"/>
          <w:szCs w:val="20"/>
        </w:rPr>
      </w:pPr>
      <w:r>
        <w:rPr>
          <w:b/>
          <w:bCs/>
          <w:sz w:val="20"/>
          <w:szCs w:val="20"/>
          <w:u w:val="single"/>
        </w:rPr>
        <w:t>2020 Acquisitions</w:t>
      </w:r>
    </w:p>
    <w:p w14:paraId="17E7CA49" w14:textId="77777777" w:rsidR="00000000" w:rsidRDefault="009027A3">
      <w:pPr>
        <w:pStyle w:val="a3"/>
        <w:spacing w:before="0" w:beforeAutospacing="0" w:after="0" w:afterAutospacing="0"/>
        <w:jc w:val="both"/>
        <w:rPr>
          <w:sz w:val="20"/>
          <w:szCs w:val="20"/>
        </w:rPr>
      </w:pPr>
      <w:r>
        <w:rPr>
          <w:b/>
          <w:bCs/>
          <w:sz w:val="20"/>
          <w:szCs w:val="20"/>
        </w:rPr>
        <w:t> </w:t>
      </w:r>
    </w:p>
    <w:p w14:paraId="324813C9" w14:textId="77777777" w:rsidR="00000000" w:rsidRDefault="009027A3">
      <w:pPr>
        <w:pStyle w:val="a3"/>
        <w:spacing w:before="0" w:beforeAutospacing="0" w:after="0" w:afterAutospacing="0"/>
        <w:jc w:val="both"/>
        <w:rPr>
          <w:sz w:val="20"/>
          <w:szCs w:val="20"/>
        </w:rPr>
      </w:pPr>
      <w:r>
        <w:rPr>
          <w:sz w:val="20"/>
          <w:szCs w:val="20"/>
        </w:rPr>
        <w:t xml:space="preserve">On </w:t>
      </w:r>
      <w:r>
        <w:rPr>
          <w:sz w:val="20"/>
          <w:szCs w:val="20"/>
        </w:rPr>
        <w:t>June 16, 2020, the Company entered into a Stock Purchase Agreement with Meridian Billing Management Co., a Vermont corporation, Origin Holdings, Inc., a Delaware corporation, and GMM II Holdings, LLC, a Delaware limited liability company (“Seller”), pursua</w:t>
      </w:r>
      <w:r>
        <w:rPr>
          <w:sz w:val="20"/>
          <w:szCs w:val="20"/>
        </w:rPr>
        <w:t>nt to which the Company purchased all of the issued and outstanding capital stock of Meridian from the Seller. Meridian is in the business of providing medical billing, revenue cycle management, electronic medical records, medical coding and related servic</w:t>
      </w:r>
      <w:r>
        <w:rPr>
          <w:sz w:val="20"/>
          <w:szCs w:val="20"/>
        </w:rPr>
        <w:t>es. These revenues have been included in the Company’s Healthcare IT segment. The acquisition has been accounted for as a business combination.</w:t>
      </w:r>
    </w:p>
    <w:p w14:paraId="122BC184" w14:textId="77777777" w:rsidR="00000000" w:rsidRDefault="009027A3">
      <w:pPr>
        <w:pStyle w:val="a3"/>
        <w:spacing w:before="0" w:beforeAutospacing="0" w:after="0" w:afterAutospacing="0"/>
        <w:jc w:val="both"/>
        <w:rPr>
          <w:sz w:val="20"/>
          <w:szCs w:val="20"/>
        </w:rPr>
      </w:pPr>
      <w:r>
        <w:rPr>
          <w:sz w:val="20"/>
          <w:szCs w:val="20"/>
        </w:rPr>
        <w:t> </w:t>
      </w:r>
    </w:p>
    <w:p w14:paraId="33ABA0F9" w14:textId="77777777" w:rsidR="00000000" w:rsidRDefault="009027A3">
      <w:pPr>
        <w:pStyle w:val="a3"/>
        <w:spacing w:before="0" w:beforeAutospacing="0" w:after="0" w:afterAutospacing="0"/>
        <w:jc w:val="both"/>
        <w:rPr>
          <w:sz w:val="20"/>
          <w:szCs w:val="20"/>
        </w:rPr>
      </w:pPr>
      <w:r>
        <w:rPr>
          <w:sz w:val="20"/>
          <w:szCs w:val="20"/>
        </w:rPr>
        <w:t>The total consideration paid at closing was $11.9 million, net of cash received, 200,000 shares of the Company</w:t>
      </w:r>
      <w:r>
        <w:rPr>
          <w:sz w:val="20"/>
          <w:szCs w:val="20"/>
        </w:rPr>
        <w:t>’s Preferred Stock plus warrants to purchase 2,250,000 shares of the Company’s common stock, with an exercise price per share of $7.50 and a term of two years. The Company also assumed Meridian’s negative net working capital and certain long-term lease lia</w:t>
      </w:r>
      <w:r>
        <w:rPr>
          <w:sz w:val="20"/>
          <w:szCs w:val="20"/>
        </w:rPr>
        <w:t>bilities where the leased space is either not being utilized or will be vacated shortly, with an aggregate value of approximately $4.8 million.</w:t>
      </w:r>
    </w:p>
    <w:p w14:paraId="5A4B36E3"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A42DCDE" w14:textId="77777777">
        <w:trPr>
          <w:divId w:val="86196658"/>
        </w:trPr>
        <w:tc>
          <w:tcPr>
            <w:tcW w:w="5000" w:type="pct"/>
            <w:hideMark/>
          </w:tcPr>
          <w:p w14:paraId="128598C8"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7D76A62C" w14:textId="77777777">
        <w:tc>
          <w:tcPr>
            <w:tcW w:w="5000" w:type="pct"/>
            <w:hideMark/>
          </w:tcPr>
          <w:p w14:paraId="621FEA91" w14:textId="77777777" w:rsidR="00000000" w:rsidRDefault="009027A3">
            <w:pPr>
              <w:rPr>
                <w:rFonts w:eastAsia="Times New Roman"/>
                <w:sz w:val="20"/>
                <w:szCs w:val="20"/>
              </w:rPr>
            </w:pPr>
            <w:r>
              <w:rPr>
                <w:rFonts w:eastAsia="Times New Roman"/>
                <w:sz w:val="20"/>
                <w:szCs w:val="20"/>
              </w:rPr>
              <w:t> </w:t>
            </w:r>
          </w:p>
        </w:tc>
      </w:tr>
    </w:tbl>
    <w:p w14:paraId="4BD1DC98" w14:textId="77777777" w:rsidR="00000000" w:rsidRDefault="009027A3">
      <w:pPr>
        <w:pStyle w:val="a3"/>
        <w:spacing w:before="0" w:beforeAutospacing="0" w:after="0" w:afterAutospacing="0"/>
        <w:jc w:val="both"/>
        <w:rPr>
          <w:sz w:val="20"/>
          <w:szCs w:val="20"/>
        </w:rPr>
      </w:pPr>
      <w:r>
        <w:rPr>
          <w:sz w:val="20"/>
          <w:szCs w:val="20"/>
        </w:rPr>
        <w:t> </w:t>
      </w:r>
    </w:p>
    <w:p w14:paraId="4D08A1BD" w14:textId="77777777" w:rsidR="00000000" w:rsidRDefault="009027A3">
      <w:pPr>
        <w:pStyle w:val="a3"/>
        <w:spacing w:before="0" w:beforeAutospacing="0" w:after="0" w:afterAutospacing="0"/>
        <w:jc w:val="both"/>
        <w:rPr>
          <w:sz w:val="20"/>
          <w:szCs w:val="20"/>
        </w:rPr>
      </w:pPr>
      <w:r>
        <w:rPr>
          <w:sz w:val="20"/>
          <w:szCs w:val="20"/>
        </w:rPr>
        <w:t>A summary of the total consideration is as follows:</w:t>
      </w:r>
    </w:p>
    <w:p w14:paraId="5F31A66D" w14:textId="77777777" w:rsidR="00000000" w:rsidRDefault="009027A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276"/>
        <w:gridCol w:w="1478"/>
        <w:gridCol w:w="100"/>
        <w:gridCol w:w="1080"/>
        <w:gridCol w:w="50"/>
      </w:tblGrid>
      <w:tr w:rsidR="00000000" w14:paraId="136F2958" w14:textId="77777777">
        <w:tc>
          <w:tcPr>
            <w:tcW w:w="0" w:type="auto"/>
            <w:tcBorders>
              <w:bottom w:val="single" w:sz="12" w:space="0" w:color="000000"/>
            </w:tcBorders>
            <w:vAlign w:val="bottom"/>
            <w:hideMark/>
          </w:tcPr>
          <w:p w14:paraId="0ECA8A7A" w14:textId="77777777" w:rsidR="00000000" w:rsidRDefault="009027A3">
            <w:pPr>
              <w:rPr>
                <w:rFonts w:eastAsia="Times New Roman"/>
                <w:b/>
                <w:bCs/>
                <w:sz w:val="20"/>
                <w:szCs w:val="20"/>
              </w:rPr>
            </w:pPr>
            <w:r>
              <w:rPr>
                <w:rFonts w:eastAsia="Times New Roman"/>
                <w:b/>
                <w:bCs/>
                <w:sz w:val="20"/>
                <w:szCs w:val="20"/>
              </w:rPr>
              <w:t>Meridian Purchase Price</w:t>
            </w:r>
          </w:p>
        </w:tc>
        <w:tc>
          <w:tcPr>
            <w:tcW w:w="0" w:type="auto"/>
            <w:tcMar>
              <w:top w:w="0" w:type="dxa"/>
              <w:left w:w="0" w:type="dxa"/>
              <w:bottom w:w="30" w:type="dxa"/>
              <w:right w:w="0" w:type="dxa"/>
            </w:tcMar>
            <w:vAlign w:val="bottom"/>
            <w:hideMark/>
          </w:tcPr>
          <w:p w14:paraId="0B2F2CDC"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2BD8B2C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4FB212" w14:textId="77777777" w:rsidR="00000000" w:rsidRDefault="009027A3">
            <w:pPr>
              <w:rPr>
                <w:rFonts w:eastAsia="Times New Roman"/>
                <w:sz w:val="20"/>
                <w:szCs w:val="20"/>
              </w:rPr>
            </w:pPr>
            <w:r>
              <w:rPr>
                <w:rFonts w:eastAsia="Times New Roman"/>
                <w:sz w:val="20"/>
                <w:szCs w:val="20"/>
              </w:rPr>
              <w:t> </w:t>
            </w:r>
          </w:p>
        </w:tc>
      </w:tr>
      <w:tr w:rsidR="00000000" w14:paraId="52288CD8" w14:textId="77777777">
        <w:tc>
          <w:tcPr>
            <w:tcW w:w="0" w:type="auto"/>
            <w:shd w:val="clear" w:color="auto" w:fill="FFFFFF"/>
            <w:vAlign w:val="bottom"/>
            <w:hideMark/>
          </w:tcPr>
          <w:p w14:paraId="2A91CF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CEE3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9903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E58AF" w14:textId="77777777" w:rsidR="00000000" w:rsidRDefault="009027A3">
            <w:pPr>
              <w:jc w:val="right"/>
              <w:rPr>
                <w:rFonts w:eastAsia="Times New Roman"/>
                <w:sz w:val="20"/>
                <w:szCs w:val="20"/>
              </w:rPr>
            </w:pPr>
            <w:r>
              <w:rPr>
                <w:rFonts w:eastAsia="Times New Roman"/>
                <w:sz w:val="20"/>
                <w:szCs w:val="20"/>
              </w:rPr>
              <w:t>($ in thousands)</w:t>
            </w:r>
          </w:p>
        </w:tc>
        <w:tc>
          <w:tcPr>
            <w:tcW w:w="0" w:type="auto"/>
            <w:shd w:val="clear" w:color="auto" w:fill="FFFFFF"/>
            <w:vAlign w:val="bottom"/>
            <w:hideMark/>
          </w:tcPr>
          <w:p w14:paraId="68AD0F15" w14:textId="77777777" w:rsidR="00000000" w:rsidRDefault="009027A3">
            <w:pPr>
              <w:rPr>
                <w:rFonts w:eastAsia="Times New Roman"/>
                <w:sz w:val="20"/>
                <w:szCs w:val="20"/>
              </w:rPr>
            </w:pPr>
            <w:r>
              <w:rPr>
                <w:rFonts w:eastAsia="Times New Roman"/>
                <w:sz w:val="20"/>
                <w:szCs w:val="20"/>
              </w:rPr>
              <w:t> </w:t>
            </w:r>
          </w:p>
        </w:tc>
      </w:tr>
      <w:tr w:rsidR="00000000" w14:paraId="66F43C89" w14:textId="77777777">
        <w:tc>
          <w:tcPr>
            <w:tcW w:w="2300" w:type="pct"/>
            <w:shd w:val="clear" w:color="auto" w:fill="CCEEFF"/>
            <w:vAlign w:val="bottom"/>
            <w:hideMark/>
          </w:tcPr>
          <w:p w14:paraId="78B009BD" w14:textId="77777777" w:rsidR="00000000" w:rsidRDefault="009027A3">
            <w:pPr>
              <w:rPr>
                <w:rFonts w:eastAsia="Times New Roman"/>
                <w:sz w:val="20"/>
                <w:szCs w:val="20"/>
              </w:rPr>
            </w:pPr>
            <w:r>
              <w:rPr>
                <w:rFonts w:eastAsia="Times New Roman"/>
                <w:sz w:val="20"/>
                <w:szCs w:val="20"/>
              </w:rPr>
              <w:t>Cash</w:t>
            </w:r>
          </w:p>
        </w:tc>
        <w:tc>
          <w:tcPr>
            <w:tcW w:w="1500" w:type="pct"/>
            <w:shd w:val="clear" w:color="auto" w:fill="CCEEFF"/>
            <w:vAlign w:val="bottom"/>
            <w:hideMark/>
          </w:tcPr>
          <w:p w14:paraId="14729E9C"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3B7F65" w14:textId="77777777" w:rsidR="00000000" w:rsidRDefault="009027A3">
            <w:pPr>
              <w:rPr>
                <w:rFonts w:eastAsia="Times New Roman"/>
                <w:sz w:val="20"/>
                <w:szCs w:val="20"/>
              </w:rPr>
            </w:pPr>
            <w:r>
              <w:rPr>
                <w:rFonts w:eastAsia="Times New Roman"/>
                <w:sz w:val="20"/>
                <w:szCs w:val="20"/>
              </w:rPr>
              <w:t>$</w:t>
            </w:r>
          </w:p>
        </w:tc>
        <w:tc>
          <w:tcPr>
            <w:tcW w:w="1100" w:type="pct"/>
            <w:shd w:val="clear" w:color="auto" w:fill="CCEEFF"/>
            <w:vAlign w:val="bottom"/>
            <w:hideMark/>
          </w:tcPr>
          <w:p w14:paraId="61930C6C" w14:textId="77777777" w:rsidR="00000000" w:rsidRDefault="009027A3">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14:paraId="6150770E" w14:textId="77777777" w:rsidR="00000000" w:rsidRDefault="009027A3">
            <w:pPr>
              <w:rPr>
                <w:rFonts w:eastAsia="Times New Roman"/>
                <w:sz w:val="20"/>
                <w:szCs w:val="20"/>
              </w:rPr>
            </w:pPr>
            <w:r>
              <w:rPr>
                <w:rFonts w:eastAsia="Times New Roman"/>
                <w:sz w:val="20"/>
                <w:szCs w:val="20"/>
              </w:rPr>
              <w:t> </w:t>
            </w:r>
          </w:p>
        </w:tc>
      </w:tr>
      <w:tr w:rsidR="00000000" w14:paraId="17EB7283" w14:textId="77777777">
        <w:tc>
          <w:tcPr>
            <w:tcW w:w="0" w:type="auto"/>
            <w:shd w:val="clear" w:color="auto" w:fill="FFFFFF"/>
            <w:vAlign w:val="bottom"/>
            <w:hideMark/>
          </w:tcPr>
          <w:p w14:paraId="42C3358D" w14:textId="77777777" w:rsidR="00000000" w:rsidRDefault="009027A3">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55EA3D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B60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C3523" w14:textId="77777777" w:rsidR="00000000" w:rsidRDefault="009027A3">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14:paraId="091F7C2D" w14:textId="77777777" w:rsidR="00000000" w:rsidRDefault="009027A3">
            <w:pPr>
              <w:rPr>
                <w:rFonts w:eastAsia="Times New Roman"/>
                <w:sz w:val="20"/>
                <w:szCs w:val="20"/>
              </w:rPr>
            </w:pPr>
            <w:r>
              <w:rPr>
                <w:rFonts w:eastAsia="Times New Roman"/>
                <w:sz w:val="20"/>
                <w:szCs w:val="20"/>
              </w:rPr>
              <w:t> </w:t>
            </w:r>
          </w:p>
        </w:tc>
      </w:tr>
      <w:tr w:rsidR="00000000" w14:paraId="2FB8B44A" w14:textId="77777777">
        <w:tc>
          <w:tcPr>
            <w:tcW w:w="0" w:type="auto"/>
            <w:shd w:val="clear" w:color="auto" w:fill="CCEEFF"/>
            <w:tcMar>
              <w:top w:w="0" w:type="dxa"/>
              <w:left w:w="0" w:type="dxa"/>
              <w:bottom w:w="30" w:type="dxa"/>
              <w:right w:w="0" w:type="dxa"/>
            </w:tcMar>
            <w:vAlign w:val="bottom"/>
            <w:hideMark/>
          </w:tcPr>
          <w:p w14:paraId="3E94CCDA" w14:textId="77777777" w:rsidR="00000000" w:rsidRDefault="009027A3">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14:paraId="6D83A90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F93A1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36E450" w14:textId="77777777" w:rsidR="00000000" w:rsidRDefault="009027A3">
            <w:pPr>
              <w:jc w:val="right"/>
              <w:rPr>
                <w:rFonts w:eastAsia="Times New Roman"/>
                <w:sz w:val="20"/>
                <w:szCs w:val="20"/>
              </w:rPr>
            </w:pPr>
            <w:r>
              <w:rPr>
                <w:rFonts w:eastAsia="Times New Roman"/>
                <w:sz w:val="20"/>
                <w:szCs w:val="20"/>
              </w:rPr>
              <w:t>4,770</w:t>
            </w:r>
          </w:p>
        </w:tc>
        <w:tc>
          <w:tcPr>
            <w:tcW w:w="0" w:type="auto"/>
            <w:shd w:val="clear" w:color="auto" w:fill="CCEEFF"/>
            <w:tcMar>
              <w:top w:w="0" w:type="dxa"/>
              <w:left w:w="0" w:type="dxa"/>
              <w:bottom w:w="30" w:type="dxa"/>
              <w:right w:w="0" w:type="dxa"/>
            </w:tcMar>
            <w:vAlign w:val="bottom"/>
            <w:hideMark/>
          </w:tcPr>
          <w:p w14:paraId="56E1CE6B" w14:textId="77777777" w:rsidR="00000000" w:rsidRDefault="009027A3">
            <w:pPr>
              <w:rPr>
                <w:rFonts w:eastAsia="Times New Roman"/>
                <w:sz w:val="20"/>
                <w:szCs w:val="20"/>
              </w:rPr>
            </w:pPr>
            <w:r>
              <w:rPr>
                <w:rFonts w:eastAsia="Times New Roman"/>
                <w:sz w:val="20"/>
                <w:szCs w:val="20"/>
              </w:rPr>
              <w:t> </w:t>
            </w:r>
          </w:p>
        </w:tc>
      </w:tr>
      <w:tr w:rsidR="00000000" w14:paraId="0BB6A8E9" w14:textId="77777777">
        <w:tc>
          <w:tcPr>
            <w:tcW w:w="0" w:type="auto"/>
            <w:shd w:val="clear" w:color="auto" w:fill="FFFFFF"/>
            <w:tcMar>
              <w:top w:w="0" w:type="dxa"/>
              <w:left w:w="0" w:type="dxa"/>
              <w:bottom w:w="50" w:type="dxa"/>
              <w:right w:w="0" w:type="dxa"/>
            </w:tcMar>
            <w:vAlign w:val="bottom"/>
            <w:hideMark/>
          </w:tcPr>
          <w:p w14:paraId="5BE9576B" w14:textId="77777777" w:rsidR="00000000" w:rsidRDefault="009027A3">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14:paraId="21CB8A3A"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8828B32"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322B283" w14:textId="77777777" w:rsidR="00000000" w:rsidRDefault="009027A3">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14:paraId="45273204" w14:textId="77777777" w:rsidR="00000000" w:rsidRDefault="009027A3">
            <w:pPr>
              <w:rPr>
                <w:rFonts w:eastAsia="Times New Roman"/>
                <w:b/>
                <w:bCs/>
                <w:sz w:val="20"/>
                <w:szCs w:val="20"/>
              </w:rPr>
            </w:pPr>
            <w:r>
              <w:rPr>
                <w:rFonts w:eastAsia="Times New Roman"/>
                <w:b/>
                <w:bCs/>
                <w:sz w:val="20"/>
                <w:szCs w:val="20"/>
              </w:rPr>
              <w:t> </w:t>
            </w:r>
          </w:p>
        </w:tc>
      </w:tr>
    </w:tbl>
    <w:p w14:paraId="797AA3DF" w14:textId="77777777" w:rsidR="00000000" w:rsidRDefault="009027A3">
      <w:pPr>
        <w:pStyle w:val="a3"/>
        <w:spacing w:before="0" w:beforeAutospacing="0" w:after="0" w:afterAutospacing="0"/>
        <w:jc w:val="both"/>
        <w:rPr>
          <w:sz w:val="20"/>
          <w:szCs w:val="20"/>
        </w:rPr>
      </w:pPr>
      <w:r>
        <w:rPr>
          <w:sz w:val="20"/>
          <w:szCs w:val="20"/>
        </w:rPr>
        <w:t> </w:t>
      </w:r>
    </w:p>
    <w:p w14:paraId="70ED88D0" w14:textId="77777777" w:rsidR="00000000" w:rsidRDefault="009027A3">
      <w:pPr>
        <w:pStyle w:val="a3"/>
        <w:spacing w:before="0" w:beforeAutospacing="0" w:after="0" w:afterAutospacing="0"/>
        <w:jc w:val="both"/>
        <w:rPr>
          <w:sz w:val="20"/>
          <w:szCs w:val="20"/>
        </w:rPr>
      </w:pPr>
      <w:r>
        <w:rPr>
          <w:sz w:val="20"/>
          <w:szCs w:val="20"/>
        </w:rPr>
        <w:t xml:space="preserve">Of </w:t>
      </w:r>
      <w:r>
        <w:rPr>
          <w:sz w:val="20"/>
          <w:szCs w:val="20"/>
        </w:rPr>
        <w:t>the Preferred Stock consideration, 100,000 shares were held in escrow for up to one month pending completion of technical migration and customer acceptance. The shares held in escrow were released on August 3, 2020.</w:t>
      </w:r>
    </w:p>
    <w:p w14:paraId="63A6757E" w14:textId="77777777" w:rsidR="00000000" w:rsidRDefault="009027A3">
      <w:pPr>
        <w:pStyle w:val="a3"/>
        <w:spacing w:before="0" w:beforeAutospacing="0" w:after="0" w:afterAutospacing="0"/>
        <w:jc w:val="both"/>
        <w:rPr>
          <w:sz w:val="20"/>
          <w:szCs w:val="20"/>
        </w:rPr>
      </w:pPr>
      <w:r>
        <w:rPr>
          <w:sz w:val="20"/>
          <w:szCs w:val="20"/>
        </w:rPr>
        <w:t> </w:t>
      </w:r>
    </w:p>
    <w:p w14:paraId="03F64C34" w14:textId="77777777" w:rsidR="00000000" w:rsidRDefault="009027A3">
      <w:pPr>
        <w:pStyle w:val="a3"/>
        <w:spacing w:before="0" w:beforeAutospacing="0" w:after="0" w:afterAutospacing="0"/>
        <w:jc w:val="both"/>
        <w:rPr>
          <w:sz w:val="20"/>
          <w:szCs w:val="20"/>
        </w:rPr>
      </w:pPr>
      <w:r>
        <w:rPr>
          <w:sz w:val="20"/>
          <w:szCs w:val="20"/>
        </w:rPr>
        <w:t>The Company’</w:t>
      </w:r>
      <w:r>
        <w:rPr>
          <w:sz w:val="20"/>
          <w:szCs w:val="20"/>
        </w:rPr>
        <w:t>s Preferred Stock and warrants issued as part of the acquisition consideration were issued in a transaction exempt from registration under the Securities Act of 1933, as amended (the “Securities Act”). The warrants were valued using the Black-Scholes metho</w:t>
      </w:r>
      <w:r>
        <w:rPr>
          <w:sz w:val="20"/>
          <w:szCs w:val="20"/>
        </w:rPr>
        <w:t>d. The Company registered for resale under the Securities Act the Preferred Stock and the securities underlying the warrants. During the current quarter, 858,000 warrants were exercised at $7.50 each.</w:t>
      </w:r>
    </w:p>
    <w:p w14:paraId="1AD609CF" w14:textId="77777777" w:rsidR="00000000" w:rsidRDefault="009027A3">
      <w:pPr>
        <w:pStyle w:val="a3"/>
        <w:spacing w:before="0" w:beforeAutospacing="0" w:after="0" w:afterAutospacing="0"/>
        <w:jc w:val="both"/>
        <w:rPr>
          <w:sz w:val="20"/>
          <w:szCs w:val="20"/>
        </w:rPr>
      </w:pPr>
      <w:r>
        <w:rPr>
          <w:sz w:val="20"/>
          <w:szCs w:val="20"/>
        </w:rPr>
        <w:t> </w:t>
      </w:r>
    </w:p>
    <w:p w14:paraId="20431667" w14:textId="77777777" w:rsidR="00000000" w:rsidRDefault="009027A3">
      <w:pPr>
        <w:pStyle w:val="a3"/>
        <w:spacing w:before="0" w:beforeAutospacing="0" w:after="0" w:afterAutospacing="0"/>
        <w:jc w:val="both"/>
        <w:rPr>
          <w:sz w:val="20"/>
          <w:szCs w:val="20"/>
        </w:rPr>
      </w:pPr>
      <w:r>
        <w:rPr>
          <w:sz w:val="20"/>
          <w:szCs w:val="20"/>
        </w:rPr>
        <w:t xml:space="preserve">The Meridian acquisition added additional clients to </w:t>
      </w:r>
      <w:r>
        <w:rPr>
          <w:sz w:val="20"/>
          <w:szCs w:val="20"/>
        </w:rPr>
        <w:t>the Company’s customer base and, similar to previous acquisitions, broadened the Company’s presence in the healthcare information technology industry through geographic expansion of its customer base and by increasing available customer relationship resour</w:t>
      </w:r>
      <w:r>
        <w:rPr>
          <w:sz w:val="20"/>
          <w:szCs w:val="20"/>
        </w:rPr>
        <w:t>ces and specialized trained staff.</w:t>
      </w:r>
    </w:p>
    <w:p w14:paraId="48BF3CD7" w14:textId="77777777" w:rsidR="00000000" w:rsidRDefault="009027A3">
      <w:pPr>
        <w:pStyle w:val="a3"/>
        <w:spacing w:before="0" w:beforeAutospacing="0" w:after="0" w:afterAutospacing="0"/>
        <w:jc w:val="both"/>
        <w:rPr>
          <w:sz w:val="20"/>
          <w:szCs w:val="20"/>
        </w:rPr>
      </w:pPr>
      <w:r>
        <w:rPr>
          <w:sz w:val="20"/>
          <w:szCs w:val="20"/>
        </w:rPr>
        <w:t> </w:t>
      </w:r>
    </w:p>
    <w:p w14:paraId="6B8DF29F" w14:textId="77777777" w:rsidR="00000000" w:rsidRDefault="009027A3">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assumed from Meridian. The following table summarizes the preliminary purchase price allocation</w:t>
      </w:r>
      <w:r>
        <w:rPr>
          <w:sz w:val="20"/>
          <w:szCs w:val="20"/>
        </w:rPr>
        <w:t>. The Company expects to finalize the purchase price allocation by the end of the second quarter of 2021 and is finalizing the projections and the valuation of the acquired assets and assumed liabilities. The preliminary purchase price allocation for Merid</w:t>
      </w:r>
      <w:r>
        <w:rPr>
          <w:sz w:val="20"/>
          <w:szCs w:val="20"/>
        </w:rPr>
        <w:t>ian is summarized as follows:</w:t>
      </w:r>
    </w:p>
    <w:p w14:paraId="3FA1BAE4" w14:textId="77777777" w:rsidR="00000000" w:rsidRDefault="009027A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65"/>
        <w:gridCol w:w="77"/>
        <w:gridCol w:w="101"/>
        <w:gridCol w:w="1074"/>
        <w:gridCol w:w="67"/>
      </w:tblGrid>
      <w:tr w:rsidR="00000000" w14:paraId="575D2E3F" w14:textId="77777777">
        <w:tc>
          <w:tcPr>
            <w:tcW w:w="0" w:type="auto"/>
            <w:vAlign w:val="bottom"/>
            <w:hideMark/>
          </w:tcPr>
          <w:p w14:paraId="3A8BA3DB"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A19D909"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6CA7E4E4"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0004E8A2" w14:textId="77777777" w:rsidR="00000000" w:rsidRDefault="009027A3">
            <w:pPr>
              <w:rPr>
                <w:rFonts w:eastAsia="Times New Roman"/>
                <w:sz w:val="20"/>
                <w:szCs w:val="20"/>
              </w:rPr>
            </w:pPr>
            <w:r>
              <w:rPr>
                <w:rFonts w:eastAsia="Times New Roman"/>
                <w:sz w:val="20"/>
                <w:szCs w:val="20"/>
              </w:rPr>
              <w:t> </w:t>
            </w:r>
          </w:p>
        </w:tc>
      </w:tr>
      <w:tr w:rsidR="00000000" w14:paraId="3E3FA636" w14:textId="77777777">
        <w:tc>
          <w:tcPr>
            <w:tcW w:w="3700" w:type="pct"/>
            <w:shd w:val="clear" w:color="auto" w:fill="CCEEFF"/>
            <w:vAlign w:val="bottom"/>
            <w:hideMark/>
          </w:tcPr>
          <w:p w14:paraId="2CC404DA" w14:textId="77777777" w:rsidR="00000000" w:rsidRDefault="009027A3">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76FAD7FD"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3CF8FA" w14:textId="77777777" w:rsidR="00000000" w:rsidRDefault="009027A3">
            <w:pPr>
              <w:rPr>
                <w:rFonts w:eastAsia="Times New Roman"/>
                <w:sz w:val="20"/>
                <w:szCs w:val="20"/>
              </w:rPr>
            </w:pPr>
            <w:r>
              <w:rPr>
                <w:rFonts w:eastAsia="Times New Roman"/>
                <w:sz w:val="20"/>
                <w:szCs w:val="20"/>
              </w:rPr>
              <w:t>$</w:t>
            </w:r>
          </w:p>
        </w:tc>
        <w:tc>
          <w:tcPr>
            <w:tcW w:w="1100" w:type="pct"/>
            <w:shd w:val="clear" w:color="auto" w:fill="CCEEFF"/>
            <w:vAlign w:val="bottom"/>
            <w:hideMark/>
          </w:tcPr>
          <w:p w14:paraId="0E28503C" w14:textId="77777777" w:rsidR="00000000" w:rsidRDefault="009027A3">
            <w:pPr>
              <w:jc w:val="right"/>
              <w:rPr>
                <w:rFonts w:eastAsia="Times New Roman"/>
                <w:sz w:val="20"/>
                <w:szCs w:val="20"/>
              </w:rPr>
            </w:pPr>
            <w:r>
              <w:rPr>
                <w:rFonts w:eastAsia="Times New Roman"/>
                <w:sz w:val="20"/>
                <w:szCs w:val="20"/>
              </w:rPr>
              <w:t>3,558</w:t>
            </w:r>
          </w:p>
        </w:tc>
        <w:tc>
          <w:tcPr>
            <w:tcW w:w="50" w:type="pct"/>
            <w:shd w:val="clear" w:color="auto" w:fill="CCEEFF"/>
            <w:vAlign w:val="bottom"/>
            <w:hideMark/>
          </w:tcPr>
          <w:p w14:paraId="3B9AD73A" w14:textId="77777777" w:rsidR="00000000" w:rsidRDefault="009027A3">
            <w:pPr>
              <w:rPr>
                <w:rFonts w:eastAsia="Times New Roman"/>
                <w:sz w:val="20"/>
                <w:szCs w:val="20"/>
              </w:rPr>
            </w:pPr>
            <w:r>
              <w:rPr>
                <w:rFonts w:eastAsia="Times New Roman"/>
                <w:sz w:val="20"/>
                <w:szCs w:val="20"/>
              </w:rPr>
              <w:t> </w:t>
            </w:r>
          </w:p>
        </w:tc>
      </w:tr>
      <w:tr w:rsidR="00000000" w14:paraId="413A6C7D" w14:textId="77777777">
        <w:tc>
          <w:tcPr>
            <w:tcW w:w="0" w:type="auto"/>
            <w:shd w:val="clear" w:color="auto" w:fill="FFFFFF"/>
            <w:vAlign w:val="bottom"/>
            <w:hideMark/>
          </w:tcPr>
          <w:p w14:paraId="2AD82CCD" w14:textId="77777777" w:rsidR="00000000" w:rsidRDefault="009027A3">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423B7D6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45C1F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EDE66" w14:textId="77777777" w:rsidR="00000000" w:rsidRDefault="009027A3">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14:paraId="4B16B569" w14:textId="77777777" w:rsidR="00000000" w:rsidRDefault="009027A3">
            <w:pPr>
              <w:rPr>
                <w:rFonts w:eastAsia="Times New Roman"/>
                <w:sz w:val="20"/>
                <w:szCs w:val="20"/>
              </w:rPr>
            </w:pPr>
            <w:r>
              <w:rPr>
                <w:rFonts w:eastAsia="Times New Roman"/>
                <w:sz w:val="20"/>
                <w:szCs w:val="20"/>
              </w:rPr>
              <w:t> </w:t>
            </w:r>
          </w:p>
        </w:tc>
      </w:tr>
      <w:tr w:rsidR="00000000" w14:paraId="6E61B32E" w14:textId="77777777">
        <w:tc>
          <w:tcPr>
            <w:tcW w:w="0" w:type="auto"/>
            <w:shd w:val="clear" w:color="auto" w:fill="CCEEFF"/>
            <w:vAlign w:val="bottom"/>
            <w:hideMark/>
          </w:tcPr>
          <w:p w14:paraId="7960CE19" w14:textId="77777777" w:rsidR="00000000" w:rsidRDefault="009027A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11CF9B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87B8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62955" w14:textId="77777777" w:rsidR="00000000" w:rsidRDefault="009027A3">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14:paraId="5E2C8E73" w14:textId="77777777" w:rsidR="00000000" w:rsidRDefault="009027A3">
            <w:pPr>
              <w:rPr>
                <w:rFonts w:eastAsia="Times New Roman"/>
                <w:sz w:val="20"/>
                <w:szCs w:val="20"/>
              </w:rPr>
            </w:pPr>
            <w:r>
              <w:rPr>
                <w:rFonts w:eastAsia="Times New Roman"/>
                <w:sz w:val="20"/>
                <w:szCs w:val="20"/>
              </w:rPr>
              <w:t> </w:t>
            </w:r>
          </w:p>
        </w:tc>
      </w:tr>
      <w:tr w:rsidR="00000000" w14:paraId="75B6B183" w14:textId="77777777">
        <w:tc>
          <w:tcPr>
            <w:tcW w:w="0" w:type="auto"/>
            <w:shd w:val="clear" w:color="auto" w:fill="FFFFFF"/>
            <w:vAlign w:val="bottom"/>
            <w:hideMark/>
          </w:tcPr>
          <w:p w14:paraId="3523F102" w14:textId="77777777" w:rsidR="00000000" w:rsidRDefault="009027A3">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3EE1B8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18A0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95EDA" w14:textId="77777777" w:rsidR="00000000" w:rsidRDefault="009027A3">
            <w:pPr>
              <w:jc w:val="right"/>
              <w:rPr>
                <w:rFonts w:eastAsia="Times New Roman"/>
                <w:sz w:val="20"/>
                <w:szCs w:val="20"/>
              </w:rPr>
            </w:pPr>
            <w:r>
              <w:rPr>
                <w:rFonts w:eastAsia="Times New Roman"/>
                <w:sz w:val="20"/>
                <w:szCs w:val="20"/>
              </w:rPr>
              <w:t>426</w:t>
            </w:r>
          </w:p>
        </w:tc>
        <w:tc>
          <w:tcPr>
            <w:tcW w:w="0" w:type="auto"/>
            <w:shd w:val="clear" w:color="auto" w:fill="FFFFFF"/>
            <w:vAlign w:val="bottom"/>
            <w:hideMark/>
          </w:tcPr>
          <w:p w14:paraId="1ED8941C" w14:textId="77777777" w:rsidR="00000000" w:rsidRDefault="009027A3">
            <w:pPr>
              <w:rPr>
                <w:rFonts w:eastAsia="Times New Roman"/>
                <w:sz w:val="20"/>
                <w:szCs w:val="20"/>
              </w:rPr>
            </w:pPr>
            <w:r>
              <w:rPr>
                <w:rFonts w:eastAsia="Times New Roman"/>
                <w:sz w:val="20"/>
                <w:szCs w:val="20"/>
              </w:rPr>
              <w:t> </w:t>
            </w:r>
          </w:p>
        </w:tc>
      </w:tr>
      <w:tr w:rsidR="00000000" w14:paraId="052E7153" w14:textId="77777777">
        <w:tc>
          <w:tcPr>
            <w:tcW w:w="0" w:type="auto"/>
            <w:shd w:val="clear" w:color="auto" w:fill="CCEEFF"/>
            <w:vAlign w:val="bottom"/>
            <w:hideMark/>
          </w:tcPr>
          <w:p w14:paraId="7CC4E965" w14:textId="77777777" w:rsidR="00000000" w:rsidRDefault="009027A3">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293ABC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A01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B838B9" w14:textId="77777777" w:rsidR="00000000" w:rsidRDefault="009027A3">
            <w:pPr>
              <w:jc w:val="right"/>
              <w:rPr>
                <w:rFonts w:eastAsia="Times New Roman"/>
                <w:sz w:val="20"/>
                <w:szCs w:val="20"/>
              </w:rPr>
            </w:pPr>
            <w:r>
              <w:rPr>
                <w:rFonts w:eastAsia="Times New Roman"/>
                <w:sz w:val="20"/>
                <w:szCs w:val="20"/>
              </w:rPr>
              <w:t>2,776</w:t>
            </w:r>
          </w:p>
        </w:tc>
        <w:tc>
          <w:tcPr>
            <w:tcW w:w="0" w:type="auto"/>
            <w:shd w:val="clear" w:color="auto" w:fill="CCEEFF"/>
            <w:vAlign w:val="bottom"/>
            <w:hideMark/>
          </w:tcPr>
          <w:p w14:paraId="146516F5" w14:textId="77777777" w:rsidR="00000000" w:rsidRDefault="009027A3">
            <w:pPr>
              <w:rPr>
                <w:rFonts w:eastAsia="Times New Roman"/>
                <w:sz w:val="20"/>
                <w:szCs w:val="20"/>
              </w:rPr>
            </w:pPr>
            <w:r>
              <w:rPr>
                <w:rFonts w:eastAsia="Times New Roman"/>
                <w:sz w:val="20"/>
                <w:szCs w:val="20"/>
              </w:rPr>
              <w:t> </w:t>
            </w:r>
          </w:p>
        </w:tc>
      </w:tr>
      <w:tr w:rsidR="00000000" w14:paraId="69B6BE7B" w14:textId="77777777">
        <w:tc>
          <w:tcPr>
            <w:tcW w:w="0" w:type="auto"/>
            <w:shd w:val="clear" w:color="auto" w:fill="FFFFFF"/>
            <w:vAlign w:val="bottom"/>
            <w:hideMark/>
          </w:tcPr>
          <w:p w14:paraId="61BE3918" w14:textId="77777777" w:rsidR="00000000" w:rsidRDefault="009027A3">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59A133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355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45DA8" w14:textId="77777777" w:rsidR="00000000" w:rsidRDefault="009027A3">
            <w:pPr>
              <w:jc w:val="right"/>
              <w:rPr>
                <w:rFonts w:eastAsia="Times New Roman"/>
                <w:sz w:val="20"/>
                <w:szCs w:val="20"/>
              </w:rPr>
            </w:pPr>
            <w:r>
              <w:rPr>
                <w:rFonts w:eastAsia="Times New Roman"/>
                <w:sz w:val="20"/>
                <w:szCs w:val="20"/>
              </w:rPr>
              <w:t>12,900</w:t>
            </w:r>
          </w:p>
        </w:tc>
        <w:tc>
          <w:tcPr>
            <w:tcW w:w="0" w:type="auto"/>
            <w:shd w:val="clear" w:color="auto" w:fill="FFFFFF"/>
            <w:vAlign w:val="bottom"/>
            <w:hideMark/>
          </w:tcPr>
          <w:p w14:paraId="5BC9D9D6" w14:textId="77777777" w:rsidR="00000000" w:rsidRDefault="009027A3">
            <w:pPr>
              <w:rPr>
                <w:rFonts w:eastAsia="Times New Roman"/>
                <w:sz w:val="20"/>
                <w:szCs w:val="20"/>
              </w:rPr>
            </w:pPr>
            <w:r>
              <w:rPr>
                <w:rFonts w:eastAsia="Times New Roman"/>
                <w:sz w:val="20"/>
                <w:szCs w:val="20"/>
              </w:rPr>
              <w:t> </w:t>
            </w:r>
          </w:p>
        </w:tc>
      </w:tr>
      <w:tr w:rsidR="00000000" w14:paraId="4E48E279" w14:textId="77777777">
        <w:tc>
          <w:tcPr>
            <w:tcW w:w="0" w:type="auto"/>
            <w:shd w:val="clear" w:color="auto" w:fill="CCEEFF"/>
            <w:vAlign w:val="bottom"/>
            <w:hideMark/>
          </w:tcPr>
          <w:p w14:paraId="22B6696D" w14:textId="77777777" w:rsidR="00000000" w:rsidRDefault="009027A3">
            <w:pPr>
              <w:rPr>
                <w:rFonts w:eastAsia="Times New Roman"/>
                <w:sz w:val="20"/>
                <w:szCs w:val="20"/>
              </w:rPr>
            </w:pPr>
            <w:r>
              <w:rPr>
                <w:rFonts w:eastAsia="Times New Roman"/>
                <w:sz w:val="20"/>
                <w:szCs w:val="20"/>
              </w:rPr>
              <w:t>Technology</w:t>
            </w:r>
          </w:p>
        </w:tc>
        <w:tc>
          <w:tcPr>
            <w:tcW w:w="0" w:type="auto"/>
            <w:shd w:val="clear" w:color="auto" w:fill="CCEEFF"/>
            <w:vAlign w:val="bottom"/>
            <w:hideMark/>
          </w:tcPr>
          <w:p w14:paraId="4AF72DE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A9A0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BED03" w14:textId="77777777" w:rsidR="00000000" w:rsidRDefault="009027A3">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14:paraId="40105991" w14:textId="77777777" w:rsidR="00000000" w:rsidRDefault="009027A3">
            <w:pPr>
              <w:rPr>
                <w:rFonts w:eastAsia="Times New Roman"/>
                <w:sz w:val="20"/>
                <w:szCs w:val="20"/>
              </w:rPr>
            </w:pPr>
            <w:r>
              <w:rPr>
                <w:rFonts w:eastAsia="Times New Roman"/>
                <w:sz w:val="20"/>
                <w:szCs w:val="20"/>
              </w:rPr>
              <w:t> </w:t>
            </w:r>
          </w:p>
        </w:tc>
      </w:tr>
      <w:tr w:rsidR="00000000" w14:paraId="3B2F5B66" w14:textId="77777777">
        <w:tc>
          <w:tcPr>
            <w:tcW w:w="0" w:type="auto"/>
            <w:shd w:val="clear" w:color="auto" w:fill="FFFFFF"/>
            <w:vAlign w:val="bottom"/>
            <w:hideMark/>
          </w:tcPr>
          <w:p w14:paraId="5D250AC8" w14:textId="77777777" w:rsidR="00000000" w:rsidRDefault="009027A3">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711B77C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F781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3FFAEE" w14:textId="77777777" w:rsidR="00000000" w:rsidRDefault="009027A3">
            <w:pPr>
              <w:jc w:val="right"/>
              <w:rPr>
                <w:rFonts w:eastAsia="Times New Roman"/>
                <w:sz w:val="20"/>
                <w:szCs w:val="20"/>
              </w:rPr>
            </w:pPr>
            <w:r>
              <w:rPr>
                <w:rFonts w:eastAsia="Times New Roman"/>
                <w:sz w:val="20"/>
                <w:szCs w:val="20"/>
              </w:rPr>
              <w:t>13,789</w:t>
            </w:r>
          </w:p>
        </w:tc>
        <w:tc>
          <w:tcPr>
            <w:tcW w:w="0" w:type="auto"/>
            <w:shd w:val="clear" w:color="auto" w:fill="FFFFFF"/>
            <w:vAlign w:val="bottom"/>
            <w:hideMark/>
          </w:tcPr>
          <w:p w14:paraId="088A42BF" w14:textId="77777777" w:rsidR="00000000" w:rsidRDefault="009027A3">
            <w:pPr>
              <w:rPr>
                <w:rFonts w:eastAsia="Times New Roman"/>
                <w:sz w:val="20"/>
                <w:szCs w:val="20"/>
              </w:rPr>
            </w:pPr>
            <w:r>
              <w:rPr>
                <w:rFonts w:eastAsia="Times New Roman"/>
                <w:sz w:val="20"/>
                <w:szCs w:val="20"/>
              </w:rPr>
              <w:t> </w:t>
            </w:r>
          </w:p>
        </w:tc>
      </w:tr>
      <w:tr w:rsidR="00000000" w14:paraId="0EFC8B94" w14:textId="77777777">
        <w:tc>
          <w:tcPr>
            <w:tcW w:w="0" w:type="auto"/>
            <w:shd w:val="clear" w:color="auto" w:fill="CCEEFF"/>
            <w:vAlign w:val="bottom"/>
            <w:hideMark/>
          </w:tcPr>
          <w:p w14:paraId="22D232DF" w14:textId="77777777" w:rsidR="00000000" w:rsidRDefault="009027A3">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74F64E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22B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22FDC" w14:textId="77777777" w:rsidR="00000000" w:rsidRDefault="009027A3">
            <w:pPr>
              <w:jc w:val="right"/>
              <w:rPr>
                <w:rFonts w:eastAsia="Times New Roman"/>
                <w:sz w:val="20"/>
                <w:szCs w:val="20"/>
              </w:rPr>
            </w:pPr>
            <w:r>
              <w:rPr>
                <w:rFonts w:eastAsia="Times New Roman"/>
                <w:sz w:val="20"/>
                <w:szCs w:val="20"/>
              </w:rPr>
              <w:t>(3,373</w:t>
            </w:r>
          </w:p>
        </w:tc>
        <w:tc>
          <w:tcPr>
            <w:tcW w:w="0" w:type="auto"/>
            <w:shd w:val="clear" w:color="auto" w:fill="CCEEFF"/>
            <w:vAlign w:val="bottom"/>
            <w:hideMark/>
          </w:tcPr>
          <w:p w14:paraId="1D52DD32" w14:textId="77777777" w:rsidR="00000000" w:rsidRDefault="009027A3">
            <w:pPr>
              <w:rPr>
                <w:rFonts w:eastAsia="Times New Roman"/>
                <w:sz w:val="20"/>
                <w:szCs w:val="20"/>
              </w:rPr>
            </w:pPr>
            <w:r>
              <w:rPr>
                <w:rFonts w:eastAsia="Times New Roman"/>
                <w:sz w:val="20"/>
                <w:szCs w:val="20"/>
              </w:rPr>
              <w:t>)</w:t>
            </w:r>
          </w:p>
        </w:tc>
      </w:tr>
      <w:tr w:rsidR="00000000" w14:paraId="55A5E52B" w14:textId="77777777">
        <w:tc>
          <w:tcPr>
            <w:tcW w:w="0" w:type="auto"/>
            <w:shd w:val="clear" w:color="auto" w:fill="FFFFFF"/>
            <w:vAlign w:val="bottom"/>
            <w:hideMark/>
          </w:tcPr>
          <w:p w14:paraId="09835A07" w14:textId="77777777" w:rsidR="00000000" w:rsidRDefault="009027A3">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14:paraId="0F2166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768E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4A8BFB" w14:textId="77777777" w:rsidR="00000000" w:rsidRDefault="009027A3">
            <w:pPr>
              <w:jc w:val="right"/>
              <w:rPr>
                <w:rFonts w:eastAsia="Times New Roman"/>
                <w:sz w:val="20"/>
                <w:szCs w:val="20"/>
              </w:rPr>
            </w:pPr>
            <w:r>
              <w:rPr>
                <w:rFonts w:eastAsia="Times New Roman"/>
                <w:sz w:val="20"/>
                <w:szCs w:val="20"/>
              </w:rPr>
              <w:t>(3,932</w:t>
            </w:r>
          </w:p>
        </w:tc>
        <w:tc>
          <w:tcPr>
            <w:tcW w:w="0" w:type="auto"/>
            <w:shd w:val="clear" w:color="auto" w:fill="FFFFFF"/>
            <w:vAlign w:val="bottom"/>
            <w:hideMark/>
          </w:tcPr>
          <w:p w14:paraId="10E8FFB1" w14:textId="77777777" w:rsidR="00000000" w:rsidRDefault="009027A3">
            <w:pPr>
              <w:rPr>
                <w:rFonts w:eastAsia="Times New Roman"/>
                <w:sz w:val="20"/>
                <w:szCs w:val="20"/>
              </w:rPr>
            </w:pPr>
            <w:r>
              <w:rPr>
                <w:rFonts w:eastAsia="Times New Roman"/>
                <w:sz w:val="20"/>
                <w:szCs w:val="20"/>
              </w:rPr>
              <w:t>)</w:t>
            </w:r>
          </w:p>
        </w:tc>
      </w:tr>
      <w:tr w:rsidR="00000000" w14:paraId="6CDE58FA" w14:textId="77777777">
        <w:tc>
          <w:tcPr>
            <w:tcW w:w="0" w:type="auto"/>
            <w:shd w:val="clear" w:color="auto" w:fill="CCEEFF"/>
            <w:vAlign w:val="bottom"/>
            <w:hideMark/>
          </w:tcPr>
          <w:p w14:paraId="5855817B" w14:textId="77777777" w:rsidR="00000000" w:rsidRDefault="009027A3">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635523D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4E1A3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4FD77D" w14:textId="77777777" w:rsidR="00000000" w:rsidRDefault="009027A3">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14:paraId="390AC2C2" w14:textId="77777777" w:rsidR="00000000" w:rsidRDefault="009027A3">
            <w:pPr>
              <w:rPr>
                <w:rFonts w:eastAsia="Times New Roman"/>
                <w:sz w:val="20"/>
                <w:szCs w:val="20"/>
              </w:rPr>
            </w:pPr>
            <w:r>
              <w:rPr>
                <w:rFonts w:eastAsia="Times New Roman"/>
                <w:sz w:val="20"/>
                <w:szCs w:val="20"/>
              </w:rPr>
              <w:t>)</w:t>
            </w:r>
          </w:p>
        </w:tc>
      </w:tr>
      <w:tr w:rsidR="00000000" w14:paraId="20543AAA" w14:textId="77777777">
        <w:tc>
          <w:tcPr>
            <w:tcW w:w="0" w:type="auto"/>
            <w:shd w:val="clear" w:color="auto" w:fill="FFFFFF"/>
            <w:vAlign w:val="bottom"/>
            <w:hideMark/>
          </w:tcPr>
          <w:p w14:paraId="29085A1F" w14:textId="77777777" w:rsidR="00000000" w:rsidRDefault="009027A3">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40760E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7BF1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DAAE25" w14:textId="77777777" w:rsidR="00000000" w:rsidRDefault="009027A3">
            <w:pPr>
              <w:jc w:val="right"/>
              <w:rPr>
                <w:rFonts w:eastAsia="Times New Roman"/>
                <w:sz w:val="20"/>
                <w:szCs w:val="20"/>
              </w:rPr>
            </w:pPr>
            <w:r>
              <w:rPr>
                <w:rFonts w:eastAsia="Times New Roman"/>
                <w:sz w:val="20"/>
                <w:szCs w:val="20"/>
              </w:rPr>
              <w:t>(6,025</w:t>
            </w:r>
          </w:p>
        </w:tc>
        <w:tc>
          <w:tcPr>
            <w:tcW w:w="0" w:type="auto"/>
            <w:shd w:val="clear" w:color="auto" w:fill="FFFFFF"/>
            <w:vAlign w:val="bottom"/>
            <w:hideMark/>
          </w:tcPr>
          <w:p w14:paraId="3F57A4A6" w14:textId="77777777" w:rsidR="00000000" w:rsidRDefault="009027A3">
            <w:pPr>
              <w:rPr>
                <w:rFonts w:eastAsia="Times New Roman"/>
                <w:sz w:val="20"/>
                <w:szCs w:val="20"/>
              </w:rPr>
            </w:pPr>
            <w:r>
              <w:rPr>
                <w:rFonts w:eastAsia="Times New Roman"/>
                <w:sz w:val="20"/>
                <w:szCs w:val="20"/>
              </w:rPr>
              <w:t>)</w:t>
            </w:r>
          </w:p>
        </w:tc>
      </w:tr>
      <w:tr w:rsidR="00000000" w14:paraId="67B291B3" w14:textId="77777777">
        <w:tc>
          <w:tcPr>
            <w:tcW w:w="0" w:type="auto"/>
            <w:shd w:val="clear" w:color="auto" w:fill="CCEEFF"/>
            <w:tcMar>
              <w:top w:w="0" w:type="dxa"/>
              <w:left w:w="0" w:type="dxa"/>
              <w:bottom w:w="30" w:type="dxa"/>
              <w:right w:w="0" w:type="dxa"/>
            </w:tcMar>
            <w:vAlign w:val="bottom"/>
            <w:hideMark/>
          </w:tcPr>
          <w:p w14:paraId="5A5B54BD" w14:textId="77777777" w:rsidR="00000000" w:rsidRDefault="009027A3">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14:paraId="7CCEAD5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DD359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5E41F8" w14:textId="77777777" w:rsidR="00000000" w:rsidRDefault="009027A3">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14:paraId="2F158596" w14:textId="77777777" w:rsidR="00000000" w:rsidRDefault="009027A3">
            <w:pPr>
              <w:rPr>
                <w:rFonts w:eastAsia="Times New Roman"/>
                <w:sz w:val="20"/>
                <w:szCs w:val="20"/>
              </w:rPr>
            </w:pPr>
            <w:r>
              <w:rPr>
                <w:rFonts w:eastAsia="Times New Roman"/>
                <w:sz w:val="20"/>
                <w:szCs w:val="20"/>
              </w:rPr>
              <w:t>)</w:t>
            </w:r>
          </w:p>
        </w:tc>
      </w:tr>
      <w:tr w:rsidR="00000000" w14:paraId="1C869515" w14:textId="77777777">
        <w:tc>
          <w:tcPr>
            <w:tcW w:w="0" w:type="auto"/>
            <w:shd w:val="clear" w:color="auto" w:fill="FFFFFF"/>
            <w:tcMar>
              <w:top w:w="0" w:type="dxa"/>
              <w:left w:w="0" w:type="dxa"/>
              <w:bottom w:w="50" w:type="dxa"/>
              <w:right w:w="0" w:type="dxa"/>
            </w:tcMar>
            <w:vAlign w:val="bottom"/>
            <w:hideMark/>
          </w:tcPr>
          <w:p w14:paraId="488C616F" w14:textId="77777777" w:rsidR="00000000" w:rsidRDefault="009027A3">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14:paraId="4C82BE42"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EC9C923"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E36116B" w14:textId="77777777" w:rsidR="00000000" w:rsidRDefault="009027A3">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14:paraId="6B46F735" w14:textId="77777777" w:rsidR="00000000" w:rsidRDefault="009027A3">
            <w:pPr>
              <w:rPr>
                <w:rFonts w:eastAsia="Times New Roman"/>
                <w:b/>
                <w:bCs/>
                <w:sz w:val="20"/>
                <w:szCs w:val="20"/>
              </w:rPr>
            </w:pPr>
            <w:r>
              <w:rPr>
                <w:rFonts w:eastAsia="Times New Roman"/>
                <w:b/>
                <w:bCs/>
                <w:sz w:val="20"/>
                <w:szCs w:val="20"/>
              </w:rPr>
              <w:t> </w:t>
            </w:r>
          </w:p>
        </w:tc>
      </w:tr>
    </w:tbl>
    <w:p w14:paraId="7211FE99" w14:textId="77777777" w:rsidR="00000000" w:rsidRDefault="009027A3">
      <w:pPr>
        <w:pStyle w:val="a3"/>
        <w:spacing w:before="0" w:beforeAutospacing="0" w:after="0" w:afterAutospacing="0"/>
        <w:jc w:val="both"/>
        <w:rPr>
          <w:sz w:val="20"/>
          <w:szCs w:val="20"/>
        </w:rPr>
      </w:pPr>
      <w:r>
        <w:rPr>
          <w:b/>
          <w:bCs/>
          <w:sz w:val="20"/>
          <w:szCs w:val="20"/>
        </w:rPr>
        <w:t> </w:t>
      </w:r>
    </w:p>
    <w:p w14:paraId="376127B9"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14:paraId="253DACAA" w14:textId="77777777" w:rsidR="00000000" w:rsidRDefault="009027A3">
      <w:pPr>
        <w:pStyle w:val="a3"/>
        <w:spacing w:before="0" w:beforeAutospacing="0" w:after="0" w:afterAutospacing="0"/>
        <w:jc w:val="both"/>
        <w:rPr>
          <w:sz w:val="20"/>
          <w:szCs w:val="20"/>
        </w:rPr>
      </w:pPr>
      <w:r>
        <w:rPr>
          <w:sz w:val="20"/>
          <w:szCs w:val="20"/>
        </w:rPr>
        <w:t> </w:t>
      </w:r>
    </w:p>
    <w:p w14:paraId="4A15C209" w14:textId="77777777" w:rsidR="00000000" w:rsidRDefault="009027A3">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3FC1A9AA" w14:textId="77777777" w:rsidR="00000000" w:rsidRDefault="009027A3">
      <w:pPr>
        <w:pStyle w:val="a3"/>
        <w:spacing w:before="0" w:beforeAutospacing="0" w:after="0" w:afterAutospacing="0"/>
        <w:jc w:val="both"/>
        <w:rPr>
          <w:sz w:val="20"/>
          <w:szCs w:val="20"/>
        </w:rPr>
      </w:pPr>
      <w:r>
        <w:rPr>
          <w:sz w:val="20"/>
          <w:szCs w:val="20"/>
        </w:rPr>
        <w:t> </w:t>
      </w:r>
    </w:p>
    <w:p w14:paraId="0396A2CC" w14:textId="77777777" w:rsidR="00000000" w:rsidRDefault="009027A3">
      <w:pPr>
        <w:pStyle w:val="a3"/>
        <w:spacing w:before="0" w:beforeAutospacing="0" w:after="0" w:afterAutospacing="0"/>
        <w:jc w:val="both"/>
        <w:rPr>
          <w:sz w:val="20"/>
          <w:szCs w:val="20"/>
        </w:rPr>
      </w:pPr>
      <w:r>
        <w:rPr>
          <w:sz w:val="20"/>
          <w:szCs w:val="20"/>
        </w:rPr>
        <w:t>Revenue earned from the clients obtained from the Meridian acquisition was approximately $8.9 million d</w:t>
      </w:r>
      <w:r>
        <w:rPr>
          <w:sz w:val="20"/>
          <w:szCs w:val="20"/>
        </w:rPr>
        <w:t>uring the three months ended March 31, 2021.</w:t>
      </w:r>
    </w:p>
    <w:p w14:paraId="44F01CE3"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AB23396" w14:textId="77777777">
        <w:trPr>
          <w:divId w:val="9259348"/>
        </w:trPr>
        <w:tc>
          <w:tcPr>
            <w:tcW w:w="5000" w:type="pct"/>
            <w:hideMark/>
          </w:tcPr>
          <w:p w14:paraId="4A9113D2"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43528DF" w14:textId="77777777">
        <w:tc>
          <w:tcPr>
            <w:tcW w:w="5000" w:type="pct"/>
            <w:hideMark/>
          </w:tcPr>
          <w:p w14:paraId="6171C23B" w14:textId="77777777" w:rsidR="00000000" w:rsidRDefault="009027A3">
            <w:pPr>
              <w:rPr>
                <w:rFonts w:eastAsia="Times New Roman"/>
                <w:sz w:val="20"/>
                <w:szCs w:val="20"/>
              </w:rPr>
            </w:pPr>
            <w:r>
              <w:rPr>
                <w:rFonts w:eastAsia="Times New Roman"/>
                <w:sz w:val="20"/>
                <w:szCs w:val="20"/>
              </w:rPr>
              <w:t> </w:t>
            </w:r>
          </w:p>
        </w:tc>
      </w:tr>
    </w:tbl>
    <w:p w14:paraId="666DF23D" w14:textId="77777777" w:rsidR="00000000" w:rsidRDefault="009027A3">
      <w:pPr>
        <w:pStyle w:val="a3"/>
        <w:spacing w:before="0" w:beforeAutospacing="0" w:after="0" w:afterAutospacing="0"/>
        <w:rPr>
          <w:sz w:val="20"/>
          <w:szCs w:val="20"/>
        </w:rPr>
      </w:pPr>
      <w:r>
        <w:rPr>
          <w:b/>
          <w:bCs/>
          <w:sz w:val="20"/>
          <w:szCs w:val="20"/>
        </w:rPr>
        <w:t> </w:t>
      </w:r>
    </w:p>
    <w:p w14:paraId="22F2F856" w14:textId="77777777" w:rsidR="00000000" w:rsidRDefault="009027A3">
      <w:pPr>
        <w:pStyle w:val="a3"/>
        <w:spacing w:before="0" w:beforeAutospacing="0" w:after="0" w:afterAutospacing="0"/>
        <w:jc w:val="both"/>
        <w:rPr>
          <w:sz w:val="20"/>
          <w:szCs w:val="20"/>
        </w:rPr>
      </w:pPr>
      <w:r>
        <w:rPr>
          <w:sz w:val="20"/>
          <w:szCs w:val="20"/>
        </w:rPr>
        <w:t xml:space="preserve">On January 8, 2020, the Company entered into an Agreement and Plan of Merger (the “Merger Agreement”) with CareCloud Corporation, </w:t>
      </w:r>
      <w:r>
        <w:rPr>
          <w:sz w:val="20"/>
          <w:szCs w:val="20"/>
        </w:rPr>
        <w:t>a Delaware corporation which was subsequently renamed CareCloud Health, Inc. (“CCH”), MTBC Merger Sub, Inc., a Delaware corporation and wholly-owned subsidiary of the Company (“Merger Sub”) and Runway Growth Credit Fund Inc. (“Runway”), solely in its capac</w:t>
      </w:r>
      <w:r>
        <w:rPr>
          <w:sz w:val="20"/>
          <w:szCs w:val="20"/>
        </w:rPr>
        <w:t>ity as a seller representative, pursuant to which Merger Sub merged with and into CCH (the “Merger”), with CCH surviving as a wholly-owned subsidiary of the Company. The Merger became effective simultaneously with the execution of the Merger Agreement. The</w:t>
      </w:r>
      <w:r>
        <w:rPr>
          <w:sz w:val="20"/>
          <w:szCs w:val="20"/>
        </w:rPr>
        <w:t xml:space="preserve"> acquisition has been accounted for as a business combination.</w:t>
      </w:r>
    </w:p>
    <w:p w14:paraId="5E2DBD7A" w14:textId="77777777" w:rsidR="00000000" w:rsidRDefault="009027A3">
      <w:pPr>
        <w:pStyle w:val="a3"/>
        <w:spacing w:before="0" w:beforeAutospacing="0" w:after="0" w:afterAutospacing="0"/>
        <w:jc w:val="both"/>
        <w:rPr>
          <w:sz w:val="20"/>
          <w:szCs w:val="20"/>
        </w:rPr>
      </w:pPr>
      <w:r>
        <w:rPr>
          <w:sz w:val="20"/>
          <w:szCs w:val="20"/>
        </w:rPr>
        <w:t> </w:t>
      </w:r>
    </w:p>
    <w:p w14:paraId="1BCAE10A" w14:textId="77777777" w:rsidR="00000000" w:rsidRDefault="009027A3">
      <w:pPr>
        <w:pStyle w:val="a3"/>
        <w:spacing w:before="0" w:beforeAutospacing="0" w:after="0" w:afterAutospacing="0"/>
        <w:jc w:val="both"/>
        <w:rPr>
          <w:sz w:val="20"/>
          <w:szCs w:val="20"/>
        </w:rPr>
      </w:pPr>
      <w:r>
        <w:rPr>
          <w:sz w:val="20"/>
          <w:szCs w:val="20"/>
        </w:rPr>
        <w:t>The total consideration for the Merger included approximately $11.9 million paid in cash at closing, the assumption of a working capital deficiency of approximately $5.1 million and 760,000 s</w:t>
      </w:r>
      <w:r>
        <w:rPr>
          <w:sz w:val="20"/>
          <w:szCs w:val="20"/>
        </w:rPr>
        <w:t>hares of the Company’s Preferred Stock. The Merger Agreement provided that if CCH’s 2020 revenues exceed $36 million, there will be an earn-out payment to the seller equal to such excess, up to $3 million. Based on the 2020 revenues, no earn-out payment wa</w:t>
      </w:r>
      <w:r>
        <w:rPr>
          <w:sz w:val="20"/>
          <w:szCs w:val="20"/>
        </w:rPr>
        <w:t>s required. Additional consideration included warrants to purchase 2,000,000 shares of the Company’s common stock, 1,000,000 of which have an exercise price per share of $7.50 and a term of two years, and the other 1,000,000 warrants have an exercise price</w:t>
      </w:r>
      <w:r>
        <w:rPr>
          <w:sz w:val="20"/>
          <w:szCs w:val="20"/>
        </w:rPr>
        <w:t xml:space="preserve"> per share of $10.00 and a term of three years.</w:t>
      </w:r>
    </w:p>
    <w:p w14:paraId="51280FCD" w14:textId="77777777" w:rsidR="00000000" w:rsidRDefault="009027A3">
      <w:pPr>
        <w:pStyle w:val="a3"/>
        <w:spacing w:before="0" w:beforeAutospacing="0" w:after="0" w:afterAutospacing="0"/>
        <w:jc w:val="both"/>
        <w:rPr>
          <w:sz w:val="20"/>
          <w:szCs w:val="20"/>
        </w:rPr>
      </w:pPr>
      <w:r>
        <w:rPr>
          <w:sz w:val="20"/>
          <w:szCs w:val="20"/>
        </w:rPr>
        <w:t> </w:t>
      </w:r>
    </w:p>
    <w:p w14:paraId="08F31D24" w14:textId="77777777" w:rsidR="00000000" w:rsidRDefault="009027A3">
      <w:pPr>
        <w:pStyle w:val="a3"/>
        <w:spacing w:before="0" w:beforeAutospacing="0" w:after="0" w:afterAutospacing="0"/>
        <w:jc w:val="both"/>
        <w:rPr>
          <w:sz w:val="20"/>
          <w:szCs w:val="20"/>
        </w:rPr>
      </w:pPr>
      <w:r>
        <w:rPr>
          <w:sz w:val="20"/>
          <w:szCs w:val="20"/>
        </w:rPr>
        <w:t>A summary of the total consideration is as follows:</w:t>
      </w:r>
    </w:p>
    <w:p w14:paraId="71B1B69B" w14:textId="77777777" w:rsidR="00000000" w:rsidRDefault="009027A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276"/>
        <w:gridCol w:w="1478"/>
        <w:gridCol w:w="101"/>
        <w:gridCol w:w="1079"/>
        <w:gridCol w:w="50"/>
      </w:tblGrid>
      <w:tr w:rsidR="00000000" w14:paraId="69828E60" w14:textId="77777777">
        <w:tc>
          <w:tcPr>
            <w:tcW w:w="0" w:type="auto"/>
            <w:tcBorders>
              <w:bottom w:val="single" w:sz="12" w:space="0" w:color="000000"/>
            </w:tcBorders>
            <w:vAlign w:val="bottom"/>
            <w:hideMark/>
          </w:tcPr>
          <w:p w14:paraId="49B751EB" w14:textId="77777777" w:rsidR="00000000" w:rsidRDefault="009027A3">
            <w:pPr>
              <w:rPr>
                <w:rFonts w:eastAsia="Times New Roman"/>
                <w:b/>
                <w:bCs/>
                <w:sz w:val="20"/>
                <w:szCs w:val="20"/>
              </w:rPr>
            </w:pPr>
            <w:r>
              <w:rPr>
                <w:rFonts w:eastAsia="Times New Roman"/>
                <w:b/>
                <w:bCs/>
                <w:sz w:val="20"/>
                <w:szCs w:val="20"/>
              </w:rPr>
              <w:t>CCH Purchase Price</w:t>
            </w:r>
          </w:p>
        </w:tc>
        <w:tc>
          <w:tcPr>
            <w:tcW w:w="0" w:type="auto"/>
            <w:tcMar>
              <w:top w:w="0" w:type="dxa"/>
              <w:left w:w="0" w:type="dxa"/>
              <w:bottom w:w="30" w:type="dxa"/>
              <w:right w:w="0" w:type="dxa"/>
            </w:tcMar>
            <w:vAlign w:val="bottom"/>
            <w:hideMark/>
          </w:tcPr>
          <w:p w14:paraId="18CE76B8"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43AD3C39"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7EC2634" w14:textId="77777777" w:rsidR="00000000" w:rsidRDefault="009027A3">
            <w:pPr>
              <w:rPr>
                <w:rFonts w:eastAsia="Times New Roman"/>
                <w:sz w:val="20"/>
                <w:szCs w:val="20"/>
              </w:rPr>
            </w:pPr>
            <w:r>
              <w:rPr>
                <w:rFonts w:eastAsia="Times New Roman"/>
                <w:sz w:val="20"/>
                <w:szCs w:val="20"/>
              </w:rPr>
              <w:t> </w:t>
            </w:r>
          </w:p>
        </w:tc>
      </w:tr>
      <w:tr w:rsidR="00000000" w14:paraId="28E1F09B" w14:textId="77777777">
        <w:tc>
          <w:tcPr>
            <w:tcW w:w="0" w:type="auto"/>
            <w:vAlign w:val="bottom"/>
            <w:hideMark/>
          </w:tcPr>
          <w:p w14:paraId="509CF1E2"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FF8525B"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647C2C12"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0AB3A587" w14:textId="77777777" w:rsidR="00000000" w:rsidRDefault="009027A3">
            <w:pPr>
              <w:rPr>
                <w:rFonts w:eastAsia="Times New Roman"/>
                <w:sz w:val="20"/>
                <w:szCs w:val="20"/>
              </w:rPr>
            </w:pPr>
            <w:r>
              <w:rPr>
                <w:rFonts w:eastAsia="Times New Roman"/>
                <w:sz w:val="20"/>
                <w:szCs w:val="20"/>
              </w:rPr>
              <w:t> </w:t>
            </w:r>
          </w:p>
        </w:tc>
      </w:tr>
      <w:tr w:rsidR="00000000" w14:paraId="6D5E5FBA" w14:textId="77777777">
        <w:tc>
          <w:tcPr>
            <w:tcW w:w="2300" w:type="pct"/>
            <w:shd w:val="clear" w:color="auto" w:fill="CCEEFF"/>
            <w:vAlign w:val="bottom"/>
            <w:hideMark/>
          </w:tcPr>
          <w:p w14:paraId="7ED82580" w14:textId="77777777" w:rsidR="00000000" w:rsidRDefault="009027A3">
            <w:pPr>
              <w:rPr>
                <w:rFonts w:eastAsia="Times New Roman"/>
                <w:sz w:val="20"/>
                <w:szCs w:val="20"/>
              </w:rPr>
            </w:pPr>
            <w:r>
              <w:rPr>
                <w:rFonts w:eastAsia="Times New Roman"/>
                <w:sz w:val="20"/>
                <w:szCs w:val="20"/>
              </w:rPr>
              <w:t>Cash</w:t>
            </w:r>
          </w:p>
        </w:tc>
        <w:tc>
          <w:tcPr>
            <w:tcW w:w="1500" w:type="pct"/>
            <w:shd w:val="clear" w:color="auto" w:fill="CCEEFF"/>
            <w:vAlign w:val="bottom"/>
            <w:hideMark/>
          </w:tcPr>
          <w:p w14:paraId="45238C5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CCEF80" w14:textId="77777777" w:rsidR="00000000" w:rsidRDefault="009027A3">
            <w:pPr>
              <w:rPr>
                <w:rFonts w:eastAsia="Times New Roman"/>
                <w:sz w:val="20"/>
                <w:szCs w:val="20"/>
              </w:rPr>
            </w:pPr>
            <w:r>
              <w:rPr>
                <w:rFonts w:eastAsia="Times New Roman"/>
                <w:sz w:val="20"/>
                <w:szCs w:val="20"/>
              </w:rPr>
              <w:t>$</w:t>
            </w:r>
          </w:p>
        </w:tc>
        <w:tc>
          <w:tcPr>
            <w:tcW w:w="1100" w:type="pct"/>
            <w:shd w:val="clear" w:color="auto" w:fill="CCEEFF"/>
            <w:vAlign w:val="bottom"/>
            <w:hideMark/>
          </w:tcPr>
          <w:p w14:paraId="740CFD47" w14:textId="77777777" w:rsidR="00000000" w:rsidRDefault="009027A3">
            <w:pPr>
              <w:jc w:val="right"/>
              <w:rPr>
                <w:rFonts w:eastAsia="Times New Roman"/>
                <w:sz w:val="20"/>
                <w:szCs w:val="20"/>
              </w:rPr>
            </w:pPr>
            <w:r>
              <w:rPr>
                <w:rFonts w:eastAsia="Times New Roman"/>
                <w:sz w:val="20"/>
                <w:szCs w:val="20"/>
              </w:rPr>
              <w:t>11,853</w:t>
            </w:r>
          </w:p>
        </w:tc>
        <w:tc>
          <w:tcPr>
            <w:tcW w:w="50" w:type="pct"/>
            <w:shd w:val="clear" w:color="auto" w:fill="CCEEFF"/>
            <w:vAlign w:val="bottom"/>
            <w:hideMark/>
          </w:tcPr>
          <w:p w14:paraId="315D8FB2" w14:textId="77777777" w:rsidR="00000000" w:rsidRDefault="009027A3">
            <w:pPr>
              <w:rPr>
                <w:rFonts w:eastAsia="Times New Roman"/>
                <w:sz w:val="20"/>
                <w:szCs w:val="20"/>
              </w:rPr>
            </w:pPr>
            <w:r>
              <w:rPr>
                <w:rFonts w:eastAsia="Times New Roman"/>
                <w:sz w:val="20"/>
                <w:szCs w:val="20"/>
              </w:rPr>
              <w:t> </w:t>
            </w:r>
          </w:p>
        </w:tc>
      </w:tr>
      <w:tr w:rsidR="00000000" w14:paraId="0EB7033C" w14:textId="77777777">
        <w:tc>
          <w:tcPr>
            <w:tcW w:w="0" w:type="auto"/>
            <w:shd w:val="clear" w:color="auto" w:fill="FFFFFF"/>
            <w:vAlign w:val="bottom"/>
            <w:hideMark/>
          </w:tcPr>
          <w:p w14:paraId="588B4806" w14:textId="77777777" w:rsidR="00000000" w:rsidRDefault="009027A3">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7256E5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F5D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63D502" w14:textId="77777777" w:rsidR="00000000" w:rsidRDefault="009027A3">
            <w:pPr>
              <w:jc w:val="right"/>
              <w:rPr>
                <w:rFonts w:eastAsia="Times New Roman"/>
                <w:sz w:val="20"/>
                <w:szCs w:val="20"/>
              </w:rPr>
            </w:pPr>
            <w:r>
              <w:rPr>
                <w:rFonts w:eastAsia="Times New Roman"/>
                <w:sz w:val="20"/>
                <w:szCs w:val="20"/>
              </w:rPr>
              <w:t>19,000</w:t>
            </w:r>
          </w:p>
        </w:tc>
        <w:tc>
          <w:tcPr>
            <w:tcW w:w="0" w:type="auto"/>
            <w:shd w:val="clear" w:color="auto" w:fill="FFFFFF"/>
            <w:vAlign w:val="bottom"/>
            <w:hideMark/>
          </w:tcPr>
          <w:p w14:paraId="12EFA5C4" w14:textId="77777777" w:rsidR="00000000" w:rsidRDefault="009027A3">
            <w:pPr>
              <w:rPr>
                <w:rFonts w:eastAsia="Times New Roman"/>
                <w:sz w:val="20"/>
                <w:szCs w:val="20"/>
              </w:rPr>
            </w:pPr>
            <w:r>
              <w:rPr>
                <w:rFonts w:eastAsia="Times New Roman"/>
                <w:sz w:val="20"/>
                <w:szCs w:val="20"/>
              </w:rPr>
              <w:t> </w:t>
            </w:r>
          </w:p>
        </w:tc>
      </w:tr>
      <w:tr w:rsidR="00000000" w14:paraId="7D99434F" w14:textId="77777777">
        <w:tc>
          <w:tcPr>
            <w:tcW w:w="0" w:type="auto"/>
            <w:shd w:val="clear" w:color="auto" w:fill="CCEEFF"/>
            <w:vAlign w:val="bottom"/>
            <w:hideMark/>
          </w:tcPr>
          <w:p w14:paraId="1E03BCA9" w14:textId="77777777" w:rsidR="00000000" w:rsidRDefault="009027A3">
            <w:pPr>
              <w:rPr>
                <w:rFonts w:eastAsia="Times New Roman"/>
                <w:sz w:val="20"/>
                <w:szCs w:val="20"/>
              </w:rPr>
            </w:pPr>
            <w:r>
              <w:rPr>
                <w:rFonts w:eastAsia="Times New Roman"/>
                <w:sz w:val="20"/>
                <w:szCs w:val="20"/>
              </w:rPr>
              <w:t>Warrants</w:t>
            </w:r>
          </w:p>
        </w:tc>
        <w:tc>
          <w:tcPr>
            <w:tcW w:w="0" w:type="auto"/>
            <w:shd w:val="clear" w:color="auto" w:fill="CCEEFF"/>
            <w:vAlign w:val="bottom"/>
            <w:hideMark/>
          </w:tcPr>
          <w:p w14:paraId="10696B2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05CC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34458A" w14:textId="77777777" w:rsidR="00000000" w:rsidRDefault="009027A3">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14:paraId="5F5C93A6" w14:textId="77777777" w:rsidR="00000000" w:rsidRDefault="009027A3">
            <w:pPr>
              <w:rPr>
                <w:rFonts w:eastAsia="Times New Roman"/>
                <w:sz w:val="20"/>
                <w:szCs w:val="20"/>
              </w:rPr>
            </w:pPr>
            <w:r>
              <w:rPr>
                <w:rFonts w:eastAsia="Times New Roman"/>
                <w:sz w:val="20"/>
                <w:szCs w:val="20"/>
              </w:rPr>
              <w:t> </w:t>
            </w:r>
          </w:p>
        </w:tc>
      </w:tr>
      <w:tr w:rsidR="00000000" w14:paraId="5C729A3B" w14:textId="77777777">
        <w:tc>
          <w:tcPr>
            <w:tcW w:w="0" w:type="auto"/>
            <w:shd w:val="clear" w:color="auto" w:fill="FFFFFF"/>
            <w:tcMar>
              <w:top w:w="0" w:type="dxa"/>
              <w:left w:w="0" w:type="dxa"/>
              <w:bottom w:w="30" w:type="dxa"/>
              <w:right w:w="0" w:type="dxa"/>
            </w:tcMar>
            <w:vAlign w:val="bottom"/>
            <w:hideMark/>
          </w:tcPr>
          <w:p w14:paraId="7BB81F23" w14:textId="77777777" w:rsidR="00000000" w:rsidRDefault="009027A3">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14:paraId="618F823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83659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DD94D2" w14:textId="77777777" w:rsidR="00000000" w:rsidRDefault="009027A3">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6FA307E4" w14:textId="77777777" w:rsidR="00000000" w:rsidRDefault="009027A3">
            <w:pPr>
              <w:rPr>
                <w:rFonts w:eastAsia="Times New Roman"/>
                <w:sz w:val="20"/>
                <w:szCs w:val="20"/>
              </w:rPr>
            </w:pPr>
            <w:r>
              <w:rPr>
                <w:rFonts w:eastAsia="Times New Roman"/>
                <w:sz w:val="20"/>
                <w:szCs w:val="20"/>
              </w:rPr>
              <w:t> </w:t>
            </w:r>
          </w:p>
        </w:tc>
      </w:tr>
      <w:tr w:rsidR="00000000" w14:paraId="7A02D5B8" w14:textId="77777777">
        <w:tc>
          <w:tcPr>
            <w:tcW w:w="0" w:type="auto"/>
            <w:shd w:val="clear" w:color="auto" w:fill="CCEEFF"/>
            <w:tcMar>
              <w:top w:w="0" w:type="dxa"/>
              <w:left w:w="0" w:type="dxa"/>
              <w:bottom w:w="50" w:type="dxa"/>
              <w:right w:w="0" w:type="dxa"/>
            </w:tcMar>
            <w:vAlign w:val="bottom"/>
            <w:hideMark/>
          </w:tcPr>
          <w:p w14:paraId="3393B28F" w14:textId="77777777" w:rsidR="00000000" w:rsidRDefault="009027A3">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14:paraId="4435EBB8"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3A0CE87"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2B200555" w14:textId="77777777" w:rsidR="00000000" w:rsidRDefault="009027A3">
            <w:pPr>
              <w:jc w:val="right"/>
              <w:rPr>
                <w:rFonts w:eastAsia="Times New Roman"/>
                <w:b/>
                <w:bCs/>
                <w:sz w:val="20"/>
                <w:szCs w:val="20"/>
              </w:rPr>
            </w:pPr>
            <w:r>
              <w:rPr>
                <w:rFonts w:eastAsia="Times New Roman"/>
                <w:b/>
                <w:bCs/>
                <w:sz w:val="20"/>
                <w:szCs w:val="20"/>
              </w:rPr>
              <w:t>32,153</w:t>
            </w:r>
          </w:p>
        </w:tc>
        <w:tc>
          <w:tcPr>
            <w:tcW w:w="0" w:type="auto"/>
            <w:shd w:val="clear" w:color="auto" w:fill="CCEEFF"/>
            <w:tcMar>
              <w:top w:w="0" w:type="dxa"/>
              <w:left w:w="0" w:type="dxa"/>
              <w:bottom w:w="50" w:type="dxa"/>
              <w:right w:w="0" w:type="dxa"/>
            </w:tcMar>
            <w:vAlign w:val="bottom"/>
            <w:hideMark/>
          </w:tcPr>
          <w:p w14:paraId="06796420" w14:textId="77777777" w:rsidR="00000000" w:rsidRDefault="009027A3">
            <w:pPr>
              <w:rPr>
                <w:rFonts w:eastAsia="Times New Roman"/>
                <w:b/>
                <w:bCs/>
                <w:sz w:val="20"/>
                <w:szCs w:val="20"/>
              </w:rPr>
            </w:pPr>
            <w:r>
              <w:rPr>
                <w:rFonts w:eastAsia="Times New Roman"/>
                <w:b/>
                <w:bCs/>
                <w:sz w:val="20"/>
                <w:szCs w:val="20"/>
              </w:rPr>
              <w:t> </w:t>
            </w:r>
          </w:p>
        </w:tc>
      </w:tr>
    </w:tbl>
    <w:p w14:paraId="59CDF997" w14:textId="77777777" w:rsidR="00000000" w:rsidRDefault="009027A3">
      <w:pPr>
        <w:pStyle w:val="a3"/>
        <w:spacing w:before="0" w:beforeAutospacing="0" w:after="0" w:afterAutospacing="0"/>
        <w:jc w:val="both"/>
        <w:rPr>
          <w:sz w:val="20"/>
          <w:szCs w:val="20"/>
        </w:rPr>
      </w:pPr>
      <w:r>
        <w:rPr>
          <w:sz w:val="20"/>
          <w:szCs w:val="20"/>
        </w:rPr>
        <w:t> </w:t>
      </w:r>
    </w:p>
    <w:p w14:paraId="4DECF889" w14:textId="77777777" w:rsidR="00000000" w:rsidRDefault="009027A3">
      <w:pPr>
        <w:pStyle w:val="a3"/>
        <w:spacing w:before="0" w:beforeAutospacing="0" w:after="0" w:afterAutospacing="0"/>
        <w:jc w:val="both"/>
        <w:rPr>
          <w:sz w:val="20"/>
          <w:szCs w:val="20"/>
        </w:rPr>
      </w:pPr>
      <w:r>
        <w:rPr>
          <w:sz w:val="20"/>
          <w:szCs w:val="20"/>
        </w:rPr>
        <w:t xml:space="preserve">Of </w:t>
      </w:r>
      <w:r>
        <w:rPr>
          <w:sz w:val="20"/>
          <w:szCs w:val="20"/>
        </w:rPr>
        <w:t xml:space="preserve">the Preferred Stock consideration, 160,000 shares were placed in escrow for up to 24 months, and an additional 100,000 shares were placed in escrow for up to 18 months, in both cases, to satisfy indemnification obligations of the seller for losses arising </w:t>
      </w:r>
      <w:r>
        <w:rPr>
          <w:sz w:val="20"/>
          <w:szCs w:val="20"/>
        </w:rPr>
        <w:t>from certain specified contingent liabilities. Shares net of such losses will be released upon the joint instruction of the Company and Runway in accordance with the applicable escrow terms. Such shares were entitled to the monthly dividend, which was to b</w:t>
      </w:r>
      <w:r>
        <w:rPr>
          <w:sz w:val="20"/>
          <w:szCs w:val="20"/>
        </w:rPr>
        <w:t>e paid when, and if, the shares were released. The Company had accrued the dividend monthly on the Preferred Stock held in escrow. Due to the settlement of the obligation in April 2021, accrued dividends of $513,000 relating to the 160,000 shares held in e</w:t>
      </w:r>
      <w:r>
        <w:rPr>
          <w:sz w:val="20"/>
          <w:szCs w:val="20"/>
        </w:rPr>
        <w:t>scrow were reversed during the current quarter.</w:t>
      </w:r>
    </w:p>
    <w:p w14:paraId="17078214" w14:textId="77777777" w:rsidR="00000000" w:rsidRDefault="009027A3">
      <w:pPr>
        <w:pStyle w:val="a3"/>
        <w:spacing w:before="0" w:beforeAutospacing="0" w:after="0" w:afterAutospacing="0"/>
        <w:jc w:val="both"/>
        <w:rPr>
          <w:sz w:val="20"/>
          <w:szCs w:val="20"/>
        </w:rPr>
      </w:pPr>
      <w:r>
        <w:rPr>
          <w:sz w:val="20"/>
          <w:szCs w:val="20"/>
        </w:rPr>
        <w:t> </w:t>
      </w:r>
    </w:p>
    <w:p w14:paraId="1615F8BC" w14:textId="77777777" w:rsidR="00000000" w:rsidRDefault="009027A3">
      <w:pPr>
        <w:pStyle w:val="a3"/>
        <w:spacing w:before="0" w:beforeAutospacing="0" w:after="0" w:afterAutospacing="0"/>
        <w:jc w:val="both"/>
        <w:rPr>
          <w:sz w:val="20"/>
          <w:szCs w:val="20"/>
        </w:rPr>
      </w:pPr>
      <w:r>
        <w:rPr>
          <w:sz w:val="20"/>
          <w:szCs w:val="20"/>
        </w:rPr>
        <w:t xml:space="preserve">During July 2020, it was determined that 55,726 shares of the Preferred Stock would be released from escrow and cancelled since one of the contingent liabilities was settled for the amount of the cancelled </w:t>
      </w:r>
      <w:r>
        <w:rPr>
          <w:sz w:val="20"/>
          <w:szCs w:val="20"/>
        </w:rPr>
        <w:t xml:space="preserve">shares. This included a cash payment of approximately $1.3 million. Dividends previously accrued on these shares of $102,000 were reversed as of June 30, 2020, since the amounts will not need to be paid. The remaining shares continue to be held in escrow. </w:t>
      </w:r>
    </w:p>
    <w:p w14:paraId="63F3F200" w14:textId="77777777" w:rsidR="00000000" w:rsidRDefault="009027A3">
      <w:pPr>
        <w:pStyle w:val="a3"/>
        <w:spacing w:before="0" w:beforeAutospacing="0" w:after="0" w:afterAutospacing="0"/>
        <w:jc w:val="both"/>
        <w:rPr>
          <w:sz w:val="20"/>
          <w:szCs w:val="20"/>
        </w:rPr>
      </w:pPr>
      <w:r>
        <w:rPr>
          <w:sz w:val="20"/>
          <w:szCs w:val="20"/>
        </w:rPr>
        <w:t> </w:t>
      </w:r>
    </w:p>
    <w:p w14:paraId="2097E290" w14:textId="77777777" w:rsidR="00000000" w:rsidRDefault="009027A3">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registration under the Securities Act of 1933, as amended (the “Securities Act”). The warrants were valued using the Black-Sch</w:t>
      </w:r>
      <w:r>
        <w:rPr>
          <w:sz w:val="20"/>
          <w:szCs w:val="20"/>
        </w:rPr>
        <w:t>oles method. The Company registered for resale under the Securities Act the Preferred Stock and the securities underlying the warrants.</w:t>
      </w:r>
    </w:p>
    <w:p w14:paraId="7DDB6BC0" w14:textId="77777777" w:rsidR="00000000" w:rsidRDefault="009027A3">
      <w:pPr>
        <w:pStyle w:val="a3"/>
        <w:spacing w:before="0" w:beforeAutospacing="0" w:after="0" w:afterAutospacing="0"/>
        <w:jc w:val="both"/>
        <w:rPr>
          <w:sz w:val="20"/>
          <w:szCs w:val="20"/>
        </w:rPr>
      </w:pPr>
      <w:r>
        <w:rPr>
          <w:sz w:val="20"/>
          <w:szCs w:val="20"/>
        </w:rPr>
        <w:t> </w:t>
      </w:r>
    </w:p>
    <w:p w14:paraId="65C1A2DA" w14:textId="77777777" w:rsidR="00000000" w:rsidRDefault="009027A3">
      <w:pPr>
        <w:pStyle w:val="a3"/>
        <w:spacing w:before="0" w:beforeAutospacing="0" w:after="0" w:afterAutospacing="0"/>
        <w:jc w:val="both"/>
        <w:rPr>
          <w:sz w:val="20"/>
          <w:szCs w:val="20"/>
        </w:rPr>
      </w:pPr>
      <w:r>
        <w:rPr>
          <w:sz w:val="20"/>
          <w:szCs w:val="20"/>
        </w:rPr>
        <w:t>The CCH acquisition added additional clients to the Company’s customer base. The Company acquired CCH’s software techn</w:t>
      </w:r>
      <w:r>
        <w:rPr>
          <w:sz w:val="20"/>
          <w:szCs w:val="20"/>
        </w:rPr>
        <w:t>ology and related business. Similar to previous acquisitions, this transaction broadened the Company’s presence in the healthcare information technology industry through geographic expansion of its customer base and by increasing available customer relatio</w:t>
      </w:r>
      <w:r>
        <w:rPr>
          <w:sz w:val="20"/>
          <w:szCs w:val="20"/>
        </w:rPr>
        <w:t>nship resources and specialized trained staff.</w:t>
      </w:r>
    </w:p>
    <w:p w14:paraId="50917A02" w14:textId="77777777" w:rsidR="00000000" w:rsidRDefault="009027A3">
      <w:pPr>
        <w:pStyle w:val="a3"/>
        <w:spacing w:before="0" w:beforeAutospacing="0" w:after="0" w:afterAutospacing="0"/>
        <w:jc w:val="both"/>
        <w:rPr>
          <w:sz w:val="20"/>
          <w:szCs w:val="20"/>
        </w:rPr>
      </w:pPr>
      <w:r>
        <w:rPr>
          <w:sz w:val="20"/>
          <w:szCs w:val="20"/>
        </w:rPr>
        <w:t> </w:t>
      </w:r>
    </w:p>
    <w:p w14:paraId="78027F62" w14:textId="77777777" w:rsidR="00000000" w:rsidRDefault="009027A3">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assumed from CCH. The following table summarizes the purchase price allocation:</w:t>
      </w:r>
    </w:p>
    <w:p w14:paraId="12DDB895"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41140C0" w14:textId="77777777">
        <w:trPr>
          <w:divId w:val="200823453"/>
        </w:trPr>
        <w:tc>
          <w:tcPr>
            <w:tcW w:w="5000" w:type="pct"/>
            <w:hideMark/>
          </w:tcPr>
          <w:p w14:paraId="5EFEE7D8"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4B642802" w14:textId="77777777">
        <w:tc>
          <w:tcPr>
            <w:tcW w:w="5000" w:type="pct"/>
            <w:hideMark/>
          </w:tcPr>
          <w:p w14:paraId="54EE0C8C" w14:textId="77777777" w:rsidR="00000000" w:rsidRDefault="009027A3">
            <w:pPr>
              <w:rPr>
                <w:rFonts w:eastAsia="Times New Roman"/>
                <w:sz w:val="20"/>
                <w:szCs w:val="20"/>
              </w:rPr>
            </w:pPr>
            <w:r>
              <w:rPr>
                <w:rFonts w:eastAsia="Times New Roman"/>
                <w:sz w:val="20"/>
                <w:szCs w:val="20"/>
              </w:rPr>
              <w:t> </w:t>
            </w:r>
          </w:p>
        </w:tc>
      </w:tr>
    </w:tbl>
    <w:p w14:paraId="5C5FA3B3" w14:textId="77777777" w:rsidR="00000000" w:rsidRDefault="009027A3">
      <w:pPr>
        <w:pStyle w:val="a3"/>
        <w:spacing w:before="0" w:beforeAutospacing="0" w:after="0" w:afterAutospacing="0"/>
        <w:rPr>
          <w:sz w:val="20"/>
          <w:szCs w:val="20"/>
        </w:rPr>
      </w:pPr>
      <w:r>
        <w:rPr>
          <w:b/>
          <w:bCs/>
          <w:sz w:val="20"/>
          <w:szCs w:val="20"/>
        </w:rPr>
        <w:t> </w:t>
      </w:r>
    </w:p>
    <w:tbl>
      <w:tblPr>
        <w:tblW w:w="3000" w:type="pct"/>
        <w:tblCellMar>
          <w:left w:w="0" w:type="dxa"/>
          <w:right w:w="0" w:type="dxa"/>
        </w:tblCellMar>
        <w:tblLook w:val="04A0" w:firstRow="1" w:lastRow="0" w:firstColumn="1" w:lastColumn="0" w:noHBand="0" w:noVBand="1"/>
      </w:tblPr>
      <w:tblGrid>
        <w:gridCol w:w="3665"/>
        <w:gridCol w:w="77"/>
        <w:gridCol w:w="101"/>
        <w:gridCol w:w="1074"/>
        <w:gridCol w:w="67"/>
      </w:tblGrid>
      <w:tr w:rsidR="00000000" w14:paraId="1BC527D0" w14:textId="77777777">
        <w:tc>
          <w:tcPr>
            <w:tcW w:w="0" w:type="auto"/>
            <w:vAlign w:val="bottom"/>
            <w:hideMark/>
          </w:tcPr>
          <w:p w14:paraId="5C17F519"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E22AF94"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33B67F08"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7B342D92" w14:textId="77777777" w:rsidR="00000000" w:rsidRDefault="009027A3">
            <w:pPr>
              <w:rPr>
                <w:rFonts w:eastAsia="Times New Roman"/>
                <w:sz w:val="20"/>
                <w:szCs w:val="20"/>
              </w:rPr>
            </w:pPr>
            <w:r>
              <w:rPr>
                <w:rFonts w:eastAsia="Times New Roman"/>
                <w:sz w:val="20"/>
                <w:szCs w:val="20"/>
              </w:rPr>
              <w:t> </w:t>
            </w:r>
          </w:p>
        </w:tc>
      </w:tr>
      <w:tr w:rsidR="00000000" w14:paraId="3C5A1F1B" w14:textId="77777777">
        <w:tc>
          <w:tcPr>
            <w:tcW w:w="3700" w:type="pct"/>
            <w:shd w:val="clear" w:color="auto" w:fill="CCEEFF"/>
            <w:vAlign w:val="bottom"/>
            <w:hideMark/>
          </w:tcPr>
          <w:p w14:paraId="75950E15" w14:textId="77777777" w:rsidR="00000000" w:rsidRDefault="009027A3">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724A2C51"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326D3" w14:textId="77777777" w:rsidR="00000000" w:rsidRDefault="009027A3">
            <w:pPr>
              <w:rPr>
                <w:rFonts w:eastAsia="Times New Roman"/>
                <w:sz w:val="20"/>
                <w:szCs w:val="20"/>
              </w:rPr>
            </w:pPr>
            <w:r>
              <w:rPr>
                <w:rFonts w:eastAsia="Times New Roman"/>
                <w:sz w:val="20"/>
                <w:szCs w:val="20"/>
              </w:rPr>
              <w:t>$</w:t>
            </w:r>
          </w:p>
        </w:tc>
        <w:tc>
          <w:tcPr>
            <w:tcW w:w="1100" w:type="pct"/>
            <w:shd w:val="clear" w:color="auto" w:fill="CCEEFF"/>
            <w:vAlign w:val="bottom"/>
            <w:hideMark/>
          </w:tcPr>
          <w:p w14:paraId="024528D3" w14:textId="77777777" w:rsidR="00000000" w:rsidRDefault="009027A3">
            <w:pPr>
              <w:jc w:val="right"/>
              <w:rPr>
                <w:rFonts w:eastAsia="Times New Roman"/>
                <w:sz w:val="20"/>
                <w:szCs w:val="20"/>
              </w:rPr>
            </w:pPr>
            <w:r>
              <w:rPr>
                <w:rFonts w:eastAsia="Times New Roman"/>
                <w:sz w:val="20"/>
                <w:szCs w:val="20"/>
              </w:rPr>
              <w:t>2,299</w:t>
            </w:r>
          </w:p>
        </w:tc>
        <w:tc>
          <w:tcPr>
            <w:tcW w:w="50" w:type="pct"/>
            <w:shd w:val="clear" w:color="auto" w:fill="CCEEFF"/>
            <w:vAlign w:val="bottom"/>
            <w:hideMark/>
          </w:tcPr>
          <w:p w14:paraId="323BD4A9" w14:textId="77777777" w:rsidR="00000000" w:rsidRDefault="009027A3">
            <w:pPr>
              <w:rPr>
                <w:rFonts w:eastAsia="Times New Roman"/>
                <w:sz w:val="20"/>
                <w:szCs w:val="20"/>
              </w:rPr>
            </w:pPr>
            <w:r>
              <w:rPr>
                <w:rFonts w:eastAsia="Times New Roman"/>
                <w:sz w:val="20"/>
                <w:szCs w:val="20"/>
              </w:rPr>
              <w:t> </w:t>
            </w:r>
          </w:p>
        </w:tc>
      </w:tr>
      <w:tr w:rsidR="00000000" w14:paraId="241C77C4" w14:textId="77777777">
        <w:tc>
          <w:tcPr>
            <w:tcW w:w="0" w:type="auto"/>
            <w:shd w:val="clear" w:color="auto" w:fill="FFFFFF"/>
            <w:vAlign w:val="bottom"/>
            <w:hideMark/>
          </w:tcPr>
          <w:p w14:paraId="686812C4" w14:textId="77777777" w:rsidR="00000000" w:rsidRDefault="009027A3">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7BA4DFB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83D2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BE3BB6" w14:textId="77777777" w:rsidR="00000000" w:rsidRDefault="009027A3">
            <w:pPr>
              <w:jc w:val="right"/>
              <w:rPr>
                <w:rFonts w:eastAsia="Times New Roman"/>
                <w:sz w:val="20"/>
                <w:szCs w:val="20"/>
              </w:rPr>
            </w:pPr>
            <w:r>
              <w:rPr>
                <w:rFonts w:eastAsia="Times New Roman"/>
                <w:sz w:val="20"/>
                <w:szCs w:val="20"/>
              </w:rPr>
              <w:t>1,278</w:t>
            </w:r>
          </w:p>
        </w:tc>
        <w:tc>
          <w:tcPr>
            <w:tcW w:w="0" w:type="auto"/>
            <w:shd w:val="clear" w:color="auto" w:fill="FFFFFF"/>
            <w:vAlign w:val="bottom"/>
            <w:hideMark/>
          </w:tcPr>
          <w:p w14:paraId="2E05806C" w14:textId="77777777" w:rsidR="00000000" w:rsidRDefault="009027A3">
            <w:pPr>
              <w:rPr>
                <w:rFonts w:eastAsia="Times New Roman"/>
                <w:sz w:val="20"/>
                <w:szCs w:val="20"/>
              </w:rPr>
            </w:pPr>
            <w:r>
              <w:rPr>
                <w:rFonts w:eastAsia="Times New Roman"/>
                <w:sz w:val="20"/>
                <w:szCs w:val="20"/>
              </w:rPr>
              <w:t> </w:t>
            </w:r>
          </w:p>
        </w:tc>
      </w:tr>
      <w:tr w:rsidR="00000000" w14:paraId="33BA17D4" w14:textId="77777777">
        <w:tc>
          <w:tcPr>
            <w:tcW w:w="0" w:type="auto"/>
            <w:shd w:val="clear" w:color="auto" w:fill="CCEEFF"/>
            <w:vAlign w:val="bottom"/>
            <w:hideMark/>
          </w:tcPr>
          <w:p w14:paraId="732B6D72" w14:textId="77777777" w:rsidR="00000000" w:rsidRDefault="009027A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6412A70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F624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A45B7" w14:textId="77777777" w:rsidR="00000000" w:rsidRDefault="009027A3">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14:paraId="46A143FD" w14:textId="77777777" w:rsidR="00000000" w:rsidRDefault="009027A3">
            <w:pPr>
              <w:rPr>
                <w:rFonts w:eastAsia="Times New Roman"/>
                <w:sz w:val="20"/>
                <w:szCs w:val="20"/>
              </w:rPr>
            </w:pPr>
            <w:r>
              <w:rPr>
                <w:rFonts w:eastAsia="Times New Roman"/>
                <w:sz w:val="20"/>
                <w:szCs w:val="20"/>
              </w:rPr>
              <w:t> </w:t>
            </w:r>
          </w:p>
        </w:tc>
      </w:tr>
      <w:tr w:rsidR="00000000" w14:paraId="14525F0D" w14:textId="77777777">
        <w:tc>
          <w:tcPr>
            <w:tcW w:w="0" w:type="auto"/>
            <w:shd w:val="clear" w:color="auto" w:fill="FFFFFF"/>
            <w:vAlign w:val="bottom"/>
            <w:hideMark/>
          </w:tcPr>
          <w:p w14:paraId="0530EE78" w14:textId="77777777" w:rsidR="00000000" w:rsidRDefault="009027A3">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41392BE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589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6960E" w14:textId="77777777" w:rsidR="00000000" w:rsidRDefault="009027A3">
            <w:pPr>
              <w:jc w:val="right"/>
              <w:rPr>
                <w:rFonts w:eastAsia="Times New Roman"/>
                <w:sz w:val="20"/>
                <w:szCs w:val="20"/>
              </w:rPr>
            </w:pPr>
            <w:r>
              <w:rPr>
                <w:rFonts w:eastAsia="Times New Roman"/>
                <w:sz w:val="20"/>
                <w:szCs w:val="20"/>
              </w:rPr>
              <w:t>403</w:t>
            </w:r>
          </w:p>
        </w:tc>
        <w:tc>
          <w:tcPr>
            <w:tcW w:w="0" w:type="auto"/>
            <w:shd w:val="clear" w:color="auto" w:fill="FFFFFF"/>
            <w:vAlign w:val="bottom"/>
            <w:hideMark/>
          </w:tcPr>
          <w:p w14:paraId="53378767" w14:textId="77777777" w:rsidR="00000000" w:rsidRDefault="009027A3">
            <w:pPr>
              <w:rPr>
                <w:rFonts w:eastAsia="Times New Roman"/>
                <w:sz w:val="20"/>
                <w:szCs w:val="20"/>
              </w:rPr>
            </w:pPr>
            <w:r>
              <w:rPr>
                <w:rFonts w:eastAsia="Times New Roman"/>
                <w:sz w:val="20"/>
                <w:szCs w:val="20"/>
              </w:rPr>
              <w:t> </w:t>
            </w:r>
          </w:p>
        </w:tc>
      </w:tr>
      <w:tr w:rsidR="00000000" w14:paraId="264BD8E1" w14:textId="77777777">
        <w:tc>
          <w:tcPr>
            <w:tcW w:w="0" w:type="auto"/>
            <w:shd w:val="clear" w:color="auto" w:fill="CCEEFF"/>
            <w:vAlign w:val="bottom"/>
            <w:hideMark/>
          </w:tcPr>
          <w:p w14:paraId="37152707" w14:textId="77777777" w:rsidR="00000000" w:rsidRDefault="009027A3">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4186FEF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F8E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ACBB7" w14:textId="77777777" w:rsidR="00000000" w:rsidRDefault="009027A3">
            <w:pPr>
              <w:jc w:val="right"/>
              <w:rPr>
                <w:rFonts w:eastAsia="Times New Roman"/>
                <w:sz w:val="20"/>
                <w:szCs w:val="20"/>
              </w:rPr>
            </w:pPr>
            <w:r>
              <w:rPr>
                <w:rFonts w:eastAsia="Times New Roman"/>
                <w:sz w:val="20"/>
                <w:szCs w:val="20"/>
              </w:rPr>
              <w:t>2,859</w:t>
            </w:r>
          </w:p>
        </w:tc>
        <w:tc>
          <w:tcPr>
            <w:tcW w:w="0" w:type="auto"/>
            <w:shd w:val="clear" w:color="auto" w:fill="CCEEFF"/>
            <w:vAlign w:val="bottom"/>
            <w:hideMark/>
          </w:tcPr>
          <w:p w14:paraId="63D610B5" w14:textId="77777777" w:rsidR="00000000" w:rsidRDefault="009027A3">
            <w:pPr>
              <w:rPr>
                <w:rFonts w:eastAsia="Times New Roman"/>
                <w:sz w:val="20"/>
                <w:szCs w:val="20"/>
              </w:rPr>
            </w:pPr>
            <w:r>
              <w:rPr>
                <w:rFonts w:eastAsia="Times New Roman"/>
                <w:sz w:val="20"/>
                <w:szCs w:val="20"/>
              </w:rPr>
              <w:t> </w:t>
            </w:r>
          </w:p>
        </w:tc>
      </w:tr>
      <w:tr w:rsidR="00000000" w14:paraId="6D865799" w14:textId="77777777">
        <w:tc>
          <w:tcPr>
            <w:tcW w:w="0" w:type="auto"/>
            <w:shd w:val="clear" w:color="auto" w:fill="FFFFFF"/>
            <w:vAlign w:val="bottom"/>
            <w:hideMark/>
          </w:tcPr>
          <w:p w14:paraId="46CC0382" w14:textId="77777777" w:rsidR="00000000" w:rsidRDefault="009027A3">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1BAF6E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ED4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BAB11" w14:textId="77777777" w:rsidR="00000000" w:rsidRDefault="009027A3">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14:paraId="485E87A3" w14:textId="77777777" w:rsidR="00000000" w:rsidRDefault="009027A3">
            <w:pPr>
              <w:rPr>
                <w:rFonts w:eastAsia="Times New Roman"/>
                <w:sz w:val="20"/>
                <w:szCs w:val="20"/>
              </w:rPr>
            </w:pPr>
            <w:r>
              <w:rPr>
                <w:rFonts w:eastAsia="Times New Roman"/>
                <w:sz w:val="20"/>
                <w:szCs w:val="20"/>
              </w:rPr>
              <w:t> </w:t>
            </w:r>
          </w:p>
        </w:tc>
      </w:tr>
      <w:tr w:rsidR="00000000" w14:paraId="5DE1F70B" w14:textId="77777777">
        <w:tc>
          <w:tcPr>
            <w:tcW w:w="0" w:type="auto"/>
            <w:shd w:val="clear" w:color="auto" w:fill="CCEEFF"/>
            <w:vAlign w:val="bottom"/>
            <w:hideMark/>
          </w:tcPr>
          <w:p w14:paraId="55DB6B30" w14:textId="77777777" w:rsidR="00000000" w:rsidRDefault="009027A3">
            <w:pPr>
              <w:rPr>
                <w:rFonts w:eastAsia="Times New Roman"/>
                <w:sz w:val="20"/>
                <w:szCs w:val="20"/>
              </w:rPr>
            </w:pPr>
            <w:r>
              <w:rPr>
                <w:rFonts w:eastAsia="Times New Roman"/>
                <w:sz w:val="20"/>
                <w:szCs w:val="20"/>
              </w:rPr>
              <w:t>Trademark</w:t>
            </w:r>
          </w:p>
        </w:tc>
        <w:tc>
          <w:tcPr>
            <w:tcW w:w="0" w:type="auto"/>
            <w:shd w:val="clear" w:color="auto" w:fill="CCEEFF"/>
            <w:vAlign w:val="bottom"/>
            <w:hideMark/>
          </w:tcPr>
          <w:p w14:paraId="5DABEB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80F4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F2F70" w14:textId="77777777" w:rsidR="00000000" w:rsidRDefault="009027A3">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14:paraId="280B8B0B" w14:textId="77777777" w:rsidR="00000000" w:rsidRDefault="009027A3">
            <w:pPr>
              <w:rPr>
                <w:rFonts w:eastAsia="Times New Roman"/>
                <w:sz w:val="20"/>
                <w:szCs w:val="20"/>
              </w:rPr>
            </w:pPr>
            <w:r>
              <w:rPr>
                <w:rFonts w:eastAsia="Times New Roman"/>
                <w:sz w:val="20"/>
                <w:szCs w:val="20"/>
              </w:rPr>
              <w:t> </w:t>
            </w:r>
          </w:p>
        </w:tc>
      </w:tr>
      <w:tr w:rsidR="00000000" w14:paraId="62B59AF3" w14:textId="77777777">
        <w:tc>
          <w:tcPr>
            <w:tcW w:w="0" w:type="auto"/>
            <w:shd w:val="clear" w:color="auto" w:fill="FFFFFF"/>
            <w:vAlign w:val="bottom"/>
            <w:hideMark/>
          </w:tcPr>
          <w:p w14:paraId="40CF36DD" w14:textId="77777777" w:rsidR="00000000" w:rsidRDefault="009027A3">
            <w:pPr>
              <w:rPr>
                <w:rFonts w:eastAsia="Times New Roman"/>
                <w:sz w:val="20"/>
                <w:szCs w:val="20"/>
              </w:rPr>
            </w:pPr>
            <w:r>
              <w:rPr>
                <w:rFonts w:eastAsia="Times New Roman"/>
                <w:sz w:val="20"/>
                <w:szCs w:val="20"/>
              </w:rPr>
              <w:t>Software</w:t>
            </w:r>
          </w:p>
        </w:tc>
        <w:tc>
          <w:tcPr>
            <w:tcW w:w="0" w:type="auto"/>
            <w:shd w:val="clear" w:color="auto" w:fill="FFFFFF"/>
            <w:vAlign w:val="bottom"/>
            <w:hideMark/>
          </w:tcPr>
          <w:p w14:paraId="68789C4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FD0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C5F708" w14:textId="77777777" w:rsidR="00000000" w:rsidRDefault="009027A3">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14:paraId="60A2DAED" w14:textId="77777777" w:rsidR="00000000" w:rsidRDefault="009027A3">
            <w:pPr>
              <w:rPr>
                <w:rFonts w:eastAsia="Times New Roman"/>
                <w:sz w:val="20"/>
                <w:szCs w:val="20"/>
              </w:rPr>
            </w:pPr>
            <w:r>
              <w:rPr>
                <w:rFonts w:eastAsia="Times New Roman"/>
                <w:sz w:val="20"/>
                <w:szCs w:val="20"/>
              </w:rPr>
              <w:t> </w:t>
            </w:r>
          </w:p>
        </w:tc>
      </w:tr>
      <w:tr w:rsidR="00000000" w14:paraId="091B6D64" w14:textId="77777777">
        <w:tc>
          <w:tcPr>
            <w:tcW w:w="0" w:type="auto"/>
            <w:shd w:val="clear" w:color="auto" w:fill="CCEEFF"/>
            <w:vAlign w:val="bottom"/>
            <w:hideMark/>
          </w:tcPr>
          <w:p w14:paraId="6C0648D9" w14:textId="77777777" w:rsidR="00000000" w:rsidRDefault="009027A3">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48258E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CE991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40CE2" w14:textId="77777777" w:rsidR="00000000" w:rsidRDefault="009027A3">
            <w:pPr>
              <w:jc w:val="right"/>
              <w:rPr>
                <w:rFonts w:eastAsia="Times New Roman"/>
                <w:sz w:val="20"/>
                <w:szCs w:val="20"/>
              </w:rPr>
            </w:pPr>
            <w:r>
              <w:rPr>
                <w:rFonts w:eastAsia="Times New Roman"/>
                <w:sz w:val="20"/>
                <w:szCs w:val="20"/>
              </w:rPr>
              <w:t>22,868</w:t>
            </w:r>
          </w:p>
        </w:tc>
        <w:tc>
          <w:tcPr>
            <w:tcW w:w="0" w:type="auto"/>
            <w:shd w:val="clear" w:color="auto" w:fill="CCEEFF"/>
            <w:vAlign w:val="bottom"/>
            <w:hideMark/>
          </w:tcPr>
          <w:p w14:paraId="6CFEE170" w14:textId="77777777" w:rsidR="00000000" w:rsidRDefault="009027A3">
            <w:pPr>
              <w:rPr>
                <w:rFonts w:eastAsia="Times New Roman"/>
                <w:sz w:val="20"/>
                <w:szCs w:val="20"/>
              </w:rPr>
            </w:pPr>
            <w:r>
              <w:rPr>
                <w:rFonts w:eastAsia="Times New Roman"/>
                <w:sz w:val="20"/>
                <w:szCs w:val="20"/>
              </w:rPr>
              <w:t> </w:t>
            </w:r>
          </w:p>
        </w:tc>
      </w:tr>
      <w:tr w:rsidR="00000000" w14:paraId="7AD78968" w14:textId="77777777">
        <w:tc>
          <w:tcPr>
            <w:tcW w:w="0" w:type="auto"/>
            <w:shd w:val="clear" w:color="auto" w:fill="FFFFFF"/>
            <w:vAlign w:val="bottom"/>
            <w:hideMark/>
          </w:tcPr>
          <w:p w14:paraId="7C4057C9" w14:textId="77777777" w:rsidR="00000000" w:rsidRDefault="009027A3">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14:paraId="4B74BEA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C286E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BDFFEB" w14:textId="77777777" w:rsidR="00000000" w:rsidRDefault="009027A3">
            <w:pPr>
              <w:jc w:val="right"/>
              <w:rPr>
                <w:rFonts w:eastAsia="Times New Roman"/>
                <w:sz w:val="20"/>
                <w:szCs w:val="20"/>
              </w:rPr>
            </w:pPr>
            <w:r>
              <w:rPr>
                <w:rFonts w:eastAsia="Times New Roman"/>
                <w:sz w:val="20"/>
                <w:szCs w:val="20"/>
              </w:rPr>
              <w:t>540</w:t>
            </w:r>
          </w:p>
        </w:tc>
        <w:tc>
          <w:tcPr>
            <w:tcW w:w="0" w:type="auto"/>
            <w:shd w:val="clear" w:color="auto" w:fill="FFFFFF"/>
            <w:vAlign w:val="bottom"/>
            <w:hideMark/>
          </w:tcPr>
          <w:p w14:paraId="490FB675" w14:textId="77777777" w:rsidR="00000000" w:rsidRDefault="009027A3">
            <w:pPr>
              <w:rPr>
                <w:rFonts w:eastAsia="Times New Roman"/>
                <w:sz w:val="20"/>
                <w:szCs w:val="20"/>
              </w:rPr>
            </w:pPr>
            <w:r>
              <w:rPr>
                <w:rFonts w:eastAsia="Times New Roman"/>
                <w:sz w:val="20"/>
                <w:szCs w:val="20"/>
              </w:rPr>
              <w:t> </w:t>
            </w:r>
          </w:p>
        </w:tc>
      </w:tr>
      <w:tr w:rsidR="00000000" w14:paraId="20DA8EAE" w14:textId="77777777">
        <w:tc>
          <w:tcPr>
            <w:tcW w:w="0" w:type="auto"/>
            <w:shd w:val="clear" w:color="auto" w:fill="CCEEFF"/>
            <w:vAlign w:val="bottom"/>
            <w:hideMark/>
          </w:tcPr>
          <w:p w14:paraId="39BF51FE" w14:textId="77777777" w:rsidR="00000000" w:rsidRDefault="009027A3">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7BB956C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445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3B43C" w14:textId="77777777" w:rsidR="00000000" w:rsidRDefault="009027A3">
            <w:pPr>
              <w:jc w:val="right"/>
              <w:rPr>
                <w:rFonts w:eastAsia="Times New Roman"/>
                <w:sz w:val="20"/>
                <w:szCs w:val="20"/>
              </w:rPr>
            </w:pPr>
            <w:r>
              <w:rPr>
                <w:rFonts w:eastAsia="Times New Roman"/>
                <w:sz w:val="20"/>
                <w:szCs w:val="20"/>
              </w:rPr>
              <w:t>(6,943</w:t>
            </w:r>
          </w:p>
        </w:tc>
        <w:tc>
          <w:tcPr>
            <w:tcW w:w="0" w:type="auto"/>
            <w:shd w:val="clear" w:color="auto" w:fill="CCEEFF"/>
            <w:vAlign w:val="bottom"/>
            <w:hideMark/>
          </w:tcPr>
          <w:p w14:paraId="28961619" w14:textId="77777777" w:rsidR="00000000" w:rsidRDefault="009027A3">
            <w:pPr>
              <w:rPr>
                <w:rFonts w:eastAsia="Times New Roman"/>
                <w:sz w:val="20"/>
                <w:szCs w:val="20"/>
              </w:rPr>
            </w:pPr>
            <w:r>
              <w:rPr>
                <w:rFonts w:eastAsia="Times New Roman"/>
                <w:sz w:val="20"/>
                <w:szCs w:val="20"/>
              </w:rPr>
              <w:t>)</w:t>
            </w:r>
          </w:p>
        </w:tc>
      </w:tr>
      <w:tr w:rsidR="00000000" w14:paraId="14C94495" w14:textId="77777777">
        <w:tc>
          <w:tcPr>
            <w:tcW w:w="0" w:type="auto"/>
            <w:shd w:val="clear" w:color="auto" w:fill="FFFFFF"/>
            <w:vAlign w:val="bottom"/>
            <w:hideMark/>
          </w:tcPr>
          <w:p w14:paraId="7BA07BA1" w14:textId="77777777" w:rsidR="00000000" w:rsidRDefault="009027A3">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56B3C83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417F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E8CEA6" w14:textId="77777777" w:rsidR="00000000" w:rsidRDefault="009027A3">
            <w:pPr>
              <w:jc w:val="right"/>
              <w:rPr>
                <w:rFonts w:eastAsia="Times New Roman"/>
                <w:sz w:val="20"/>
                <w:szCs w:val="20"/>
              </w:rPr>
            </w:pPr>
            <w:r>
              <w:rPr>
                <w:rFonts w:eastAsia="Times New Roman"/>
                <w:sz w:val="20"/>
                <w:szCs w:val="20"/>
              </w:rPr>
              <w:t>(2,081</w:t>
            </w:r>
          </w:p>
        </w:tc>
        <w:tc>
          <w:tcPr>
            <w:tcW w:w="0" w:type="auto"/>
            <w:shd w:val="clear" w:color="auto" w:fill="FFFFFF"/>
            <w:vAlign w:val="bottom"/>
            <w:hideMark/>
          </w:tcPr>
          <w:p w14:paraId="214CA7AC" w14:textId="77777777" w:rsidR="00000000" w:rsidRDefault="009027A3">
            <w:pPr>
              <w:rPr>
                <w:rFonts w:eastAsia="Times New Roman"/>
                <w:sz w:val="20"/>
                <w:szCs w:val="20"/>
              </w:rPr>
            </w:pPr>
            <w:r>
              <w:rPr>
                <w:rFonts w:eastAsia="Times New Roman"/>
                <w:sz w:val="20"/>
                <w:szCs w:val="20"/>
              </w:rPr>
              <w:t>)</w:t>
            </w:r>
          </w:p>
        </w:tc>
      </w:tr>
      <w:tr w:rsidR="00000000" w14:paraId="41824573" w14:textId="77777777">
        <w:tc>
          <w:tcPr>
            <w:tcW w:w="0" w:type="auto"/>
            <w:shd w:val="clear" w:color="auto" w:fill="CCEEFF"/>
            <w:vAlign w:val="bottom"/>
            <w:hideMark/>
          </w:tcPr>
          <w:p w14:paraId="0858CC78" w14:textId="77777777" w:rsidR="00000000" w:rsidRDefault="009027A3">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14:paraId="51A8BD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959F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D7B41" w14:textId="77777777" w:rsidR="00000000" w:rsidRDefault="009027A3">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407E1F44" w14:textId="77777777" w:rsidR="00000000" w:rsidRDefault="009027A3">
            <w:pPr>
              <w:rPr>
                <w:rFonts w:eastAsia="Times New Roman"/>
                <w:sz w:val="20"/>
                <w:szCs w:val="20"/>
              </w:rPr>
            </w:pPr>
            <w:r>
              <w:rPr>
                <w:rFonts w:eastAsia="Times New Roman"/>
                <w:sz w:val="20"/>
                <w:szCs w:val="20"/>
              </w:rPr>
              <w:t>)</w:t>
            </w:r>
          </w:p>
        </w:tc>
      </w:tr>
      <w:tr w:rsidR="00000000" w14:paraId="11065A03" w14:textId="77777777">
        <w:tc>
          <w:tcPr>
            <w:tcW w:w="0" w:type="auto"/>
            <w:shd w:val="clear" w:color="auto" w:fill="FFFFFF"/>
            <w:vAlign w:val="bottom"/>
            <w:hideMark/>
          </w:tcPr>
          <w:p w14:paraId="3DAF2D23" w14:textId="77777777" w:rsidR="00000000" w:rsidRDefault="009027A3">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046361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C81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DAE54" w14:textId="77777777" w:rsidR="00000000" w:rsidRDefault="009027A3">
            <w:pPr>
              <w:jc w:val="right"/>
              <w:rPr>
                <w:rFonts w:eastAsia="Times New Roman"/>
                <w:sz w:val="20"/>
                <w:szCs w:val="20"/>
              </w:rPr>
            </w:pPr>
            <w:r>
              <w:rPr>
                <w:rFonts w:eastAsia="Times New Roman"/>
                <w:sz w:val="20"/>
                <w:szCs w:val="20"/>
              </w:rPr>
              <w:t>(2,859</w:t>
            </w:r>
          </w:p>
        </w:tc>
        <w:tc>
          <w:tcPr>
            <w:tcW w:w="0" w:type="auto"/>
            <w:shd w:val="clear" w:color="auto" w:fill="FFFFFF"/>
            <w:vAlign w:val="bottom"/>
            <w:hideMark/>
          </w:tcPr>
          <w:p w14:paraId="284598DF" w14:textId="77777777" w:rsidR="00000000" w:rsidRDefault="009027A3">
            <w:pPr>
              <w:rPr>
                <w:rFonts w:eastAsia="Times New Roman"/>
                <w:sz w:val="20"/>
                <w:szCs w:val="20"/>
              </w:rPr>
            </w:pPr>
            <w:r>
              <w:rPr>
                <w:rFonts w:eastAsia="Times New Roman"/>
                <w:sz w:val="20"/>
                <w:szCs w:val="20"/>
              </w:rPr>
              <w:t>)</w:t>
            </w:r>
          </w:p>
        </w:tc>
      </w:tr>
      <w:tr w:rsidR="00000000" w14:paraId="1F7751B7" w14:textId="77777777">
        <w:tc>
          <w:tcPr>
            <w:tcW w:w="0" w:type="auto"/>
            <w:shd w:val="clear" w:color="auto" w:fill="CCEEFF"/>
            <w:tcMar>
              <w:top w:w="0" w:type="dxa"/>
              <w:left w:w="0" w:type="dxa"/>
              <w:bottom w:w="30" w:type="dxa"/>
              <w:right w:w="0" w:type="dxa"/>
            </w:tcMar>
            <w:vAlign w:val="bottom"/>
            <w:hideMark/>
          </w:tcPr>
          <w:p w14:paraId="3BB7E501" w14:textId="77777777" w:rsidR="00000000" w:rsidRDefault="009027A3">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14:paraId="18D92EE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E84D9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F4C018" w14:textId="77777777" w:rsidR="00000000" w:rsidRDefault="009027A3">
            <w:pPr>
              <w:jc w:val="right"/>
              <w:rPr>
                <w:rFonts w:eastAsia="Times New Roman"/>
                <w:sz w:val="20"/>
                <w:szCs w:val="20"/>
              </w:rPr>
            </w:pPr>
            <w:r>
              <w:rPr>
                <w:rFonts w:eastAsia="Times New Roman"/>
                <w:sz w:val="20"/>
                <w:szCs w:val="20"/>
              </w:rPr>
              <w:t>(269</w:t>
            </w:r>
          </w:p>
        </w:tc>
        <w:tc>
          <w:tcPr>
            <w:tcW w:w="0" w:type="auto"/>
            <w:shd w:val="clear" w:color="auto" w:fill="CCEEFF"/>
            <w:tcMar>
              <w:top w:w="0" w:type="dxa"/>
              <w:left w:w="0" w:type="dxa"/>
              <w:bottom w:w="30" w:type="dxa"/>
              <w:right w:w="0" w:type="dxa"/>
            </w:tcMar>
            <w:vAlign w:val="bottom"/>
            <w:hideMark/>
          </w:tcPr>
          <w:p w14:paraId="187A1B55" w14:textId="77777777" w:rsidR="00000000" w:rsidRDefault="009027A3">
            <w:pPr>
              <w:rPr>
                <w:rFonts w:eastAsia="Times New Roman"/>
                <w:sz w:val="20"/>
                <w:szCs w:val="20"/>
              </w:rPr>
            </w:pPr>
            <w:r>
              <w:rPr>
                <w:rFonts w:eastAsia="Times New Roman"/>
                <w:sz w:val="20"/>
                <w:szCs w:val="20"/>
              </w:rPr>
              <w:t>)</w:t>
            </w:r>
          </w:p>
        </w:tc>
      </w:tr>
      <w:tr w:rsidR="00000000" w14:paraId="5B150DF9" w14:textId="77777777">
        <w:tc>
          <w:tcPr>
            <w:tcW w:w="0" w:type="auto"/>
            <w:shd w:val="clear" w:color="auto" w:fill="FFFFFF"/>
            <w:tcMar>
              <w:top w:w="0" w:type="dxa"/>
              <w:left w:w="0" w:type="dxa"/>
              <w:bottom w:w="50" w:type="dxa"/>
              <w:right w:w="0" w:type="dxa"/>
            </w:tcMar>
            <w:vAlign w:val="bottom"/>
            <w:hideMark/>
          </w:tcPr>
          <w:p w14:paraId="3F86980C" w14:textId="77777777" w:rsidR="00000000" w:rsidRDefault="009027A3">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14:paraId="2983D18A"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10A520E"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3FAC265" w14:textId="77777777" w:rsidR="00000000" w:rsidRDefault="009027A3">
            <w:pPr>
              <w:jc w:val="right"/>
              <w:rPr>
                <w:rFonts w:eastAsia="Times New Roman"/>
                <w:b/>
                <w:bCs/>
                <w:sz w:val="20"/>
                <w:szCs w:val="20"/>
              </w:rPr>
            </w:pPr>
            <w:r>
              <w:rPr>
                <w:rFonts w:eastAsia="Times New Roman"/>
                <w:b/>
                <w:bCs/>
                <w:sz w:val="20"/>
                <w:szCs w:val="20"/>
              </w:rPr>
              <w:t>32,153</w:t>
            </w:r>
          </w:p>
        </w:tc>
        <w:tc>
          <w:tcPr>
            <w:tcW w:w="0" w:type="auto"/>
            <w:shd w:val="clear" w:color="auto" w:fill="FFFFFF"/>
            <w:tcMar>
              <w:top w:w="0" w:type="dxa"/>
              <w:left w:w="0" w:type="dxa"/>
              <w:bottom w:w="50" w:type="dxa"/>
              <w:right w:w="0" w:type="dxa"/>
            </w:tcMar>
            <w:vAlign w:val="bottom"/>
            <w:hideMark/>
          </w:tcPr>
          <w:p w14:paraId="06007855" w14:textId="77777777" w:rsidR="00000000" w:rsidRDefault="009027A3">
            <w:pPr>
              <w:rPr>
                <w:rFonts w:eastAsia="Times New Roman"/>
                <w:b/>
                <w:bCs/>
                <w:sz w:val="20"/>
                <w:szCs w:val="20"/>
              </w:rPr>
            </w:pPr>
            <w:r>
              <w:rPr>
                <w:rFonts w:eastAsia="Times New Roman"/>
                <w:b/>
                <w:bCs/>
                <w:sz w:val="20"/>
                <w:szCs w:val="20"/>
              </w:rPr>
              <w:t> </w:t>
            </w:r>
          </w:p>
        </w:tc>
      </w:tr>
    </w:tbl>
    <w:p w14:paraId="51C5F308" w14:textId="77777777" w:rsidR="00000000" w:rsidRDefault="009027A3">
      <w:pPr>
        <w:pStyle w:val="a3"/>
        <w:spacing w:before="0" w:beforeAutospacing="0" w:after="0" w:afterAutospacing="0"/>
        <w:jc w:val="both"/>
        <w:rPr>
          <w:sz w:val="20"/>
          <w:szCs w:val="20"/>
        </w:rPr>
      </w:pPr>
      <w:r>
        <w:rPr>
          <w:b/>
          <w:bCs/>
          <w:sz w:val="20"/>
          <w:szCs w:val="20"/>
        </w:rPr>
        <w:t> </w:t>
      </w:r>
    </w:p>
    <w:p w14:paraId="32095120"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14:paraId="2A79FC96" w14:textId="77777777" w:rsidR="00000000" w:rsidRDefault="009027A3">
      <w:pPr>
        <w:pStyle w:val="a3"/>
        <w:spacing w:before="0" w:beforeAutospacing="0" w:after="0" w:afterAutospacing="0"/>
        <w:jc w:val="both"/>
        <w:rPr>
          <w:sz w:val="20"/>
          <w:szCs w:val="20"/>
        </w:rPr>
      </w:pPr>
      <w:r>
        <w:rPr>
          <w:sz w:val="20"/>
          <w:szCs w:val="20"/>
        </w:rPr>
        <w:t> </w:t>
      </w:r>
    </w:p>
    <w:p w14:paraId="24DBD6AB" w14:textId="77777777" w:rsidR="00000000" w:rsidRDefault="009027A3">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20C71F3C" w14:textId="77777777" w:rsidR="00000000" w:rsidRDefault="009027A3">
      <w:pPr>
        <w:pStyle w:val="a3"/>
        <w:spacing w:before="0" w:beforeAutospacing="0" w:after="0" w:afterAutospacing="0"/>
        <w:jc w:val="both"/>
        <w:rPr>
          <w:sz w:val="20"/>
          <w:szCs w:val="20"/>
        </w:rPr>
      </w:pPr>
      <w:r>
        <w:rPr>
          <w:sz w:val="20"/>
          <w:szCs w:val="20"/>
        </w:rPr>
        <w:t> </w:t>
      </w:r>
    </w:p>
    <w:p w14:paraId="120614B8" w14:textId="77777777" w:rsidR="00000000" w:rsidRDefault="009027A3">
      <w:pPr>
        <w:pStyle w:val="a3"/>
        <w:spacing w:before="0" w:beforeAutospacing="0" w:after="0" w:afterAutospacing="0"/>
        <w:jc w:val="both"/>
        <w:rPr>
          <w:sz w:val="20"/>
          <w:szCs w:val="20"/>
        </w:rPr>
      </w:pPr>
      <w:r>
        <w:rPr>
          <w:sz w:val="20"/>
          <w:szCs w:val="20"/>
        </w:rPr>
        <w:t>Revenue earned from the clients obtained from the CCH acquisition was approximately $8.3 million and $7</w:t>
      </w:r>
      <w:r>
        <w:rPr>
          <w:sz w:val="20"/>
          <w:szCs w:val="20"/>
        </w:rPr>
        <w:t>.6 million during the three months ended March 31, 2021 and March 31, 2020, respectively.</w:t>
      </w:r>
    </w:p>
    <w:p w14:paraId="0E559B1B" w14:textId="77777777" w:rsidR="00000000" w:rsidRDefault="009027A3">
      <w:pPr>
        <w:pStyle w:val="a3"/>
        <w:spacing w:before="0" w:beforeAutospacing="0" w:after="0" w:afterAutospacing="0"/>
        <w:jc w:val="both"/>
        <w:rPr>
          <w:sz w:val="20"/>
          <w:szCs w:val="20"/>
        </w:rPr>
      </w:pPr>
      <w:r>
        <w:rPr>
          <w:sz w:val="20"/>
          <w:szCs w:val="20"/>
        </w:rPr>
        <w:t> </w:t>
      </w:r>
    </w:p>
    <w:p w14:paraId="052C207F" w14:textId="77777777" w:rsidR="00000000" w:rsidRDefault="009027A3">
      <w:pPr>
        <w:pStyle w:val="a3"/>
        <w:spacing w:before="0" w:beforeAutospacing="0" w:after="0" w:afterAutospacing="0"/>
        <w:jc w:val="both"/>
        <w:rPr>
          <w:sz w:val="20"/>
          <w:szCs w:val="20"/>
        </w:rPr>
      </w:pPr>
      <w:r>
        <w:rPr>
          <w:b/>
          <w:bCs/>
          <w:sz w:val="20"/>
          <w:szCs w:val="20"/>
          <w:u w:val="single"/>
        </w:rPr>
        <w:t>Pro forma financial information (Unaudited)</w:t>
      </w:r>
    </w:p>
    <w:p w14:paraId="08E758C5" w14:textId="77777777" w:rsidR="00000000" w:rsidRDefault="009027A3">
      <w:pPr>
        <w:pStyle w:val="a3"/>
        <w:spacing w:before="0" w:beforeAutospacing="0" w:after="0" w:afterAutospacing="0"/>
        <w:jc w:val="both"/>
        <w:rPr>
          <w:sz w:val="20"/>
          <w:szCs w:val="20"/>
        </w:rPr>
      </w:pPr>
      <w:r>
        <w:rPr>
          <w:b/>
          <w:bCs/>
          <w:sz w:val="20"/>
          <w:szCs w:val="20"/>
        </w:rPr>
        <w:t> </w:t>
      </w:r>
    </w:p>
    <w:p w14:paraId="2E452C9F" w14:textId="77777777" w:rsidR="00000000" w:rsidRDefault="009027A3">
      <w:pPr>
        <w:pStyle w:val="a3"/>
        <w:spacing w:before="0" w:beforeAutospacing="0" w:after="0" w:afterAutospacing="0"/>
        <w:jc w:val="both"/>
        <w:rPr>
          <w:sz w:val="20"/>
          <w:szCs w:val="20"/>
        </w:rPr>
      </w:pPr>
      <w:r>
        <w:rPr>
          <w:sz w:val="20"/>
          <w:szCs w:val="20"/>
        </w:rPr>
        <w:t>The unaudited pro forma information below represents the condensed consolidated results of operations as if the CCH an</w:t>
      </w:r>
      <w:r>
        <w:rPr>
          <w:sz w:val="20"/>
          <w:szCs w:val="20"/>
        </w:rPr>
        <w:t xml:space="preserve">d Meridian acquisitions occurred on January 1, 2020. The pro forma information has been included for comparative purposes and is not indicative of results of operations that the Company would have had if the acquisitions occurred on the above date, nor is </w:t>
      </w:r>
      <w:r>
        <w:rPr>
          <w:sz w:val="20"/>
          <w:szCs w:val="20"/>
        </w:rPr>
        <w:t xml:space="preserve">it necessarily indicative of future results. The unaudited pro forma information reflects material, non-recurring pro forma adjustments directly attributable to the business combinations. The difference between the actual revenue and the pro forma revenue </w:t>
      </w:r>
      <w:r>
        <w:rPr>
          <w:sz w:val="20"/>
          <w:szCs w:val="20"/>
        </w:rPr>
        <w:t>for the three months ended March 31, 2020 is approximately $10.9 million of additional revenue recorded by Meridian and approximately $600,000 recorded by CCH.</w:t>
      </w:r>
    </w:p>
    <w:p w14:paraId="2ECDAC4D" w14:textId="77777777" w:rsidR="00000000" w:rsidRDefault="009027A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05"/>
        <w:gridCol w:w="121"/>
        <w:gridCol w:w="102"/>
        <w:gridCol w:w="1450"/>
        <w:gridCol w:w="67"/>
      </w:tblGrid>
      <w:tr w:rsidR="00000000" w14:paraId="495C7935" w14:textId="77777777">
        <w:tc>
          <w:tcPr>
            <w:tcW w:w="0" w:type="auto"/>
            <w:vAlign w:val="bottom"/>
            <w:hideMark/>
          </w:tcPr>
          <w:p w14:paraId="2357C5F7"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9524CD9"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55B22E8" w14:textId="77777777" w:rsidR="00000000" w:rsidRDefault="009027A3">
            <w:pPr>
              <w:jc w:val="center"/>
              <w:rPr>
                <w:rFonts w:eastAsia="Times New Roman"/>
                <w:b/>
                <w:bCs/>
                <w:sz w:val="20"/>
                <w:szCs w:val="20"/>
              </w:rPr>
            </w:pPr>
            <w:r>
              <w:rPr>
                <w:rFonts w:eastAsia="Times New Roman"/>
                <w:b/>
                <w:bCs/>
                <w:sz w:val="20"/>
                <w:szCs w:val="20"/>
              </w:rPr>
              <w:t>Three Months Ended March 31, 2020</w:t>
            </w:r>
          </w:p>
        </w:tc>
        <w:tc>
          <w:tcPr>
            <w:tcW w:w="0" w:type="auto"/>
            <w:tcMar>
              <w:top w:w="0" w:type="dxa"/>
              <w:left w:w="0" w:type="dxa"/>
              <w:bottom w:w="30" w:type="dxa"/>
              <w:right w:w="0" w:type="dxa"/>
            </w:tcMar>
            <w:vAlign w:val="bottom"/>
            <w:hideMark/>
          </w:tcPr>
          <w:p w14:paraId="745704B5" w14:textId="77777777" w:rsidR="00000000" w:rsidRDefault="009027A3">
            <w:pPr>
              <w:rPr>
                <w:rFonts w:eastAsia="Times New Roman"/>
                <w:b/>
                <w:bCs/>
                <w:sz w:val="20"/>
                <w:szCs w:val="20"/>
              </w:rPr>
            </w:pPr>
            <w:r>
              <w:rPr>
                <w:rFonts w:eastAsia="Times New Roman"/>
                <w:b/>
                <w:bCs/>
                <w:sz w:val="20"/>
                <w:szCs w:val="20"/>
              </w:rPr>
              <w:t> </w:t>
            </w:r>
          </w:p>
        </w:tc>
      </w:tr>
      <w:tr w:rsidR="00000000" w14:paraId="7D720FBD" w14:textId="77777777">
        <w:tc>
          <w:tcPr>
            <w:tcW w:w="0" w:type="auto"/>
            <w:vAlign w:val="bottom"/>
            <w:hideMark/>
          </w:tcPr>
          <w:p w14:paraId="7BA2BDFE"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D5FAE03"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4AA382EE" w14:textId="77777777" w:rsidR="00000000" w:rsidRDefault="009027A3">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7DE2B621" w14:textId="77777777" w:rsidR="00000000" w:rsidRDefault="009027A3">
            <w:pPr>
              <w:rPr>
                <w:rFonts w:eastAsia="Times New Roman"/>
                <w:sz w:val="20"/>
                <w:szCs w:val="20"/>
              </w:rPr>
            </w:pPr>
            <w:r>
              <w:rPr>
                <w:rFonts w:eastAsia="Times New Roman"/>
                <w:sz w:val="20"/>
                <w:szCs w:val="20"/>
              </w:rPr>
              <w:t> </w:t>
            </w:r>
          </w:p>
        </w:tc>
      </w:tr>
      <w:tr w:rsidR="00000000" w14:paraId="7B1E0687" w14:textId="77777777">
        <w:tc>
          <w:tcPr>
            <w:tcW w:w="3700" w:type="pct"/>
            <w:shd w:val="clear" w:color="auto" w:fill="CCEEFF"/>
            <w:tcMar>
              <w:top w:w="0" w:type="dxa"/>
              <w:left w:w="0" w:type="dxa"/>
              <w:bottom w:w="50" w:type="dxa"/>
              <w:right w:w="0" w:type="dxa"/>
            </w:tcMar>
            <w:vAlign w:val="bottom"/>
            <w:hideMark/>
          </w:tcPr>
          <w:p w14:paraId="1BD2BA53" w14:textId="77777777" w:rsidR="00000000" w:rsidRDefault="009027A3">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7E42D4F2"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4F03D1A" w14:textId="77777777" w:rsidR="00000000" w:rsidRDefault="009027A3">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CCEEFF"/>
            <w:vAlign w:val="bottom"/>
            <w:hideMark/>
          </w:tcPr>
          <w:p w14:paraId="6F64EB94" w14:textId="77777777" w:rsidR="00000000" w:rsidRDefault="009027A3">
            <w:pPr>
              <w:jc w:val="right"/>
              <w:rPr>
                <w:rFonts w:eastAsia="Times New Roman"/>
                <w:sz w:val="20"/>
                <w:szCs w:val="20"/>
              </w:rPr>
            </w:pPr>
            <w:r>
              <w:rPr>
                <w:rFonts w:eastAsia="Times New Roman"/>
                <w:sz w:val="20"/>
                <w:szCs w:val="20"/>
              </w:rPr>
              <w:t>33,416</w:t>
            </w:r>
          </w:p>
        </w:tc>
        <w:tc>
          <w:tcPr>
            <w:tcW w:w="50" w:type="pct"/>
            <w:shd w:val="clear" w:color="auto" w:fill="CCEEFF"/>
            <w:tcMar>
              <w:top w:w="0" w:type="dxa"/>
              <w:left w:w="0" w:type="dxa"/>
              <w:bottom w:w="50" w:type="dxa"/>
              <w:right w:w="0" w:type="dxa"/>
            </w:tcMar>
            <w:vAlign w:val="bottom"/>
            <w:hideMark/>
          </w:tcPr>
          <w:p w14:paraId="0DAE8481" w14:textId="77777777" w:rsidR="00000000" w:rsidRDefault="009027A3">
            <w:pPr>
              <w:rPr>
                <w:rFonts w:eastAsia="Times New Roman"/>
                <w:sz w:val="20"/>
                <w:szCs w:val="20"/>
              </w:rPr>
            </w:pPr>
            <w:r>
              <w:rPr>
                <w:rFonts w:eastAsia="Times New Roman"/>
                <w:sz w:val="20"/>
                <w:szCs w:val="20"/>
              </w:rPr>
              <w:t> </w:t>
            </w:r>
          </w:p>
        </w:tc>
      </w:tr>
      <w:tr w:rsidR="00000000" w14:paraId="6C45006E" w14:textId="77777777">
        <w:tc>
          <w:tcPr>
            <w:tcW w:w="0" w:type="auto"/>
            <w:shd w:val="clear" w:color="auto" w:fill="FFFFFF"/>
            <w:tcMar>
              <w:top w:w="0" w:type="dxa"/>
              <w:left w:w="0" w:type="dxa"/>
              <w:bottom w:w="50" w:type="dxa"/>
              <w:right w:w="0" w:type="dxa"/>
            </w:tcMar>
            <w:vAlign w:val="bottom"/>
            <w:hideMark/>
          </w:tcPr>
          <w:p w14:paraId="49ED55B0" w14:textId="77777777" w:rsidR="00000000" w:rsidRDefault="009027A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30FD297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B2C7C9D"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B590B0" w14:textId="77777777" w:rsidR="00000000" w:rsidRDefault="009027A3">
            <w:pPr>
              <w:jc w:val="right"/>
              <w:rPr>
                <w:rFonts w:eastAsia="Times New Roman"/>
                <w:sz w:val="20"/>
                <w:szCs w:val="20"/>
              </w:rPr>
            </w:pPr>
            <w:r>
              <w:rPr>
                <w:rFonts w:eastAsia="Times New Roman"/>
                <w:sz w:val="20"/>
                <w:szCs w:val="20"/>
              </w:rPr>
              <w:t>(3,499</w:t>
            </w:r>
          </w:p>
        </w:tc>
        <w:tc>
          <w:tcPr>
            <w:tcW w:w="0" w:type="auto"/>
            <w:shd w:val="clear" w:color="auto" w:fill="FFFFFF"/>
            <w:tcMar>
              <w:top w:w="0" w:type="dxa"/>
              <w:left w:w="0" w:type="dxa"/>
              <w:bottom w:w="50" w:type="dxa"/>
              <w:right w:w="0" w:type="dxa"/>
            </w:tcMar>
            <w:vAlign w:val="bottom"/>
            <w:hideMark/>
          </w:tcPr>
          <w:p w14:paraId="747CA14D" w14:textId="77777777" w:rsidR="00000000" w:rsidRDefault="009027A3">
            <w:pPr>
              <w:rPr>
                <w:rFonts w:eastAsia="Times New Roman"/>
                <w:sz w:val="20"/>
                <w:szCs w:val="20"/>
              </w:rPr>
            </w:pPr>
            <w:r>
              <w:rPr>
                <w:rFonts w:eastAsia="Times New Roman"/>
                <w:sz w:val="20"/>
                <w:szCs w:val="20"/>
              </w:rPr>
              <w:t>)</w:t>
            </w:r>
          </w:p>
        </w:tc>
      </w:tr>
      <w:tr w:rsidR="00000000" w14:paraId="7481D803" w14:textId="77777777">
        <w:tc>
          <w:tcPr>
            <w:tcW w:w="0" w:type="auto"/>
            <w:shd w:val="clear" w:color="auto" w:fill="CCEEFF"/>
            <w:tcMar>
              <w:top w:w="0" w:type="dxa"/>
              <w:left w:w="0" w:type="dxa"/>
              <w:bottom w:w="50" w:type="dxa"/>
              <w:right w:w="0" w:type="dxa"/>
            </w:tcMar>
            <w:vAlign w:val="bottom"/>
            <w:hideMark/>
          </w:tcPr>
          <w:p w14:paraId="2E2E66BC" w14:textId="77777777" w:rsidR="00000000" w:rsidRDefault="009027A3">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45280DFE"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AD9EF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BB94853" w14:textId="77777777" w:rsidR="00000000" w:rsidRDefault="009027A3">
            <w:pPr>
              <w:jc w:val="right"/>
              <w:rPr>
                <w:rFonts w:eastAsia="Times New Roman"/>
                <w:sz w:val="20"/>
                <w:szCs w:val="20"/>
              </w:rPr>
            </w:pPr>
            <w:r>
              <w:rPr>
                <w:rFonts w:eastAsia="Times New Roman"/>
                <w:sz w:val="20"/>
                <w:szCs w:val="20"/>
              </w:rPr>
              <w:t>(6,849</w:t>
            </w:r>
          </w:p>
        </w:tc>
        <w:tc>
          <w:tcPr>
            <w:tcW w:w="0" w:type="auto"/>
            <w:shd w:val="clear" w:color="auto" w:fill="CCEEFF"/>
            <w:tcMar>
              <w:top w:w="0" w:type="dxa"/>
              <w:left w:w="0" w:type="dxa"/>
              <w:bottom w:w="50" w:type="dxa"/>
              <w:right w:w="0" w:type="dxa"/>
            </w:tcMar>
            <w:vAlign w:val="bottom"/>
            <w:hideMark/>
          </w:tcPr>
          <w:p w14:paraId="2E1847A9" w14:textId="77777777" w:rsidR="00000000" w:rsidRDefault="009027A3">
            <w:pPr>
              <w:rPr>
                <w:rFonts w:eastAsia="Times New Roman"/>
                <w:sz w:val="20"/>
                <w:szCs w:val="20"/>
              </w:rPr>
            </w:pPr>
            <w:r>
              <w:rPr>
                <w:rFonts w:eastAsia="Times New Roman"/>
                <w:sz w:val="20"/>
                <w:szCs w:val="20"/>
              </w:rPr>
              <w:t>)</w:t>
            </w:r>
          </w:p>
        </w:tc>
      </w:tr>
      <w:tr w:rsidR="00000000" w14:paraId="308643B1" w14:textId="77777777">
        <w:tc>
          <w:tcPr>
            <w:tcW w:w="0" w:type="auto"/>
            <w:shd w:val="clear" w:color="auto" w:fill="FFFFFF"/>
            <w:tcMar>
              <w:top w:w="0" w:type="dxa"/>
              <w:left w:w="0" w:type="dxa"/>
              <w:bottom w:w="50" w:type="dxa"/>
              <w:right w:w="0" w:type="dxa"/>
            </w:tcMar>
            <w:vAlign w:val="bottom"/>
            <w:hideMark/>
          </w:tcPr>
          <w:p w14:paraId="3448DF14" w14:textId="77777777" w:rsidR="00000000" w:rsidRDefault="009027A3">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6AA2E2F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EB3D96"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CA65B04" w14:textId="77777777" w:rsidR="00000000" w:rsidRDefault="009027A3">
            <w:pPr>
              <w:jc w:val="right"/>
              <w:rPr>
                <w:rFonts w:eastAsia="Times New Roman"/>
                <w:sz w:val="20"/>
                <w:szCs w:val="20"/>
              </w:rPr>
            </w:pPr>
            <w:r>
              <w:rPr>
                <w:rFonts w:eastAsia="Times New Roman"/>
                <w:sz w:val="20"/>
                <w:szCs w:val="20"/>
              </w:rPr>
              <w:t>(0.56</w:t>
            </w:r>
          </w:p>
        </w:tc>
        <w:tc>
          <w:tcPr>
            <w:tcW w:w="0" w:type="auto"/>
            <w:shd w:val="clear" w:color="auto" w:fill="FFFFFF"/>
            <w:tcMar>
              <w:top w:w="0" w:type="dxa"/>
              <w:left w:w="0" w:type="dxa"/>
              <w:bottom w:w="50" w:type="dxa"/>
              <w:right w:w="0" w:type="dxa"/>
            </w:tcMar>
            <w:vAlign w:val="bottom"/>
            <w:hideMark/>
          </w:tcPr>
          <w:p w14:paraId="04FE72C9" w14:textId="77777777" w:rsidR="00000000" w:rsidRDefault="009027A3">
            <w:pPr>
              <w:rPr>
                <w:rFonts w:eastAsia="Times New Roman"/>
                <w:sz w:val="20"/>
                <w:szCs w:val="20"/>
              </w:rPr>
            </w:pPr>
            <w:r>
              <w:rPr>
                <w:rFonts w:eastAsia="Times New Roman"/>
                <w:sz w:val="20"/>
                <w:szCs w:val="20"/>
              </w:rPr>
              <w:t>)</w:t>
            </w:r>
          </w:p>
        </w:tc>
      </w:tr>
    </w:tbl>
    <w:p w14:paraId="29DF9965"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55AB58C" w14:textId="77777777">
        <w:trPr>
          <w:divId w:val="1889872062"/>
        </w:trPr>
        <w:tc>
          <w:tcPr>
            <w:tcW w:w="5000" w:type="pct"/>
            <w:hideMark/>
          </w:tcPr>
          <w:p w14:paraId="020C8519"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61BA6899" w14:textId="77777777">
        <w:tc>
          <w:tcPr>
            <w:tcW w:w="5000" w:type="pct"/>
            <w:hideMark/>
          </w:tcPr>
          <w:p w14:paraId="73F38ECE" w14:textId="77777777" w:rsidR="00000000" w:rsidRDefault="009027A3">
            <w:pPr>
              <w:rPr>
                <w:rFonts w:eastAsia="Times New Roman"/>
                <w:sz w:val="20"/>
                <w:szCs w:val="20"/>
              </w:rPr>
            </w:pPr>
            <w:r>
              <w:rPr>
                <w:rFonts w:eastAsia="Times New Roman"/>
                <w:sz w:val="20"/>
                <w:szCs w:val="20"/>
              </w:rPr>
              <w:t> </w:t>
            </w:r>
          </w:p>
        </w:tc>
      </w:tr>
    </w:tbl>
    <w:p w14:paraId="474BA7D9"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3BE58AD0" w14:textId="77777777">
        <w:tc>
          <w:tcPr>
            <w:tcW w:w="720" w:type="dxa"/>
            <w:hideMark/>
          </w:tcPr>
          <w:p w14:paraId="3C7309BF" w14:textId="77777777" w:rsidR="00000000" w:rsidRDefault="009027A3">
            <w:pPr>
              <w:rPr>
                <w:rFonts w:eastAsia="Times New Roman"/>
                <w:b/>
                <w:bCs/>
                <w:caps/>
                <w:sz w:val="22"/>
                <w:szCs w:val="22"/>
              </w:rPr>
            </w:pPr>
            <w:r>
              <w:rPr>
                <w:rFonts w:eastAsia="Times New Roman"/>
                <w:b/>
                <w:bCs/>
                <w:caps/>
                <w:sz w:val="20"/>
                <w:szCs w:val="20"/>
              </w:rPr>
              <w:t>4.</w:t>
            </w:r>
          </w:p>
        </w:tc>
        <w:tc>
          <w:tcPr>
            <w:tcW w:w="0" w:type="auto"/>
            <w:hideMark/>
          </w:tcPr>
          <w:p w14:paraId="2449BD07" w14:textId="77777777" w:rsidR="00000000" w:rsidRDefault="009027A3">
            <w:pPr>
              <w:rPr>
                <w:rFonts w:eastAsia="Times New Roman"/>
                <w:b/>
                <w:bCs/>
                <w:caps/>
                <w:sz w:val="22"/>
                <w:szCs w:val="22"/>
              </w:rPr>
            </w:pPr>
            <w:r>
              <w:rPr>
                <w:rFonts w:eastAsia="Times New Roman"/>
                <w:b/>
                <w:bCs/>
                <w:caps/>
                <w:sz w:val="20"/>
                <w:szCs w:val="20"/>
              </w:rPr>
              <w:t>GOODWILL AND INTANGIBLE ASSETS-NET</w:t>
            </w:r>
          </w:p>
        </w:tc>
      </w:tr>
    </w:tbl>
    <w:p w14:paraId="700B1C29" w14:textId="77777777" w:rsidR="00000000" w:rsidRDefault="009027A3">
      <w:pPr>
        <w:pStyle w:val="a3"/>
        <w:spacing w:before="0" w:beforeAutospacing="0" w:after="0" w:afterAutospacing="0"/>
        <w:jc w:val="both"/>
        <w:rPr>
          <w:sz w:val="20"/>
          <w:szCs w:val="20"/>
        </w:rPr>
      </w:pPr>
      <w:r>
        <w:rPr>
          <w:sz w:val="20"/>
          <w:szCs w:val="20"/>
        </w:rPr>
        <w:t> </w:t>
      </w:r>
    </w:p>
    <w:p w14:paraId="75443F7C" w14:textId="77777777" w:rsidR="00000000" w:rsidRDefault="009027A3">
      <w:pPr>
        <w:pStyle w:val="a3"/>
        <w:spacing w:before="0" w:beforeAutospacing="0" w:after="0" w:afterAutospacing="0"/>
        <w:jc w:val="both"/>
        <w:rPr>
          <w:sz w:val="20"/>
          <w:szCs w:val="20"/>
        </w:rPr>
      </w:pPr>
      <w:r>
        <w:rPr>
          <w:sz w:val="20"/>
          <w:szCs w:val="20"/>
        </w:rPr>
        <w:t xml:space="preserve">Goodwill consists of the excess of the purchase price over the fair value of identifiable net assets of businesses acquired. The following is the summary of the changes to the carrying amount of goodwill for the three </w:t>
      </w:r>
      <w:r>
        <w:rPr>
          <w:sz w:val="20"/>
          <w:szCs w:val="20"/>
        </w:rPr>
        <w:t>months ended March 31, 2021 and the year ended December 31, 2020:</w:t>
      </w:r>
    </w:p>
    <w:p w14:paraId="56447C25" w14:textId="77777777" w:rsidR="00000000" w:rsidRDefault="009027A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1"/>
        <w:gridCol w:w="1319"/>
        <w:gridCol w:w="56"/>
        <w:gridCol w:w="123"/>
        <w:gridCol w:w="101"/>
        <w:gridCol w:w="1320"/>
        <w:gridCol w:w="57"/>
      </w:tblGrid>
      <w:tr w:rsidR="00000000" w14:paraId="475F9674" w14:textId="77777777">
        <w:tc>
          <w:tcPr>
            <w:tcW w:w="0" w:type="auto"/>
            <w:vAlign w:val="bottom"/>
            <w:hideMark/>
          </w:tcPr>
          <w:p w14:paraId="1C5B7A46"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7C6E994E"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39FC4949" w14:textId="77777777" w:rsidR="00000000" w:rsidRDefault="009027A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1E944A6A" w14:textId="77777777" w:rsidR="00000000" w:rsidRDefault="009027A3">
            <w:pPr>
              <w:rPr>
                <w:rFonts w:eastAsia="Times New Roman"/>
                <w:b/>
                <w:bCs/>
                <w:sz w:val="20"/>
                <w:szCs w:val="20"/>
              </w:rPr>
            </w:pPr>
            <w:r>
              <w:rPr>
                <w:rFonts w:eastAsia="Times New Roman"/>
                <w:b/>
                <w:bCs/>
                <w:sz w:val="20"/>
                <w:szCs w:val="20"/>
              </w:rPr>
              <w:t> </w:t>
            </w:r>
          </w:p>
        </w:tc>
        <w:tc>
          <w:tcPr>
            <w:tcW w:w="0" w:type="auto"/>
            <w:vAlign w:val="bottom"/>
            <w:hideMark/>
          </w:tcPr>
          <w:p w14:paraId="39F796A1"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6A5A7B52" w14:textId="77777777" w:rsidR="00000000" w:rsidRDefault="009027A3">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2C39FB04" w14:textId="77777777" w:rsidR="00000000" w:rsidRDefault="009027A3">
            <w:pPr>
              <w:rPr>
                <w:rFonts w:eastAsia="Times New Roman"/>
                <w:b/>
                <w:bCs/>
                <w:sz w:val="20"/>
                <w:szCs w:val="20"/>
              </w:rPr>
            </w:pPr>
            <w:r>
              <w:rPr>
                <w:rFonts w:eastAsia="Times New Roman"/>
                <w:b/>
                <w:bCs/>
                <w:sz w:val="20"/>
                <w:szCs w:val="20"/>
              </w:rPr>
              <w:t> </w:t>
            </w:r>
          </w:p>
        </w:tc>
      </w:tr>
      <w:tr w:rsidR="00000000" w14:paraId="071DF847" w14:textId="77777777">
        <w:tc>
          <w:tcPr>
            <w:tcW w:w="0" w:type="auto"/>
            <w:vAlign w:val="bottom"/>
            <w:hideMark/>
          </w:tcPr>
          <w:p w14:paraId="391BBD5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3BFE08"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8D7F07" w14:textId="77777777" w:rsidR="00000000" w:rsidRDefault="009027A3">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3F4F0EC7"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F6BCF6"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BC0CF2" w14:textId="77777777" w:rsidR="00000000" w:rsidRDefault="009027A3">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1349891E" w14:textId="77777777" w:rsidR="00000000" w:rsidRDefault="009027A3">
            <w:pPr>
              <w:rPr>
                <w:rFonts w:eastAsia="Times New Roman"/>
                <w:b/>
                <w:bCs/>
                <w:sz w:val="20"/>
                <w:szCs w:val="20"/>
              </w:rPr>
            </w:pPr>
            <w:r>
              <w:rPr>
                <w:rFonts w:eastAsia="Times New Roman"/>
                <w:b/>
                <w:bCs/>
                <w:sz w:val="20"/>
                <w:szCs w:val="20"/>
              </w:rPr>
              <w:t> </w:t>
            </w:r>
          </w:p>
        </w:tc>
      </w:tr>
      <w:tr w:rsidR="00000000" w14:paraId="5DCF9BD5" w14:textId="77777777">
        <w:tc>
          <w:tcPr>
            <w:tcW w:w="0" w:type="auto"/>
            <w:vAlign w:val="bottom"/>
            <w:hideMark/>
          </w:tcPr>
          <w:p w14:paraId="23CA6DFF"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7EA9DF0"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6EB9D2E8"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69DCFC80" w14:textId="77777777" w:rsidR="00000000" w:rsidRDefault="009027A3">
            <w:pPr>
              <w:rPr>
                <w:rFonts w:eastAsia="Times New Roman"/>
                <w:sz w:val="20"/>
                <w:szCs w:val="20"/>
              </w:rPr>
            </w:pPr>
            <w:r>
              <w:rPr>
                <w:rFonts w:eastAsia="Times New Roman"/>
                <w:sz w:val="20"/>
                <w:szCs w:val="20"/>
              </w:rPr>
              <w:t> </w:t>
            </w:r>
          </w:p>
        </w:tc>
      </w:tr>
      <w:tr w:rsidR="00000000" w14:paraId="2ED71848" w14:textId="77777777">
        <w:tc>
          <w:tcPr>
            <w:tcW w:w="2600" w:type="pct"/>
            <w:shd w:val="clear" w:color="auto" w:fill="CCEEFF"/>
            <w:vAlign w:val="bottom"/>
            <w:hideMark/>
          </w:tcPr>
          <w:p w14:paraId="009A1259" w14:textId="77777777" w:rsidR="00000000" w:rsidRDefault="009027A3">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31BE9D4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A36D93"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30AF9721" w14:textId="77777777" w:rsidR="00000000" w:rsidRDefault="009027A3">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14:paraId="5B458C74"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62A123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0973D0"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70ACD65D" w14:textId="77777777" w:rsidR="00000000" w:rsidRDefault="009027A3">
            <w:pPr>
              <w:jc w:val="right"/>
              <w:rPr>
                <w:rFonts w:eastAsia="Times New Roman"/>
                <w:sz w:val="20"/>
                <w:szCs w:val="20"/>
              </w:rPr>
            </w:pPr>
            <w:r>
              <w:rPr>
                <w:rFonts w:eastAsia="Times New Roman"/>
                <w:sz w:val="20"/>
                <w:szCs w:val="20"/>
              </w:rPr>
              <w:t>12,634</w:t>
            </w:r>
          </w:p>
        </w:tc>
        <w:tc>
          <w:tcPr>
            <w:tcW w:w="50" w:type="pct"/>
            <w:shd w:val="clear" w:color="auto" w:fill="CCEEFF"/>
            <w:vAlign w:val="bottom"/>
            <w:hideMark/>
          </w:tcPr>
          <w:p w14:paraId="31A8ABE4" w14:textId="77777777" w:rsidR="00000000" w:rsidRDefault="009027A3">
            <w:pPr>
              <w:rPr>
                <w:rFonts w:eastAsia="Times New Roman"/>
                <w:sz w:val="20"/>
                <w:szCs w:val="20"/>
              </w:rPr>
            </w:pPr>
            <w:r>
              <w:rPr>
                <w:rFonts w:eastAsia="Times New Roman"/>
                <w:sz w:val="20"/>
                <w:szCs w:val="20"/>
              </w:rPr>
              <w:t> </w:t>
            </w:r>
          </w:p>
        </w:tc>
      </w:tr>
      <w:tr w:rsidR="00000000" w14:paraId="6DC7640A" w14:textId="77777777">
        <w:tc>
          <w:tcPr>
            <w:tcW w:w="0" w:type="auto"/>
            <w:shd w:val="clear" w:color="auto" w:fill="FFFFFF"/>
            <w:tcMar>
              <w:top w:w="0" w:type="dxa"/>
              <w:left w:w="0" w:type="dxa"/>
              <w:bottom w:w="30" w:type="dxa"/>
              <w:right w:w="0" w:type="dxa"/>
            </w:tcMar>
            <w:vAlign w:val="bottom"/>
            <w:hideMark/>
          </w:tcPr>
          <w:p w14:paraId="0CCB3C74" w14:textId="77777777" w:rsidR="00000000" w:rsidRDefault="009027A3">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6BDAEDC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DFE71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B25A37"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3BD4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555C7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C9331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BB09B3" w14:textId="77777777" w:rsidR="00000000" w:rsidRDefault="009027A3">
            <w:pPr>
              <w:jc w:val="right"/>
              <w:rPr>
                <w:rFonts w:eastAsia="Times New Roman"/>
                <w:sz w:val="20"/>
                <w:szCs w:val="20"/>
              </w:rPr>
            </w:pPr>
            <w:r>
              <w:rPr>
                <w:rFonts w:eastAsia="Times New Roman"/>
                <w:sz w:val="20"/>
                <w:szCs w:val="20"/>
              </w:rPr>
              <w:t>36,657</w:t>
            </w:r>
          </w:p>
        </w:tc>
        <w:tc>
          <w:tcPr>
            <w:tcW w:w="0" w:type="auto"/>
            <w:shd w:val="clear" w:color="auto" w:fill="FFFFFF"/>
            <w:tcMar>
              <w:top w:w="0" w:type="dxa"/>
              <w:left w:w="0" w:type="dxa"/>
              <w:bottom w:w="30" w:type="dxa"/>
              <w:right w:w="0" w:type="dxa"/>
            </w:tcMar>
            <w:vAlign w:val="bottom"/>
            <w:hideMark/>
          </w:tcPr>
          <w:p w14:paraId="5B6FDEE8" w14:textId="77777777" w:rsidR="00000000" w:rsidRDefault="009027A3">
            <w:pPr>
              <w:rPr>
                <w:rFonts w:eastAsia="Times New Roman"/>
                <w:sz w:val="20"/>
                <w:szCs w:val="20"/>
              </w:rPr>
            </w:pPr>
            <w:r>
              <w:rPr>
                <w:rFonts w:eastAsia="Times New Roman"/>
                <w:sz w:val="20"/>
                <w:szCs w:val="20"/>
              </w:rPr>
              <w:t> </w:t>
            </w:r>
          </w:p>
        </w:tc>
      </w:tr>
      <w:tr w:rsidR="00000000" w14:paraId="632E155E" w14:textId="77777777">
        <w:tc>
          <w:tcPr>
            <w:tcW w:w="0" w:type="auto"/>
            <w:shd w:val="clear" w:color="auto" w:fill="CCEEFF"/>
            <w:tcMar>
              <w:top w:w="0" w:type="dxa"/>
              <w:left w:w="0" w:type="dxa"/>
              <w:bottom w:w="50" w:type="dxa"/>
              <w:right w:w="0" w:type="dxa"/>
            </w:tcMar>
            <w:vAlign w:val="bottom"/>
            <w:hideMark/>
          </w:tcPr>
          <w:p w14:paraId="1555B3D8" w14:textId="77777777" w:rsidR="00000000" w:rsidRDefault="009027A3">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13E121A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ED43E96"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F71C832" w14:textId="77777777" w:rsidR="00000000" w:rsidRDefault="009027A3">
            <w:pPr>
              <w:jc w:val="right"/>
              <w:rPr>
                <w:rFonts w:eastAsia="Times New Roman"/>
                <w:sz w:val="20"/>
                <w:szCs w:val="20"/>
              </w:rPr>
            </w:pPr>
            <w:r>
              <w:rPr>
                <w:rFonts w:eastAsia="Times New Roman"/>
                <w:sz w:val="20"/>
                <w:szCs w:val="20"/>
              </w:rPr>
              <w:t>49,291</w:t>
            </w:r>
          </w:p>
        </w:tc>
        <w:tc>
          <w:tcPr>
            <w:tcW w:w="0" w:type="auto"/>
            <w:shd w:val="clear" w:color="auto" w:fill="CCEEFF"/>
            <w:tcMar>
              <w:top w:w="0" w:type="dxa"/>
              <w:left w:w="0" w:type="dxa"/>
              <w:bottom w:w="50" w:type="dxa"/>
              <w:right w:w="0" w:type="dxa"/>
            </w:tcMar>
            <w:vAlign w:val="bottom"/>
            <w:hideMark/>
          </w:tcPr>
          <w:p w14:paraId="7B1A1F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444A11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E41644"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43709AB" w14:textId="77777777" w:rsidR="00000000" w:rsidRDefault="009027A3">
            <w:pPr>
              <w:jc w:val="right"/>
              <w:rPr>
                <w:rFonts w:eastAsia="Times New Roman"/>
                <w:sz w:val="20"/>
                <w:szCs w:val="20"/>
              </w:rPr>
            </w:pPr>
            <w:r>
              <w:rPr>
                <w:rFonts w:eastAsia="Times New Roman"/>
                <w:sz w:val="20"/>
                <w:szCs w:val="20"/>
              </w:rPr>
              <w:t>49,291</w:t>
            </w:r>
          </w:p>
        </w:tc>
        <w:tc>
          <w:tcPr>
            <w:tcW w:w="0" w:type="auto"/>
            <w:shd w:val="clear" w:color="auto" w:fill="CCEEFF"/>
            <w:tcMar>
              <w:top w:w="0" w:type="dxa"/>
              <w:left w:w="0" w:type="dxa"/>
              <w:bottom w:w="50" w:type="dxa"/>
              <w:right w:w="0" w:type="dxa"/>
            </w:tcMar>
            <w:vAlign w:val="bottom"/>
            <w:hideMark/>
          </w:tcPr>
          <w:p w14:paraId="1E7AAC3B" w14:textId="77777777" w:rsidR="00000000" w:rsidRDefault="009027A3">
            <w:pPr>
              <w:rPr>
                <w:rFonts w:eastAsia="Times New Roman"/>
                <w:sz w:val="20"/>
                <w:szCs w:val="20"/>
              </w:rPr>
            </w:pPr>
            <w:r>
              <w:rPr>
                <w:rFonts w:eastAsia="Times New Roman"/>
                <w:sz w:val="20"/>
                <w:szCs w:val="20"/>
              </w:rPr>
              <w:t> </w:t>
            </w:r>
          </w:p>
        </w:tc>
      </w:tr>
    </w:tbl>
    <w:p w14:paraId="79F6B15A" w14:textId="77777777" w:rsidR="00000000" w:rsidRDefault="009027A3">
      <w:pPr>
        <w:pStyle w:val="a3"/>
        <w:spacing w:before="0" w:beforeAutospacing="0" w:after="0" w:afterAutospacing="0"/>
        <w:jc w:val="both"/>
        <w:rPr>
          <w:sz w:val="20"/>
          <w:szCs w:val="20"/>
        </w:rPr>
      </w:pPr>
      <w:r>
        <w:rPr>
          <w:sz w:val="20"/>
          <w:szCs w:val="20"/>
        </w:rPr>
        <w:t> </w:t>
      </w:r>
    </w:p>
    <w:p w14:paraId="07FED3B8" w14:textId="77777777" w:rsidR="00000000" w:rsidRDefault="009027A3">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March 31, 2021 and December 31, 2020 consist of the </w:t>
      </w:r>
      <w:r>
        <w:rPr>
          <w:sz w:val="20"/>
          <w:szCs w:val="20"/>
        </w:rPr>
        <w:t>following:</w:t>
      </w:r>
    </w:p>
    <w:p w14:paraId="560CDD6F" w14:textId="77777777" w:rsidR="00000000" w:rsidRDefault="009027A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1"/>
        <w:gridCol w:w="1319"/>
        <w:gridCol w:w="56"/>
        <w:gridCol w:w="123"/>
        <w:gridCol w:w="101"/>
        <w:gridCol w:w="1320"/>
        <w:gridCol w:w="57"/>
      </w:tblGrid>
      <w:tr w:rsidR="00000000" w14:paraId="36FCE7DB" w14:textId="77777777">
        <w:tc>
          <w:tcPr>
            <w:tcW w:w="0" w:type="auto"/>
            <w:vAlign w:val="bottom"/>
            <w:hideMark/>
          </w:tcPr>
          <w:p w14:paraId="4697CFE1"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490EBB7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55398337" w14:textId="77777777" w:rsidR="00000000" w:rsidRDefault="009027A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1A6BB26B" w14:textId="77777777" w:rsidR="00000000" w:rsidRDefault="009027A3">
            <w:pPr>
              <w:rPr>
                <w:rFonts w:eastAsia="Times New Roman"/>
                <w:b/>
                <w:bCs/>
                <w:sz w:val="20"/>
                <w:szCs w:val="20"/>
              </w:rPr>
            </w:pPr>
            <w:r>
              <w:rPr>
                <w:rFonts w:eastAsia="Times New Roman"/>
                <w:b/>
                <w:bCs/>
                <w:sz w:val="20"/>
                <w:szCs w:val="20"/>
              </w:rPr>
              <w:t> </w:t>
            </w:r>
          </w:p>
        </w:tc>
        <w:tc>
          <w:tcPr>
            <w:tcW w:w="0" w:type="auto"/>
            <w:vAlign w:val="bottom"/>
            <w:hideMark/>
          </w:tcPr>
          <w:p w14:paraId="30A879C1"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4A53B482" w14:textId="77777777" w:rsidR="00000000" w:rsidRDefault="009027A3">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0840BF70" w14:textId="77777777" w:rsidR="00000000" w:rsidRDefault="009027A3">
            <w:pPr>
              <w:rPr>
                <w:rFonts w:eastAsia="Times New Roman"/>
                <w:b/>
                <w:bCs/>
                <w:sz w:val="20"/>
                <w:szCs w:val="20"/>
              </w:rPr>
            </w:pPr>
            <w:r>
              <w:rPr>
                <w:rFonts w:eastAsia="Times New Roman"/>
                <w:b/>
                <w:bCs/>
                <w:sz w:val="20"/>
                <w:szCs w:val="20"/>
              </w:rPr>
              <w:t> </w:t>
            </w:r>
          </w:p>
        </w:tc>
      </w:tr>
      <w:tr w:rsidR="00000000" w14:paraId="1510AE64" w14:textId="77777777">
        <w:tc>
          <w:tcPr>
            <w:tcW w:w="0" w:type="auto"/>
            <w:vAlign w:val="bottom"/>
            <w:hideMark/>
          </w:tcPr>
          <w:p w14:paraId="1F5790EE"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5FC22A"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DA8BEF1" w14:textId="77777777" w:rsidR="00000000" w:rsidRDefault="009027A3">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2DB1FCCB"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03BB809"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100544" w14:textId="77777777" w:rsidR="00000000" w:rsidRDefault="009027A3">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37A6CCEF" w14:textId="77777777" w:rsidR="00000000" w:rsidRDefault="009027A3">
            <w:pPr>
              <w:rPr>
                <w:rFonts w:eastAsia="Times New Roman"/>
                <w:b/>
                <w:bCs/>
                <w:sz w:val="20"/>
                <w:szCs w:val="20"/>
              </w:rPr>
            </w:pPr>
            <w:r>
              <w:rPr>
                <w:rFonts w:eastAsia="Times New Roman"/>
                <w:b/>
                <w:bCs/>
                <w:sz w:val="20"/>
                <w:szCs w:val="20"/>
              </w:rPr>
              <w:t> </w:t>
            </w:r>
          </w:p>
        </w:tc>
      </w:tr>
      <w:tr w:rsidR="00000000" w14:paraId="3FE80AB3" w14:textId="77777777">
        <w:tc>
          <w:tcPr>
            <w:tcW w:w="0" w:type="auto"/>
            <w:vAlign w:val="bottom"/>
            <w:hideMark/>
          </w:tcPr>
          <w:p w14:paraId="3BFEE355"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3C6405C7"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643E6B39"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49A451EF" w14:textId="77777777" w:rsidR="00000000" w:rsidRDefault="009027A3">
            <w:pPr>
              <w:rPr>
                <w:rFonts w:eastAsia="Times New Roman"/>
                <w:sz w:val="20"/>
                <w:szCs w:val="20"/>
              </w:rPr>
            </w:pPr>
            <w:r>
              <w:rPr>
                <w:rFonts w:eastAsia="Times New Roman"/>
                <w:sz w:val="20"/>
                <w:szCs w:val="20"/>
              </w:rPr>
              <w:t> </w:t>
            </w:r>
          </w:p>
        </w:tc>
      </w:tr>
      <w:tr w:rsidR="00000000" w14:paraId="7D290EDE" w14:textId="77777777">
        <w:tc>
          <w:tcPr>
            <w:tcW w:w="2600" w:type="pct"/>
            <w:shd w:val="clear" w:color="auto" w:fill="CCEEFF"/>
            <w:vAlign w:val="bottom"/>
            <w:hideMark/>
          </w:tcPr>
          <w:p w14:paraId="43EF5CCE" w14:textId="77777777" w:rsidR="00000000" w:rsidRDefault="009027A3">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14:paraId="50C81444"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BE4ED8"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6DE37BA6" w14:textId="77777777" w:rsidR="00000000" w:rsidRDefault="009027A3">
            <w:pPr>
              <w:jc w:val="right"/>
              <w:rPr>
                <w:rFonts w:eastAsia="Times New Roman"/>
                <w:sz w:val="20"/>
                <w:szCs w:val="20"/>
              </w:rPr>
            </w:pPr>
            <w:r>
              <w:rPr>
                <w:rFonts w:eastAsia="Times New Roman"/>
                <w:sz w:val="20"/>
                <w:szCs w:val="20"/>
              </w:rPr>
              <w:t>44,497</w:t>
            </w:r>
          </w:p>
        </w:tc>
        <w:tc>
          <w:tcPr>
            <w:tcW w:w="50" w:type="pct"/>
            <w:shd w:val="clear" w:color="auto" w:fill="CCEEFF"/>
            <w:vAlign w:val="bottom"/>
            <w:hideMark/>
          </w:tcPr>
          <w:p w14:paraId="4B0B7E93"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3039D34"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B29887"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3A923535" w14:textId="77777777" w:rsidR="00000000" w:rsidRDefault="009027A3">
            <w:pPr>
              <w:jc w:val="right"/>
              <w:rPr>
                <w:rFonts w:eastAsia="Times New Roman"/>
                <w:sz w:val="20"/>
                <w:szCs w:val="20"/>
              </w:rPr>
            </w:pPr>
            <w:r>
              <w:rPr>
                <w:rFonts w:eastAsia="Times New Roman"/>
                <w:sz w:val="20"/>
                <w:szCs w:val="20"/>
              </w:rPr>
              <w:t>44,497</w:t>
            </w:r>
          </w:p>
        </w:tc>
        <w:tc>
          <w:tcPr>
            <w:tcW w:w="50" w:type="pct"/>
            <w:shd w:val="clear" w:color="auto" w:fill="CCEEFF"/>
            <w:vAlign w:val="bottom"/>
            <w:hideMark/>
          </w:tcPr>
          <w:p w14:paraId="160FF4A5" w14:textId="77777777" w:rsidR="00000000" w:rsidRDefault="009027A3">
            <w:pPr>
              <w:rPr>
                <w:rFonts w:eastAsia="Times New Roman"/>
                <w:sz w:val="20"/>
                <w:szCs w:val="20"/>
              </w:rPr>
            </w:pPr>
            <w:r>
              <w:rPr>
                <w:rFonts w:eastAsia="Times New Roman"/>
                <w:sz w:val="20"/>
                <w:szCs w:val="20"/>
              </w:rPr>
              <w:t> </w:t>
            </w:r>
          </w:p>
        </w:tc>
      </w:tr>
      <w:tr w:rsidR="00000000" w14:paraId="4DBA2E84" w14:textId="77777777">
        <w:tc>
          <w:tcPr>
            <w:tcW w:w="0" w:type="auto"/>
            <w:shd w:val="clear" w:color="auto" w:fill="FFFFFF"/>
            <w:vAlign w:val="bottom"/>
            <w:hideMark/>
          </w:tcPr>
          <w:p w14:paraId="2B2C4BF1" w14:textId="77777777" w:rsidR="00000000" w:rsidRDefault="009027A3">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14:paraId="5D6A28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483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60F982" w14:textId="77777777" w:rsidR="00000000" w:rsidRDefault="009027A3">
            <w:pPr>
              <w:jc w:val="right"/>
              <w:rPr>
                <w:rFonts w:eastAsia="Times New Roman"/>
                <w:sz w:val="20"/>
                <w:szCs w:val="20"/>
              </w:rPr>
            </w:pPr>
            <w:r>
              <w:rPr>
                <w:rFonts w:eastAsia="Times New Roman"/>
                <w:sz w:val="20"/>
                <w:szCs w:val="20"/>
              </w:rPr>
              <w:t>7,284</w:t>
            </w:r>
          </w:p>
        </w:tc>
        <w:tc>
          <w:tcPr>
            <w:tcW w:w="0" w:type="auto"/>
            <w:shd w:val="clear" w:color="auto" w:fill="FFFFFF"/>
            <w:vAlign w:val="bottom"/>
            <w:hideMark/>
          </w:tcPr>
          <w:p w14:paraId="4950C63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D2267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9A8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D7B98" w14:textId="77777777" w:rsidR="00000000" w:rsidRDefault="009027A3">
            <w:pPr>
              <w:jc w:val="right"/>
              <w:rPr>
                <w:rFonts w:eastAsia="Times New Roman"/>
                <w:sz w:val="20"/>
                <w:szCs w:val="20"/>
              </w:rPr>
            </w:pPr>
            <w:r>
              <w:rPr>
                <w:rFonts w:eastAsia="Times New Roman"/>
                <w:sz w:val="20"/>
                <w:szCs w:val="20"/>
              </w:rPr>
              <w:t>5,760</w:t>
            </w:r>
          </w:p>
        </w:tc>
        <w:tc>
          <w:tcPr>
            <w:tcW w:w="0" w:type="auto"/>
            <w:shd w:val="clear" w:color="auto" w:fill="FFFFFF"/>
            <w:vAlign w:val="bottom"/>
            <w:hideMark/>
          </w:tcPr>
          <w:p w14:paraId="0D2B35C3" w14:textId="77777777" w:rsidR="00000000" w:rsidRDefault="009027A3">
            <w:pPr>
              <w:rPr>
                <w:rFonts w:eastAsia="Times New Roman"/>
                <w:sz w:val="20"/>
                <w:szCs w:val="20"/>
              </w:rPr>
            </w:pPr>
            <w:r>
              <w:rPr>
                <w:rFonts w:eastAsia="Times New Roman"/>
                <w:sz w:val="20"/>
                <w:szCs w:val="20"/>
              </w:rPr>
              <w:t> </w:t>
            </w:r>
          </w:p>
        </w:tc>
      </w:tr>
      <w:tr w:rsidR="00000000" w14:paraId="04610116" w14:textId="77777777">
        <w:tc>
          <w:tcPr>
            <w:tcW w:w="0" w:type="auto"/>
            <w:shd w:val="clear" w:color="auto" w:fill="CCEEFF"/>
            <w:vAlign w:val="bottom"/>
            <w:hideMark/>
          </w:tcPr>
          <w:p w14:paraId="7A974C06" w14:textId="77777777" w:rsidR="00000000" w:rsidRDefault="009027A3">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14:paraId="194C8C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BF69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F3A9A" w14:textId="77777777" w:rsidR="00000000" w:rsidRDefault="009027A3">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14:paraId="5EB7FD6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8097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4D8A3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B3C0A" w14:textId="77777777" w:rsidR="00000000" w:rsidRDefault="009027A3">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14:paraId="5DFB14FC" w14:textId="77777777" w:rsidR="00000000" w:rsidRDefault="009027A3">
            <w:pPr>
              <w:rPr>
                <w:rFonts w:eastAsia="Times New Roman"/>
                <w:sz w:val="20"/>
                <w:szCs w:val="20"/>
              </w:rPr>
            </w:pPr>
            <w:r>
              <w:rPr>
                <w:rFonts w:eastAsia="Times New Roman"/>
                <w:sz w:val="20"/>
                <w:szCs w:val="20"/>
              </w:rPr>
              <w:t> </w:t>
            </w:r>
          </w:p>
        </w:tc>
      </w:tr>
      <w:tr w:rsidR="00000000" w14:paraId="0CBD4CDB" w14:textId="77777777">
        <w:tc>
          <w:tcPr>
            <w:tcW w:w="0" w:type="auto"/>
            <w:shd w:val="clear" w:color="auto" w:fill="FFFFFF"/>
            <w:tcMar>
              <w:top w:w="0" w:type="dxa"/>
              <w:left w:w="0" w:type="dxa"/>
              <w:bottom w:w="30" w:type="dxa"/>
              <w:right w:w="0" w:type="dxa"/>
            </w:tcMar>
            <w:vAlign w:val="bottom"/>
            <w:hideMark/>
          </w:tcPr>
          <w:p w14:paraId="18734DEF" w14:textId="77777777" w:rsidR="00000000" w:rsidRDefault="009027A3">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14:paraId="1A81925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D8804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BF029B" w14:textId="77777777" w:rsidR="00000000" w:rsidRDefault="009027A3">
            <w:pPr>
              <w:jc w:val="right"/>
              <w:rPr>
                <w:rFonts w:eastAsia="Times New Roman"/>
                <w:sz w:val="20"/>
                <w:szCs w:val="20"/>
              </w:rPr>
            </w:pPr>
            <w:r>
              <w:rPr>
                <w:rFonts w:eastAsia="Times New Roman"/>
                <w:sz w:val="20"/>
                <w:szCs w:val="20"/>
              </w:rPr>
              <w:t>7,959</w:t>
            </w:r>
          </w:p>
        </w:tc>
        <w:tc>
          <w:tcPr>
            <w:tcW w:w="0" w:type="auto"/>
            <w:shd w:val="clear" w:color="auto" w:fill="FFFFFF"/>
            <w:tcMar>
              <w:top w:w="0" w:type="dxa"/>
              <w:left w:w="0" w:type="dxa"/>
              <w:bottom w:w="30" w:type="dxa"/>
              <w:right w:w="0" w:type="dxa"/>
            </w:tcMar>
            <w:vAlign w:val="bottom"/>
            <w:hideMark/>
          </w:tcPr>
          <w:p w14:paraId="05D3DF3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C27BBF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63C5C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A76094" w14:textId="77777777" w:rsidR="00000000" w:rsidRDefault="009027A3">
            <w:pPr>
              <w:jc w:val="right"/>
              <w:rPr>
                <w:rFonts w:eastAsia="Times New Roman"/>
                <w:sz w:val="20"/>
                <w:szCs w:val="20"/>
              </w:rPr>
            </w:pPr>
            <w:r>
              <w:rPr>
                <w:rFonts w:eastAsia="Times New Roman"/>
                <w:sz w:val="20"/>
                <w:szCs w:val="20"/>
              </w:rPr>
              <w:t>7,906</w:t>
            </w:r>
          </w:p>
        </w:tc>
        <w:tc>
          <w:tcPr>
            <w:tcW w:w="0" w:type="auto"/>
            <w:shd w:val="clear" w:color="auto" w:fill="FFFFFF"/>
            <w:tcMar>
              <w:top w:w="0" w:type="dxa"/>
              <w:left w:w="0" w:type="dxa"/>
              <w:bottom w:w="30" w:type="dxa"/>
              <w:right w:w="0" w:type="dxa"/>
            </w:tcMar>
            <w:vAlign w:val="bottom"/>
            <w:hideMark/>
          </w:tcPr>
          <w:p w14:paraId="6930B5DA" w14:textId="77777777" w:rsidR="00000000" w:rsidRDefault="009027A3">
            <w:pPr>
              <w:rPr>
                <w:rFonts w:eastAsia="Times New Roman"/>
                <w:sz w:val="20"/>
                <w:szCs w:val="20"/>
              </w:rPr>
            </w:pPr>
            <w:r>
              <w:rPr>
                <w:rFonts w:eastAsia="Times New Roman"/>
                <w:sz w:val="20"/>
                <w:szCs w:val="20"/>
              </w:rPr>
              <w:t> </w:t>
            </w:r>
          </w:p>
        </w:tc>
      </w:tr>
      <w:tr w:rsidR="00000000" w14:paraId="36CD8B41" w14:textId="77777777">
        <w:tc>
          <w:tcPr>
            <w:tcW w:w="0" w:type="auto"/>
            <w:shd w:val="clear" w:color="auto" w:fill="CCEEFF"/>
            <w:tcMar>
              <w:top w:w="0" w:type="dxa"/>
              <w:left w:w="200" w:type="dxa"/>
              <w:bottom w:w="0" w:type="dxa"/>
              <w:right w:w="0" w:type="dxa"/>
            </w:tcMar>
            <w:vAlign w:val="bottom"/>
            <w:hideMark/>
          </w:tcPr>
          <w:p w14:paraId="553A2D2C" w14:textId="77777777" w:rsidR="00000000" w:rsidRDefault="009027A3">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14:paraId="33E3D2F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224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4A9A0" w14:textId="77777777" w:rsidR="00000000" w:rsidRDefault="009027A3">
            <w:pPr>
              <w:jc w:val="right"/>
              <w:rPr>
                <w:rFonts w:eastAsia="Times New Roman"/>
                <w:sz w:val="20"/>
                <w:szCs w:val="20"/>
              </w:rPr>
            </w:pPr>
            <w:r>
              <w:rPr>
                <w:rFonts w:eastAsia="Times New Roman"/>
                <w:sz w:val="20"/>
                <w:szCs w:val="20"/>
              </w:rPr>
              <w:t>60,976</w:t>
            </w:r>
          </w:p>
        </w:tc>
        <w:tc>
          <w:tcPr>
            <w:tcW w:w="0" w:type="auto"/>
            <w:shd w:val="clear" w:color="auto" w:fill="CCEEFF"/>
            <w:vAlign w:val="bottom"/>
            <w:hideMark/>
          </w:tcPr>
          <w:p w14:paraId="477C2F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437D2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62B2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217B1" w14:textId="77777777" w:rsidR="00000000" w:rsidRDefault="009027A3">
            <w:pPr>
              <w:jc w:val="right"/>
              <w:rPr>
                <w:rFonts w:eastAsia="Times New Roman"/>
                <w:sz w:val="20"/>
                <w:szCs w:val="20"/>
              </w:rPr>
            </w:pPr>
            <w:r>
              <w:rPr>
                <w:rFonts w:eastAsia="Times New Roman"/>
                <w:sz w:val="20"/>
                <w:szCs w:val="20"/>
              </w:rPr>
              <w:t>59,399</w:t>
            </w:r>
          </w:p>
        </w:tc>
        <w:tc>
          <w:tcPr>
            <w:tcW w:w="0" w:type="auto"/>
            <w:shd w:val="clear" w:color="auto" w:fill="CCEEFF"/>
            <w:vAlign w:val="bottom"/>
            <w:hideMark/>
          </w:tcPr>
          <w:p w14:paraId="1163A56A" w14:textId="77777777" w:rsidR="00000000" w:rsidRDefault="009027A3">
            <w:pPr>
              <w:rPr>
                <w:rFonts w:eastAsia="Times New Roman"/>
                <w:sz w:val="20"/>
                <w:szCs w:val="20"/>
              </w:rPr>
            </w:pPr>
            <w:r>
              <w:rPr>
                <w:rFonts w:eastAsia="Times New Roman"/>
                <w:sz w:val="20"/>
                <w:szCs w:val="20"/>
              </w:rPr>
              <w:t> </w:t>
            </w:r>
          </w:p>
        </w:tc>
      </w:tr>
      <w:tr w:rsidR="00000000" w14:paraId="721FAD8B" w14:textId="77777777">
        <w:tc>
          <w:tcPr>
            <w:tcW w:w="0" w:type="auto"/>
            <w:shd w:val="clear" w:color="auto" w:fill="FFFFFF"/>
            <w:tcMar>
              <w:top w:w="0" w:type="dxa"/>
              <w:left w:w="0" w:type="dxa"/>
              <w:bottom w:w="30" w:type="dxa"/>
              <w:right w:w="0" w:type="dxa"/>
            </w:tcMar>
            <w:vAlign w:val="bottom"/>
            <w:hideMark/>
          </w:tcPr>
          <w:p w14:paraId="06641BDA" w14:textId="77777777" w:rsidR="00000000" w:rsidRDefault="009027A3">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14:paraId="498D288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579A1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BEDA78" w14:textId="77777777" w:rsidR="00000000" w:rsidRDefault="009027A3">
            <w:pPr>
              <w:jc w:val="right"/>
              <w:rPr>
                <w:rFonts w:eastAsia="Times New Roman"/>
                <w:sz w:val="20"/>
                <w:szCs w:val="20"/>
              </w:rPr>
            </w:pPr>
            <w:r>
              <w:rPr>
                <w:rFonts w:eastAsia="Times New Roman"/>
                <w:sz w:val="20"/>
                <w:szCs w:val="20"/>
              </w:rPr>
              <w:t>31,810</w:t>
            </w:r>
          </w:p>
        </w:tc>
        <w:tc>
          <w:tcPr>
            <w:tcW w:w="0" w:type="auto"/>
            <w:shd w:val="clear" w:color="auto" w:fill="FFFFFF"/>
            <w:tcMar>
              <w:top w:w="0" w:type="dxa"/>
              <w:left w:w="0" w:type="dxa"/>
              <w:bottom w:w="30" w:type="dxa"/>
              <w:right w:w="0" w:type="dxa"/>
            </w:tcMar>
            <w:vAlign w:val="bottom"/>
            <w:hideMark/>
          </w:tcPr>
          <w:p w14:paraId="62CFE1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1CBFA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F184B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7C7363" w14:textId="77777777" w:rsidR="00000000" w:rsidRDefault="009027A3">
            <w:pPr>
              <w:jc w:val="right"/>
              <w:rPr>
                <w:rFonts w:eastAsia="Times New Roman"/>
                <w:sz w:val="20"/>
                <w:szCs w:val="20"/>
              </w:rPr>
            </w:pPr>
            <w:r>
              <w:rPr>
                <w:rFonts w:eastAsia="Times New Roman"/>
                <w:sz w:val="20"/>
                <w:szCs w:val="20"/>
              </w:rPr>
              <w:t>29,421</w:t>
            </w:r>
          </w:p>
        </w:tc>
        <w:tc>
          <w:tcPr>
            <w:tcW w:w="0" w:type="auto"/>
            <w:shd w:val="clear" w:color="auto" w:fill="FFFFFF"/>
            <w:tcMar>
              <w:top w:w="0" w:type="dxa"/>
              <w:left w:w="0" w:type="dxa"/>
              <w:bottom w:w="30" w:type="dxa"/>
              <w:right w:w="0" w:type="dxa"/>
            </w:tcMar>
            <w:vAlign w:val="bottom"/>
            <w:hideMark/>
          </w:tcPr>
          <w:p w14:paraId="1A6364D3" w14:textId="77777777" w:rsidR="00000000" w:rsidRDefault="009027A3">
            <w:pPr>
              <w:rPr>
                <w:rFonts w:eastAsia="Times New Roman"/>
                <w:sz w:val="20"/>
                <w:szCs w:val="20"/>
              </w:rPr>
            </w:pPr>
            <w:r>
              <w:rPr>
                <w:rFonts w:eastAsia="Times New Roman"/>
                <w:sz w:val="20"/>
                <w:szCs w:val="20"/>
              </w:rPr>
              <w:t> </w:t>
            </w:r>
          </w:p>
        </w:tc>
      </w:tr>
      <w:tr w:rsidR="00000000" w14:paraId="3F61C184" w14:textId="77777777">
        <w:tc>
          <w:tcPr>
            <w:tcW w:w="0" w:type="auto"/>
            <w:shd w:val="clear" w:color="auto" w:fill="CCEEFF"/>
            <w:tcMar>
              <w:top w:w="0" w:type="dxa"/>
              <w:left w:w="0" w:type="dxa"/>
              <w:bottom w:w="50" w:type="dxa"/>
              <w:right w:w="0" w:type="dxa"/>
            </w:tcMar>
            <w:vAlign w:val="bottom"/>
            <w:hideMark/>
          </w:tcPr>
          <w:p w14:paraId="4451A4DB" w14:textId="77777777" w:rsidR="00000000" w:rsidRDefault="009027A3">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14:paraId="0B2E4D0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4E2631"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31BEA0F" w14:textId="77777777" w:rsidR="00000000" w:rsidRDefault="009027A3">
            <w:pPr>
              <w:jc w:val="right"/>
              <w:rPr>
                <w:rFonts w:eastAsia="Times New Roman"/>
                <w:sz w:val="20"/>
                <w:szCs w:val="20"/>
              </w:rPr>
            </w:pPr>
            <w:r>
              <w:rPr>
                <w:rFonts w:eastAsia="Times New Roman"/>
                <w:sz w:val="20"/>
                <w:szCs w:val="20"/>
              </w:rPr>
              <w:t>29,166</w:t>
            </w:r>
          </w:p>
        </w:tc>
        <w:tc>
          <w:tcPr>
            <w:tcW w:w="0" w:type="auto"/>
            <w:shd w:val="clear" w:color="auto" w:fill="CCEEFF"/>
            <w:tcMar>
              <w:top w:w="0" w:type="dxa"/>
              <w:left w:w="0" w:type="dxa"/>
              <w:bottom w:w="50" w:type="dxa"/>
              <w:right w:w="0" w:type="dxa"/>
            </w:tcMar>
            <w:vAlign w:val="bottom"/>
            <w:hideMark/>
          </w:tcPr>
          <w:p w14:paraId="10EF2D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2B1384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C8DF26"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C258919" w14:textId="77777777" w:rsidR="00000000" w:rsidRDefault="009027A3">
            <w:pPr>
              <w:jc w:val="right"/>
              <w:rPr>
                <w:rFonts w:eastAsia="Times New Roman"/>
                <w:sz w:val="20"/>
                <w:szCs w:val="20"/>
              </w:rPr>
            </w:pPr>
            <w:r>
              <w:rPr>
                <w:rFonts w:eastAsia="Times New Roman"/>
                <w:sz w:val="20"/>
                <w:szCs w:val="20"/>
              </w:rPr>
              <w:t>29,978</w:t>
            </w:r>
          </w:p>
        </w:tc>
        <w:tc>
          <w:tcPr>
            <w:tcW w:w="0" w:type="auto"/>
            <w:shd w:val="clear" w:color="auto" w:fill="CCEEFF"/>
            <w:tcMar>
              <w:top w:w="0" w:type="dxa"/>
              <w:left w:w="0" w:type="dxa"/>
              <w:bottom w:w="50" w:type="dxa"/>
              <w:right w:w="0" w:type="dxa"/>
            </w:tcMar>
            <w:vAlign w:val="bottom"/>
            <w:hideMark/>
          </w:tcPr>
          <w:p w14:paraId="77096B2E" w14:textId="77777777" w:rsidR="00000000" w:rsidRDefault="009027A3">
            <w:pPr>
              <w:rPr>
                <w:rFonts w:eastAsia="Times New Roman"/>
                <w:sz w:val="20"/>
                <w:szCs w:val="20"/>
              </w:rPr>
            </w:pPr>
            <w:r>
              <w:rPr>
                <w:rFonts w:eastAsia="Times New Roman"/>
                <w:sz w:val="20"/>
                <w:szCs w:val="20"/>
              </w:rPr>
              <w:t> </w:t>
            </w:r>
          </w:p>
        </w:tc>
      </w:tr>
    </w:tbl>
    <w:p w14:paraId="2449BDE5" w14:textId="77777777" w:rsidR="00000000" w:rsidRDefault="009027A3">
      <w:pPr>
        <w:pStyle w:val="a3"/>
        <w:spacing w:before="0" w:beforeAutospacing="0" w:after="0" w:afterAutospacing="0"/>
        <w:jc w:val="both"/>
        <w:rPr>
          <w:sz w:val="20"/>
          <w:szCs w:val="20"/>
        </w:rPr>
      </w:pPr>
      <w:r>
        <w:rPr>
          <w:sz w:val="20"/>
          <w:szCs w:val="20"/>
        </w:rPr>
        <w:t> </w:t>
      </w:r>
    </w:p>
    <w:p w14:paraId="3C06C4F8" w14:textId="77777777" w:rsidR="00000000" w:rsidRDefault="009027A3">
      <w:pPr>
        <w:pStyle w:val="a3"/>
        <w:spacing w:before="0" w:beforeAutospacing="0" w:after="0" w:afterAutospacing="0"/>
        <w:jc w:val="both"/>
        <w:rPr>
          <w:sz w:val="20"/>
          <w:szCs w:val="20"/>
        </w:rPr>
      </w:pPr>
      <w:r>
        <w:rPr>
          <w:sz w:val="20"/>
          <w:szCs w:val="20"/>
        </w:rPr>
        <w:t xml:space="preserve">Amortization expense was approximately $2.4 million and $1.1 million for the three months ended March 31, 2021 and </w:t>
      </w:r>
      <w:r>
        <w:rPr>
          <w:sz w:val="20"/>
          <w:szCs w:val="20"/>
        </w:rPr>
        <w:t>2020, respectively. The remaining weighted-average amortization period is approximately 3.4 years.</w:t>
      </w:r>
    </w:p>
    <w:p w14:paraId="6ABF4292" w14:textId="77777777" w:rsidR="00000000" w:rsidRDefault="009027A3">
      <w:pPr>
        <w:pStyle w:val="a3"/>
        <w:spacing w:before="0" w:beforeAutospacing="0" w:after="0" w:afterAutospacing="0"/>
        <w:jc w:val="both"/>
        <w:rPr>
          <w:sz w:val="20"/>
          <w:szCs w:val="20"/>
        </w:rPr>
      </w:pPr>
      <w:r>
        <w:rPr>
          <w:sz w:val="20"/>
          <w:szCs w:val="20"/>
        </w:rPr>
        <w:t> </w:t>
      </w:r>
    </w:p>
    <w:p w14:paraId="4669CB22" w14:textId="77777777" w:rsidR="00000000" w:rsidRDefault="009027A3">
      <w:pPr>
        <w:pStyle w:val="a3"/>
        <w:spacing w:before="0" w:beforeAutospacing="0" w:after="0" w:afterAutospacing="0"/>
        <w:jc w:val="both"/>
        <w:rPr>
          <w:sz w:val="20"/>
          <w:szCs w:val="20"/>
        </w:rPr>
      </w:pPr>
      <w:r>
        <w:rPr>
          <w:sz w:val="20"/>
          <w:szCs w:val="20"/>
        </w:rPr>
        <w:t xml:space="preserve">As </w:t>
      </w:r>
      <w:r>
        <w:rPr>
          <w:sz w:val="20"/>
          <w:szCs w:val="20"/>
        </w:rPr>
        <w:t>of March 31, 2021, future amortization scheduled to be expensed is as follows:</w:t>
      </w:r>
    </w:p>
    <w:p w14:paraId="63A2A700" w14:textId="77777777" w:rsidR="00000000" w:rsidRDefault="009027A3">
      <w:pPr>
        <w:pStyle w:val="a3"/>
        <w:spacing w:before="0" w:beforeAutospacing="0" w:after="0" w:afterAutospacing="0"/>
        <w:jc w:val="both"/>
        <w:rPr>
          <w:sz w:val="20"/>
          <w:szCs w:val="20"/>
        </w:rPr>
      </w:pPr>
      <w:r>
        <w:rPr>
          <w:b/>
          <w:bCs/>
          <w:sz w:val="20"/>
          <w:szCs w:val="20"/>
        </w:rPr>
        <w:t> </w:t>
      </w:r>
    </w:p>
    <w:tbl>
      <w:tblPr>
        <w:tblW w:w="3000" w:type="pct"/>
        <w:tblCellMar>
          <w:left w:w="0" w:type="dxa"/>
          <w:right w:w="0" w:type="dxa"/>
        </w:tblCellMar>
        <w:tblLook w:val="04A0" w:firstRow="1" w:lastRow="0" w:firstColumn="1" w:lastColumn="0" w:noHBand="0" w:noVBand="1"/>
      </w:tblPr>
      <w:tblGrid>
        <w:gridCol w:w="2276"/>
        <w:gridCol w:w="1478"/>
        <w:gridCol w:w="101"/>
        <w:gridCol w:w="1079"/>
        <w:gridCol w:w="50"/>
      </w:tblGrid>
      <w:tr w:rsidR="00000000" w14:paraId="6D5AD9FB" w14:textId="77777777">
        <w:tc>
          <w:tcPr>
            <w:tcW w:w="0" w:type="auto"/>
            <w:tcBorders>
              <w:bottom w:val="single" w:sz="12" w:space="0" w:color="000000"/>
            </w:tcBorders>
            <w:vAlign w:val="center"/>
            <w:hideMark/>
          </w:tcPr>
          <w:p w14:paraId="71ED880F" w14:textId="77777777" w:rsidR="00000000" w:rsidRDefault="009027A3">
            <w:pPr>
              <w:rPr>
                <w:rFonts w:eastAsia="Times New Roman"/>
                <w:b/>
                <w:bCs/>
                <w:sz w:val="20"/>
                <w:szCs w:val="20"/>
              </w:rPr>
            </w:pPr>
            <w:r>
              <w:rPr>
                <w:rFonts w:eastAsia="Times New Roman"/>
                <w:b/>
                <w:bCs/>
                <w:sz w:val="20"/>
                <w:szCs w:val="20"/>
              </w:rPr>
              <w:t>Years ending December 31,</w:t>
            </w:r>
          </w:p>
        </w:tc>
        <w:tc>
          <w:tcPr>
            <w:tcW w:w="0" w:type="auto"/>
            <w:tcMar>
              <w:top w:w="0" w:type="dxa"/>
              <w:left w:w="0" w:type="dxa"/>
              <w:bottom w:w="30" w:type="dxa"/>
              <w:right w:w="0" w:type="dxa"/>
            </w:tcMar>
            <w:vAlign w:val="bottom"/>
            <w:hideMark/>
          </w:tcPr>
          <w:p w14:paraId="40899837" w14:textId="77777777" w:rsidR="00000000" w:rsidRDefault="009027A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79A15E0D" w14:textId="77777777" w:rsidR="00000000" w:rsidRDefault="009027A3">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3EA22464" w14:textId="77777777" w:rsidR="00000000" w:rsidRDefault="009027A3">
            <w:pPr>
              <w:rPr>
                <w:rFonts w:eastAsia="Times New Roman"/>
                <w:sz w:val="20"/>
                <w:szCs w:val="20"/>
              </w:rPr>
            </w:pPr>
            <w:r>
              <w:rPr>
                <w:rFonts w:eastAsia="Times New Roman"/>
                <w:sz w:val="20"/>
                <w:szCs w:val="20"/>
              </w:rPr>
              <w:t> </w:t>
            </w:r>
          </w:p>
        </w:tc>
      </w:tr>
      <w:tr w:rsidR="00000000" w14:paraId="580D63D2" w14:textId="77777777">
        <w:tc>
          <w:tcPr>
            <w:tcW w:w="2300" w:type="pct"/>
            <w:shd w:val="clear" w:color="auto" w:fill="CCEEFF"/>
            <w:vAlign w:val="center"/>
            <w:hideMark/>
          </w:tcPr>
          <w:p w14:paraId="5169613A" w14:textId="77777777" w:rsidR="00000000" w:rsidRDefault="009027A3">
            <w:pPr>
              <w:rPr>
                <w:rFonts w:eastAsia="Times New Roman"/>
                <w:sz w:val="20"/>
                <w:szCs w:val="20"/>
              </w:rPr>
            </w:pPr>
            <w:r>
              <w:rPr>
                <w:rFonts w:eastAsia="Times New Roman"/>
                <w:sz w:val="20"/>
                <w:szCs w:val="20"/>
              </w:rPr>
              <w:t>2021 (nine months)</w:t>
            </w:r>
          </w:p>
        </w:tc>
        <w:tc>
          <w:tcPr>
            <w:tcW w:w="1500" w:type="pct"/>
            <w:shd w:val="clear" w:color="auto" w:fill="CCEEFF"/>
            <w:vAlign w:val="bottom"/>
            <w:hideMark/>
          </w:tcPr>
          <w:p w14:paraId="52C3CF6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F87A62" w14:textId="77777777" w:rsidR="00000000" w:rsidRDefault="009027A3">
            <w:pPr>
              <w:rPr>
                <w:rFonts w:eastAsia="Times New Roman"/>
                <w:sz w:val="20"/>
                <w:szCs w:val="20"/>
              </w:rPr>
            </w:pPr>
            <w:r>
              <w:rPr>
                <w:rFonts w:eastAsia="Times New Roman"/>
                <w:sz w:val="20"/>
                <w:szCs w:val="20"/>
              </w:rPr>
              <w:t>$</w:t>
            </w:r>
          </w:p>
        </w:tc>
        <w:tc>
          <w:tcPr>
            <w:tcW w:w="1100" w:type="pct"/>
            <w:shd w:val="clear" w:color="auto" w:fill="CCEEFF"/>
            <w:vAlign w:val="bottom"/>
            <w:hideMark/>
          </w:tcPr>
          <w:p w14:paraId="237BE4E2" w14:textId="77777777" w:rsidR="00000000" w:rsidRDefault="009027A3">
            <w:pPr>
              <w:jc w:val="right"/>
              <w:rPr>
                <w:rFonts w:eastAsia="Times New Roman"/>
                <w:sz w:val="20"/>
                <w:szCs w:val="20"/>
              </w:rPr>
            </w:pPr>
            <w:r>
              <w:rPr>
                <w:rFonts w:eastAsia="Times New Roman"/>
                <w:sz w:val="20"/>
                <w:szCs w:val="20"/>
              </w:rPr>
              <w:t>7,255</w:t>
            </w:r>
          </w:p>
        </w:tc>
        <w:tc>
          <w:tcPr>
            <w:tcW w:w="50" w:type="pct"/>
            <w:shd w:val="clear" w:color="auto" w:fill="CCEEFF"/>
            <w:vAlign w:val="bottom"/>
            <w:hideMark/>
          </w:tcPr>
          <w:p w14:paraId="63087F6D" w14:textId="77777777" w:rsidR="00000000" w:rsidRDefault="009027A3">
            <w:pPr>
              <w:rPr>
                <w:rFonts w:eastAsia="Times New Roman"/>
                <w:sz w:val="20"/>
                <w:szCs w:val="20"/>
              </w:rPr>
            </w:pPr>
            <w:r>
              <w:rPr>
                <w:rFonts w:eastAsia="Times New Roman"/>
                <w:sz w:val="20"/>
                <w:szCs w:val="20"/>
              </w:rPr>
              <w:t> </w:t>
            </w:r>
          </w:p>
        </w:tc>
      </w:tr>
      <w:tr w:rsidR="00000000" w14:paraId="37193905" w14:textId="77777777">
        <w:tc>
          <w:tcPr>
            <w:tcW w:w="0" w:type="auto"/>
            <w:shd w:val="clear" w:color="auto" w:fill="FFFFFF"/>
            <w:vAlign w:val="center"/>
            <w:hideMark/>
          </w:tcPr>
          <w:p w14:paraId="14BB465C" w14:textId="77777777" w:rsidR="00000000" w:rsidRDefault="009027A3">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6F86ED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5006D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22D9BE" w14:textId="77777777" w:rsidR="00000000" w:rsidRDefault="009027A3">
            <w:pPr>
              <w:jc w:val="right"/>
              <w:rPr>
                <w:rFonts w:eastAsia="Times New Roman"/>
                <w:sz w:val="20"/>
                <w:szCs w:val="20"/>
              </w:rPr>
            </w:pPr>
            <w:r>
              <w:rPr>
                <w:rFonts w:eastAsia="Times New Roman"/>
                <w:sz w:val="20"/>
                <w:szCs w:val="20"/>
              </w:rPr>
              <w:t>9,562</w:t>
            </w:r>
          </w:p>
        </w:tc>
        <w:tc>
          <w:tcPr>
            <w:tcW w:w="0" w:type="auto"/>
            <w:shd w:val="clear" w:color="auto" w:fill="FFFFFF"/>
            <w:vAlign w:val="bottom"/>
            <w:hideMark/>
          </w:tcPr>
          <w:p w14:paraId="3F0828FD" w14:textId="77777777" w:rsidR="00000000" w:rsidRDefault="009027A3">
            <w:pPr>
              <w:rPr>
                <w:rFonts w:eastAsia="Times New Roman"/>
                <w:sz w:val="20"/>
                <w:szCs w:val="20"/>
              </w:rPr>
            </w:pPr>
            <w:r>
              <w:rPr>
                <w:rFonts w:eastAsia="Times New Roman"/>
                <w:sz w:val="20"/>
                <w:szCs w:val="20"/>
              </w:rPr>
              <w:t> </w:t>
            </w:r>
          </w:p>
        </w:tc>
      </w:tr>
      <w:tr w:rsidR="00000000" w14:paraId="4353C762" w14:textId="77777777">
        <w:tc>
          <w:tcPr>
            <w:tcW w:w="0" w:type="auto"/>
            <w:shd w:val="clear" w:color="auto" w:fill="CCEEFF"/>
            <w:vAlign w:val="center"/>
            <w:hideMark/>
          </w:tcPr>
          <w:p w14:paraId="5DAD36C0" w14:textId="77777777" w:rsidR="00000000" w:rsidRDefault="009027A3">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591A5DF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363A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31433" w14:textId="77777777" w:rsidR="00000000" w:rsidRDefault="009027A3">
            <w:pPr>
              <w:jc w:val="right"/>
              <w:rPr>
                <w:rFonts w:eastAsia="Times New Roman"/>
                <w:sz w:val="20"/>
                <w:szCs w:val="20"/>
              </w:rPr>
            </w:pPr>
            <w:r>
              <w:rPr>
                <w:rFonts w:eastAsia="Times New Roman"/>
                <w:sz w:val="20"/>
                <w:szCs w:val="20"/>
              </w:rPr>
              <w:t>7,434</w:t>
            </w:r>
          </w:p>
        </w:tc>
        <w:tc>
          <w:tcPr>
            <w:tcW w:w="0" w:type="auto"/>
            <w:shd w:val="clear" w:color="auto" w:fill="CCEEFF"/>
            <w:vAlign w:val="bottom"/>
            <w:hideMark/>
          </w:tcPr>
          <w:p w14:paraId="7C0ABF24" w14:textId="77777777" w:rsidR="00000000" w:rsidRDefault="009027A3">
            <w:pPr>
              <w:rPr>
                <w:rFonts w:eastAsia="Times New Roman"/>
                <w:sz w:val="20"/>
                <w:szCs w:val="20"/>
              </w:rPr>
            </w:pPr>
            <w:r>
              <w:rPr>
                <w:rFonts w:eastAsia="Times New Roman"/>
                <w:sz w:val="20"/>
                <w:szCs w:val="20"/>
              </w:rPr>
              <w:t> </w:t>
            </w:r>
          </w:p>
        </w:tc>
      </w:tr>
      <w:tr w:rsidR="00000000" w14:paraId="28A0A082" w14:textId="77777777">
        <w:tc>
          <w:tcPr>
            <w:tcW w:w="0" w:type="auto"/>
            <w:shd w:val="clear" w:color="auto" w:fill="FFFFFF"/>
            <w:vAlign w:val="center"/>
            <w:hideMark/>
          </w:tcPr>
          <w:p w14:paraId="0014C576" w14:textId="77777777" w:rsidR="00000000" w:rsidRDefault="009027A3">
            <w:pPr>
              <w:rPr>
                <w:rFonts w:eastAsia="Times New Roman"/>
                <w:sz w:val="20"/>
                <w:szCs w:val="20"/>
              </w:rPr>
            </w:pPr>
            <w:r>
              <w:rPr>
                <w:rFonts w:eastAsia="Times New Roman"/>
                <w:sz w:val="20"/>
                <w:szCs w:val="20"/>
              </w:rPr>
              <w:t>2024</w:t>
            </w:r>
          </w:p>
        </w:tc>
        <w:tc>
          <w:tcPr>
            <w:tcW w:w="0" w:type="auto"/>
            <w:shd w:val="clear" w:color="auto" w:fill="FFFFFF"/>
            <w:vAlign w:val="bottom"/>
            <w:hideMark/>
          </w:tcPr>
          <w:p w14:paraId="37E7DE9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30C7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20EE3" w14:textId="77777777" w:rsidR="00000000" w:rsidRDefault="009027A3">
            <w:pPr>
              <w:jc w:val="right"/>
              <w:rPr>
                <w:rFonts w:eastAsia="Times New Roman"/>
                <w:sz w:val="20"/>
                <w:szCs w:val="20"/>
              </w:rPr>
            </w:pPr>
            <w:r>
              <w:rPr>
                <w:rFonts w:eastAsia="Times New Roman"/>
                <w:sz w:val="20"/>
                <w:szCs w:val="20"/>
              </w:rPr>
              <w:t>3,265</w:t>
            </w:r>
          </w:p>
        </w:tc>
        <w:tc>
          <w:tcPr>
            <w:tcW w:w="0" w:type="auto"/>
            <w:shd w:val="clear" w:color="auto" w:fill="FFFFFF"/>
            <w:vAlign w:val="bottom"/>
            <w:hideMark/>
          </w:tcPr>
          <w:p w14:paraId="45D21C9E" w14:textId="77777777" w:rsidR="00000000" w:rsidRDefault="009027A3">
            <w:pPr>
              <w:rPr>
                <w:rFonts w:eastAsia="Times New Roman"/>
                <w:sz w:val="20"/>
                <w:szCs w:val="20"/>
              </w:rPr>
            </w:pPr>
            <w:r>
              <w:rPr>
                <w:rFonts w:eastAsia="Times New Roman"/>
                <w:sz w:val="20"/>
                <w:szCs w:val="20"/>
              </w:rPr>
              <w:t> </w:t>
            </w:r>
          </w:p>
        </w:tc>
      </w:tr>
      <w:tr w:rsidR="00000000" w14:paraId="3D937297" w14:textId="77777777">
        <w:tc>
          <w:tcPr>
            <w:tcW w:w="0" w:type="auto"/>
            <w:shd w:val="clear" w:color="auto" w:fill="CCEEFF"/>
            <w:vAlign w:val="center"/>
            <w:hideMark/>
          </w:tcPr>
          <w:p w14:paraId="353A5D2A" w14:textId="77777777" w:rsidR="00000000" w:rsidRDefault="009027A3">
            <w:pPr>
              <w:rPr>
                <w:rFonts w:eastAsia="Times New Roman"/>
                <w:sz w:val="20"/>
                <w:szCs w:val="20"/>
              </w:rPr>
            </w:pPr>
            <w:r>
              <w:rPr>
                <w:rFonts w:eastAsia="Times New Roman"/>
                <w:sz w:val="20"/>
                <w:szCs w:val="20"/>
              </w:rPr>
              <w:t>2025</w:t>
            </w:r>
          </w:p>
        </w:tc>
        <w:tc>
          <w:tcPr>
            <w:tcW w:w="0" w:type="auto"/>
            <w:shd w:val="clear" w:color="auto" w:fill="CCEEFF"/>
            <w:vAlign w:val="bottom"/>
            <w:hideMark/>
          </w:tcPr>
          <w:p w14:paraId="1B14E81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9111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1DC40" w14:textId="77777777" w:rsidR="00000000" w:rsidRDefault="009027A3">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14:paraId="1A5B59DF" w14:textId="77777777" w:rsidR="00000000" w:rsidRDefault="009027A3">
            <w:pPr>
              <w:rPr>
                <w:rFonts w:eastAsia="Times New Roman"/>
                <w:sz w:val="20"/>
                <w:szCs w:val="20"/>
              </w:rPr>
            </w:pPr>
            <w:r>
              <w:rPr>
                <w:rFonts w:eastAsia="Times New Roman"/>
                <w:sz w:val="20"/>
                <w:szCs w:val="20"/>
              </w:rPr>
              <w:t> </w:t>
            </w:r>
          </w:p>
        </w:tc>
      </w:tr>
      <w:tr w:rsidR="00000000" w14:paraId="5406DD99" w14:textId="77777777">
        <w:tc>
          <w:tcPr>
            <w:tcW w:w="0" w:type="auto"/>
            <w:shd w:val="clear" w:color="auto" w:fill="FFFFFF"/>
            <w:tcMar>
              <w:top w:w="0" w:type="dxa"/>
              <w:left w:w="0" w:type="dxa"/>
              <w:bottom w:w="30" w:type="dxa"/>
              <w:right w:w="0" w:type="dxa"/>
            </w:tcMar>
            <w:vAlign w:val="center"/>
            <w:hideMark/>
          </w:tcPr>
          <w:p w14:paraId="5C9FD5A2" w14:textId="77777777" w:rsidR="00000000" w:rsidRDefault="009027A3">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7AD38C5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BB629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C2CA52" w14:textId="77777777" w:rsidR="00000000" w:rsidRDefault="009027A3">
            <w:pPr>
              <w:jc w:val="right"/>
              <w:rPr>
                <w:rFonts w:eastAsia="Times New Roman"/>
                <w:sz w:val="20"/>
                <w:szCs w:val="20"/>
              </w:rPr>
            </w:pPr>
            <w:r>
              <w:rPr>
                <w:rFonts w:eastAsia="Times New Roman"/>
                <w:sz w:val="20"/>
                <w:szCs w:val="20"/>
              </w:rPr>
              <w:t>1,350</w:t>
            </w:r>
          </w:p>
        </w:tc>
        <w:tc>
          <w:tcPr>
            <w:tcW w:w="0" w:type="auto"/>
            <w:shd w:val="clear" w:color="auto" w:fill="FFFFFF"/>
            <w:tcMar>
              <w:top w:w="0" w:type="dxa"/>
              <w:left w:w="0" w:type="dxa"/>
              <w:bottom w:w="30" w:type="dxa"/>
              <w:right w:w="0" w:type="dxa"/>
            </w:tcMar>
            <w:vAlign w:val="bottom"/>
            <w:hideMark/>
          </w:tcPr>
          <w:p w14:paraId="7ED888D9" w14:textId="77777777" w:rsidR="00000000" w:rsidRDefault="009027A3">
            <w:pPr>
              <w:rPr>
                <w:rFonts w:eastAsia="Times New Roman"/>
                <w:sz w:val="20"/>
                <w:szCs w:val="20"/>
              </w:rPr>
            </w:pPr>
            <w:r>
              <w:rPr>
                <w:rFonts w:eastAsia="Times New Roman"/>
                <w:sz w:val="20"/>
                <w:szCs w:val="20"/>
              </w:rPr>
              <w:t> </w:t>
            </w:r>
          </w:p>
        </w:tc>
      </w:tr>
      <w:tr w:rsidR="00000000" w14:paraId="107DE0F5" w14:textId="77777777">
        <w:tc>
          <w:tcPr>
            <w:tcW w:w="0" w:type="auto"/>
            <w:shd w:val="clear" w:color="auto" w:fill="CCEEFF"/>
            <w:tcMar>
              <w:top w:w="0" w:type="dxa"/>
              <w:left w:w="0" w:type="dxa"/>
              <w:bottom w:w="50" w:type="dxa"/>
              <w:right w:w="0" w:type="dxa"/>
            </w:tcMar>
            <w:vAlign w:val="center"/>
            <w:hideMark/>
          </w:tcPr>
          <w:p w14:paraId="26701EA9" w14:textId="77777777" w:rsidR="00000000" w:rsidRDefault="009027A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3654F85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C7C4E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ED9743D" w14:textId="77777777" w:rsidR="00000000" w:rsidRDefault="009027A3">
            <w:pPr>
              <w:jc w:val="right"/>
              <w:rPr>
                <w:rFonts w:eastAsia="Times New Roman"/>
                <w:sz w:val="20"/>
                <w:szCs w:val="20"/>
              </w:rPr>
            </w:pPr>
            <w:r>
              <w:rPr>
                <w:rFonts w:eastAsia="Times New Roman"/>
                <w:sz w:val="20"/>
                <w:szCs w:val="20"/>
              </w:rPr>
              <w:t>29,166</w:t>
            </w:r>
          </w:p>
        </w:tc>
        <w:tc>
          <w:tcPr>
            <w:tcW w:w="0" w:type="auto"/>
            <w:shd w:val="clear" w:color="auto" w:fill="CCEEFF"/>
            <w:tcMar>
              <w:top w:w="0" w:type="dxa"/>
              <w:left w:w="0" w:type="dxa"/>
              <w:bottom w:w="50" w:type="dxa"/>
              <w:right w:w="0" w:type="dxa"/>
            </w:tcMar>
            <w:vAlign w:val="bottom"/>
            <w:hideMark/>
          </w:tcPr>
          <w:p w14:paraId="674D0320" w14:textId="77777777" w:rsidR="00000000" w:rsidRDefault="009027A3">
            <w:pPr>
              <w:rPr>
                <w:rFonts w:eastAsia="Times New Roman"/>
                <w:sz w:val="20"/>
                <w:szCs w:val="20"/>
              </w:rPr>
            </w:pPr>
            <w:r>
              <w:rPr>
                <w:rFonts w:eastAsia="Times New Roman"/>
                <w:sz w:val="20"/>
                <w:szCs w:val="20"/>
              </w:rPr>
              <w:t> </w:t>
            </w:r>
          </w:p>
        </w:tc>
      </w:tr>
    </w:tbl>
    <w:p w14:paraId="482BD3EC" w14:textId="77777777" w:rsidR="00000000" w:rsidRDefault="009027A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42074AD" w14:textId="77777777">
        <w:trPr>
          <w:divId w:val="721321906"/>
        </w:trPr>
        <w:tc>
          <w:tcPr>
            <w:tcW w:w="5000" w:type="pct"/>
            <w:hideMark/>
          </w:tcPr>
          <w:p w14:paraId="546DD20F"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02961A9D" w14:textId="77777777">
        <w:tc>
          <w:tcPr>
            <w:tcW w:w="5000" w:type="pct"/>
            <w:hideMark/>
          </w:tcPr>
          <w:p w14:paraId="3C28C18D" w14:textId="77777777" w:rsidR="00000000" w:rsidRDefault="009027A3">
            <w:pPr>
              <w:rPr>
                <w:rFonts w:eastAsia="Times New Roman"/>
                <w:sz w:val="20"/>
                <w:szCs w:val="20"/>
              </w:rPr>
            </w:pPr>
            <w:r>
              <w:rPr>
                <w:rFonts w:eastAsia="Times New Roman"/>
                <w:sz w:val="20"/>
                <w:szCs w:val="20"/>
              </w:rPr>
              <w:t> </w:t>
            </w:r>
          </w:p>
        </w:tc>
      </w:tr>
    </w:tbl>
    <w:p w14:paraId="5387AB16" w14:textId="77777777" w:rsidR="00000000" w:rsidRDefault="009027A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F5B769B" w14:textId="77777777">
        <w:tc>
          <w:tcPr>
            <w:tcW w:w="720" w:type="dxa"/>
            <w:hideMark/>
          </w:tcPr>
          <w:p w14:paraId="16BB51B9" w14:textId="77777777" w:rsidR="00000000" w:rsidRDefault="009027A3">
            <w:pPr>
              <w:rPr>
                <w:rFonts w:eastAsia="Times New Roman"/>
                <w:b/>
                <w:bCs/>
                <w:caps/>
                <w:sz w:val="22"/>
                <w:szCs w:val="22"/>
              </w:rPr>
            </w:pPr>
            <w:r>
              <w:rPr>
                <w:rFonts w:eastAsia="Times New Roman"/>
                <w:b/>
                <w:bCs/>
                <w:caps/>
                <w:sz w:val="20"/>
                <w:szCs w:val="20"/>
              </w:rPr>
              <w:t>5.</w:t>
            </w:r>
          </w:p>
        </w:tc>
        <w:tc>
          <w:tcPr>
            <w:tcW w:w="0" w:type="auto"/>
            <w:hideMark/>
          </w:tcPr>
          <w:p w14:paraId="2B3AF1D0" w14:textId="77777777" w:rsidR="00000000" w:rsidRDefault="009027A3">
            <w:pPr>
              <w:rPr>
                <w:rFonts w:eastAsia="Times New Roman"/>
                <w:b/>
                <w:bCs/>
                <w:caps/>
                <w:sz w:val="22"/>
                <w:szCs w:val="22"/>
              </w:rPr>
            </w:pPr>
            <w:r>
              <w:rPr>
                <w:rFonts w:eastAsia="Times New Roman"/>
                <w:b/>
                <w:bCs/>
                <w:caps/>
                <w:sz w:val="20"/>
                <w:szCs w:val="20"/>
              </w:rPr>
              <w:t xml:space="preserve">NET LOss per COMMON share </w:t>
            </w:r>
          </w:p>
        </w:tc>
      </w:tr>
    </w:tbl>
    <w:p w14:paraId="42E1DB12" w14:textId="77777777" w:rsidR="00000000" w:rsidRDefault="009027A3">
      <w:pPr>
        <w:pStyle w:val="a3"/>
        <w:spacing w:before="0" w:beforeAutospacing="0" w:after="0" w:afterAutospacing="0"/>
        <w:ind w:left="45"/>
        <w:jc w:val="both"/>
        <w:rPr>
          <w:sz w:val="20"/>
          <w:szCs w:val="20"/>
        </w:rPr>
      </w:pPr>
      <w:r>
        <w:rPr>
          <w:sz w:val="20"/>
          <w:szCs w:val="20"/>
        </w:rPr>
        <w:t> </w:t>
      </w:r>
    </w:p>
    <w:p w14:paraId="6D9E154E" w14:textId="77777777" w:rsidR="00000000" w:rsidRDefault="009027A3">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months ended March 31, 2021 and 2020:</w:t>
      </w:r>
    </w:p>
    <w:p w14:paraId="64A45462"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70F78F93" w14:textId="77777777">
        <w:tc>
          <w:tcPr>
            <w:tcW w:w="0" w:type="auto"/>
            <w:vAlign w:val="bottom"/>
            <w:hideMark/>
          </w:tcPr>
          <w:p w14:paraId="0F4627F8"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1780BF2"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56EF4E4" w14:textId="77777777" w:rsidR="00000000" w:rsidRDefault="009027A3">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4CB5AE96" w14:textId="77777777" w:rsidR="00000000" w:rsidRDefault="009027A3">
            <w:pPr>
              <w:rPr>
                <w:rFonts w:eastAsia="Times New Roman"/>
                <w:b/>
                <w:bCs/>
                <w:sz w:val="20"/>
                <w:szCs w:val="20"/>
              </w:rPr>
            </w:pPr>
            <w:r>
              <w:rPr>
                <w:rFonts w:eastAsia="Times New Roman"/>
                <w:b/>
                <w:bCs/>
                <w:sz w:val="20"/>
                <w:szCs w:val="20"/>
              </w:rPr>
              <w:t> </w:t>
            </w:r>
          </w:p>
        </w:tc>
      </w:tr>
      <w:tr w:rsidR="00000000" w14:paraId="626451BA" w14:textId="77777777">
        <w:tc>
          <w:tcPr>
            <w:tcW w:w="0" w:type="auto"/>
            <w:vAlign w:val="bottom"/>
            <w:hideMark/>
          </w:tcPr>
          <w:p w14:paraId="644BE77F"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EFCDEF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024574"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02F54EC"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2D9BD26"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3A255C"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FB809FF" w14:textId="77777777" w:rsidR="00000000" w:rsidRDefault="009027A3">
            <w:pPr>
              <w:rPr>
                <w:rFonts w:eastAsia="Times New Roman"/>
                <w:b/>
                <w:bCs/>
                <w:sz w:val="20"/>
                <w:szCs w:val="20"/>
              </w:rPr>
            </w:pPr>
            <w:r>
              <w:rPr>
                <w:rFonts w:eastAsia="Times New Roman"/>
                <w:b/>
                <w:bCs/>
                <w:sz w:val="20"/>
                <w:szCs w:val="20"/>
              </w:rPr>
              <w:t> </w:t>
            </w:r>
          </w:p>
        </w:tc>
      </w:tr>
      <w:tr w:rsidR="00000000" w14:paraId="11F79DA2" w14:textId="77777777">
        <w:tc>
          <w:tcPr>
            <w:tcW w:w="0" w:type="auto"/>
            <w:vAlign w:val="bottom"/>
            <w:hideMark/>
          </w:tcPr>
          <w:p w14:paraId="3DA04175"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47FC0D21"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2B908CD9" w14:textId="77777777" w:rsidR="00000000" w:rsidRDefault="009027A3">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14:paraId="63781CD9" w14:textId="77777777" w:rsidR="00000000" w:rsidRDefault="009027A3">
            <w:pPr>
              <w:rPr>
                <w:rFonts w:eastAsia="Times New Roman"/>
                <w:sz w:val="20"/>
                <w:szCs w:val="20"/>
              </w:rPr>
            </w:pPr>
            <w:r>
              <w:rPr>
                <w:rFonts w:eastAsia="Times New Roman"/>
                <w:sz w:val="20"/>
                <w:szCs w:val="20"/>
              </w:rPr>
              <w:t> </w:t>
            </w:r>
          </w:p>
        </w:tc>
      </w:tr>
      <w:tr w:rsidR="00000000" w14:paraId="284CEFC3" w14:textId="77777777">
        <w:tc>
          <w:tcPr>
            <w:tcW w:w="0" w:type="auto"/>
            <w:shd w:val="clear" w:color="auto" w:fill="CCEEFF"/>
            <w:vAlign w:val="bottom"/>
            <w:hideMark/>
          </w:tcPr>
          <w:p w14:paraId="6366F96F" w14:textId="77777777" w:rsidR="00000000" w:rsidRDefault="009027A3">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007C104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8944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C917A"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355D11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42764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1753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A8185"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C078A2E" w14:textId="77777777" w:rsidR="00000000" w:rsidRDefault="009027A3">
            <w:pPr>
              <w:rPr>
                <w:rFonts w:eastAsia="Times New Roman"/>
                <w:sz w:val="20"/>
                <w:szCs w:val="20"/>
              </w:rPr>
            </w:pPr>
            <w:r>
              <w:rPr>
                <w:rFonts w:eastAsia="Times New Roman"/>
                <w:sz w:val="20"/>
                <w:szCs w:val="20"/>
              </w:rPr>
              <w:t> </w:t>
            </w:r>
          </w:p>
        </w:tc>
      </w:tr>
      <w:tr w:rsidR="00000000" w14:paraId="5BD47361" w14:textId="77777777">
        <w:tc>
          <w:tcPr>
            <w:tcW w:w="3000" w:type="pct"/>
            <w:shd w:val="clear" w:color="auto" w:fill="FFFFFF"/>
            <w:tcMar>
              <w:top w:w="0" w:type="dxa"/>
              <w:left w:w="0" w:type="dxa"/>
              <w:bottom w:w="50" w:type="dxa"/>
              <w:right w:w="0" w:type="dxa"/>
            </w:tcMar>
            <w:vAlign w:val="bottom"/>
            <w:hideMark/>
          </w:tcPr>
          <w:p w14:paraId="2A96D8A5" w14:textId="77777777" w:rsidR="00000000" w:rsidRDefault="009027A3">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7801EC62"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CD65F83" w14:textId="77777777" w:rsidR="00000000" w:rsidRDefault="009027A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471B24CB" w14:textId="77777777" w:rsidR="00000000" w:rsidRDefault="009027A3">
            <w:pPr>
              <w:jc w:val="right"/>
              <w:rPr>
                <w:rFonts w:eastAsia="Times New Roman"/>
                <w:sz w:val="20"/>
                <w:szCs w:val="20"/>
              </w:rPr>
            </w:pPr>
            <w:r>
              <w:rPr>
                <w:rFonts w:eastAsia="Times New Roman"/>
                <w:sz w:val="20"/>
                <w:szCs w:val="20"/>
              </w:rPr>
              <w:t>(5,092</w:t>
            </w:r>
          </w:p>
        </w:tc>
        <w:tc>
          <w:tcPr>
            <w:tcW w:w="50" w:type="pct"/>
            <w:shd w:val="clear" w:color="auto" w:fill="FFFFFF"/>
            <w:tcMar>
              <w:top w:w="0" w:type="dxa"/>
              <w:left w:w="0" w:type="dxa"/>
              <w:bottom w:w="50" w:type="dxa"/>
              <w:right w:w="0" w:type="dxa"/>
            </w:tcMar>
            <w:vAlign w:val="bottom"/>
            <w:hideMark/>
          </w:tcPr>
          <w:p w14:paraId="775F517D" w14:textId="77777777" w:rsidR="00000000" w:rsidRDefault="009027A3">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1EC62F22"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40AF59B" w14:textId="77777777" w:rsidR="00000000" w:rsidRDefault="009027A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37D1560" w14:textId="77777777" w:rsidR="00000000" w:rsidRDefault="009027A3">
            <w:pPr>
              <w:jc w:val="right"/>
              <w:rPr>
                <w:rFonts w:eastAsia="Times New Roman"/>
                <w:sz w:val="20"/>
                <w:szCs w:val="20"/>
              </w:rPr>
            </w:pPr>
            <w:r>
              <w:rPr>
                <w:rFonts w:eastAsia="Times New Roman"/>
                <w:sz w:val="20"/>
                <w:szCs w:val="20"/>
              </w:rPr>
              <w:t>(5,145</w:t>
            </w:r>
          </w:p>
        </w:tc>
        <w:tc>
          <w:tcPr>
            <w:tcW w:w="50" w:type="pct"/>
            <w:shd w:val="clear" w:color="auto" w:fill="FFFFFF"/>
            <w:tcMar>
              <w:top w:w="0" w:type="dxa"/>
              <w:left w:w="0" w:type="dxa"/>
              <w:bottom w:w="50" w:type="dxa"/>
              <w:right w:w="0" w:type="dxa"/>
            </w:tcMar>
            <w:vAlign w:val="bottom"/>
            <w:hideMark/>
          </w:tcPr>
          <w:p w14:paraId="10A9C417" w14:textId="77777777" w:rsidR="00000000" w:rsidRDefault="009027A3">
            <w:pPr>
              <w:rPr>
                <w:rFonts w:eastAsia="Times New Roman"/>
                <w:sz w:val="20"/>
                <w:szCs w:val="20"/>
              </w:rPr>
            </w:pPr>
            <w:r>
              <w:rPr>
                <w:rFonts w:eastAsia="Times New Roman"/>
                <w:sz w:val="20"/>
                <w:szCs w:val="20"/>
              </w:rPr>
              <w:t>)</w:t>
            </w:r>
          </w:p>
        </w:tc>
      </w:tr>
      <w:tr w:rsidR="00000000" w14:paraId="3F0FD652" w14:textId="77777777">
        <w:tc>
          <w:tcPr>
            <w:tcW w:w="0" w:type="auto"/>
            <w:shd w:val="clear" w:color="auto" w:fill="CCEEFF"/>
            <w:tcMar>
              <w:top w:w="0" w:type="dxa"/>
              <w:left w:w="0" w:type="dxa"/>
              <w:bottom w:w="50" w:type="dxa"/>
              <w:right w:w="0" w:type="dxa"/>
            </w:tcMar>
            <w:vAlign w:val="bottom"/>
            <w:hideMark/>
          </w:tcPr>
          <w:p w14:paraId="005B45F4" w14:textId="77777777" w:rsidR="00000000" w:rsidRDefault="009027A3">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489762D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2B739E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A3547CE" w14:textId="77777777" w:rsidR="00000000" w:rsidRDefault="009027A3">
            <w:pPr>
              <w:jc w:val="right"/>
              <w:rPr>
                <w:rFonts w:eastAsia="Times New Roman"/>
                <w:sz w:val="20"/>
                <w:szCs w:val="20"/>
              </w:rPr>
            </w:pPr>
            <w:r>
              <w:rPr>
                <w:rFonts w:eastAsia="Times New Roman"/>
                <w:sz w:val="20"/>
                <w:szCs w:val="20"/>
              </w:rPr>
              <w:t>14,084,749</w:t>
            </w:r>
          </w:p>
        </w:tc>
        <w:tc>
          <w:tcPr>
            <w:tcW w:w="0" w:type="auto"/>
            <w:shd w:val="clear" w:color="auto" w:fill="CCEEFF"/>
            <w:tcMar>
              <w:top w:w="0" w:type="dxa"/>
              <w:left w:w="0" w:type="dxa"/>
              <w:bottom w:w="50" w:type="dxa"/>
              <w:right w:w="0" w:type="dxa"/>
            </w:tcMar>
            <w:vAlign w:val="bottom"/>
            <w:hideMark/>
          </w:tcPr>
          <w:p w14:paraId="6910917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BA93DC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6B4A47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B16052E" w14:textId="77777777" w:rsidR="00000000" w:rsidRDefault="009027A3">
            <w:pPr>
              <w:jc w:val="right"/>
              <w:rPr>
                <w:rFonts w:eastAsia="Times New Roman"/>
                <w:sz w:val="20"/>
                <w:szCs w:val="20"/>
              </w:rPr>
            </w:pPr>
            <w:r>
              <w:rPr>
                <w:rFonts w:eastAsia="Times New Roman"/>
                <w:sz w:val="20"/>
                <w:szCs w:val="20"/>
              </w:rPr>
              <w:t>12,310,818</w:t>
            </w:r>
          </w:p>
        </w:tc>
        <w:tc>
          <w:tcPr>
            <w:tcW w:w="0" w:type="auto"/>
            <w:shd w:val="clear" w:color="auto" w:fill="CCEEFF"/>
            <w:tcMar>
              <w:top w:w="0" w:type="dxa"/>
              <w:left w:w="0" w:type="dxa"/>
              <w:bottom w:w="50" w:type="dxa"/>
              <w:right w:w="0" w:type="dxa"/>
            </w:tcMar>
            <w:vAlign w:val="bottom"/>
            <w:hideMark/>
          </w:tcPr>
          <w:p w14:paraId="56D18608" w14:textId="77777777" w:rsidR="00000000" w:rsidRDefault="009027A3">
            <w:pPr>
              <w:rPr>
                <w:rFonts w:eastAsia="Times New Roman"/>
                <w:sz w:val="20"/>
                <w:szCs w:val="20"/>
              </w:rPr>
            </w:pPr>
            <w:r>
              <w:rPr>
                <w:rFonts w:eastAsia="Times New Roman"/>
                <w:sz w:val="20"/>
                <w:szCs w:val="20"/>
              </w:rPr>
              <w:t> </w:t>
            </w:r>
          </w:p>
        </w:tc>
      </w:tr>
      <w:tr w:rsidR="00000000" w14:paraId="34F8656B" w14:textId="77777777">
        <w:tc>
          <w:tcPr>
            <w:tcW w:w="0" w:type="auto"/>
            <w:shd w:val="clear" w:color="auto" w:fill="FFFFFF"/>
            <w:tcMar>
              <w:top w:w="0" w:type="dxa"/>
              <w:left w:w="0" w:type="dxa"/>
              <w:bottom w:w="50" w:type="dxa"/>
              <w:right w:w="0" w:type="dxa"/>
            </w:tcMar>
            <w:vAlign w:val="bottom"/>
            <w:hideMark/>
          </w:tcPr>
          <w:p w14:paraId="5D9DD377" w14:textId="77777777" w:rsidR="00000000" w:rsidRDefault="009027A3">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0AC6679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8163F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6E4356D" w14:textId="77777777" w:rsidR="00000000" w:rsidRDefault="009027A3">
            <w:pPr>
              <w:jc w:val="right"/>
              <w:rPr>
                <w:rFonts w:eastAsia="Times New Roman"/>
                <w:sz w:val="20"/>
                <w:szCs w:val="20"/>
              </w:rPr>
            </w:pPr>
            <w:r>
              <w:rPr>
                <w:rFonts w:eastAsia="Times New Roman"/>
                <w:sz w:val="20"/>
                <w:szCs w:val="20"/>
              </w:rPr>
              <w:t>(0.36</w:t>
            </w:r>
          </w:p>
        </w:tc>
        <w:tc>
          <w:tcPr>
            <w:tcW w:w="0" w:type="auto"/>
            <w:shd w:val="clear" w:color="auto" w:fill="FFFFFF"/>
            <w:tcMar>
              <w:top w:w="0" w:type="dxa"/>
              <w:left w:w="0" w:type="dxa"/>
              <w:bottom w:w="50" w:type="dxa"/>
              <w:right w:w="0" w:type="dxa"/>
            </w:tcMar>
            <w:vAlign w:val="bottom"/>
            <w:hideMark/>
          </w:tcPr>
          <w:p w14:paraId="4BE24979"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3298D9C"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C2A6DAB"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BE0459" w14:textId="77777777" w:rsidR="00000000" w:rsidRDefault="009027A3">
            <w:pPr>
              <w:jc w:val="right"/>
              <w:rPr>
                <w:rFonts w:eastAsia="Times New Roman"/>
                <w:sz w:val="20"/>
                <w:szCs w:val="20"/>
              </w:rPr>
            </w:pPr>
            <w:r>
              <w:rPr>
                <w:rFonts w:eastAsia="Times New Roman"/>
                <w:sz w:val="20"/>
                <w:szCs w:val="20"/>
              </w:rPr>
              <w:t>(0.42</w:t>
            </w:r>
          </w:p>
        </w:tc>
        <w:tc>
          <w:tcPr>
            <w:tcW w:w="0" w:type="auto"/>
            <w:shd w:val="clear" w:color="auto" w:fill="FFFFFF"/>
            <w:tcMar>
              <w:top w:w="0" w:type="dxa"/>
              <w:left w:w="0" w:type="dxa"/>
              <w:bottom w:w="50" w:type="dxa"/>
              <w:right w:w="0" w:type="dxa"/>
            </w:tcMar>
            <w:vAlign w:val="bottom"/>
            <w:hideMark/>
          </w:tcPr>
          <w:p w14:paraId="7EB9B241" w14:textId="77777777" w:rsidR="00000000" w:rsidRDefault="009027A3">
            <w:pPr>
              <w:rPr>
                <w:rFonts w:eastAsia="Times New Roman"/>
                <w:sz w:val="20"/>
                <w:szCs w:val="20"/>
              </w:rPr>
            </w:pPr>
            <w:r>
              <w:rPr>
                <w:rFonts w:eastAsia="Times New Roman"/>
                <w:sz w:val="20"/>
                <w:szCs w:val="20"/>
              </w:rPr>
              <w:t>)</w:t>
            </w:r>
          </w:p>
        </w:tc>
      </w:tr>
    </w:tbl>
    <w:p w14:paraId="385792D0" w14:textId="77777777" w:rsidR="00000000" w:rsidRDefault="009027A3">
      <w:pPr>
        <w:pStyle w:val="a3"/>
        <w:spacing w:before="0" w:beforeAutospacing="0" w:after="0" w:afterAutospacing="0"/>
        <w:jc w:val="both"/>
        <w:rPr>
          <w:sz w:val="20"/>
          <w:szCs w:val="20"/>
        </w:rPr>
      </w:pPr>
      <w:r>
        <w:rPr>
          <w:sz w:val="20"/>
          <w:szCs w:val="20"/>
        </w:rPr>
        <w:t> </w:t>
      </w:r>
    </w:p>
    <w:p w14:paraId="12A80058" w14:textId="77777777" w:rsidR="00000000" w:rsidRDefault="009027A3">
      <w:pPr>
        <w:pStyle w:val="a3"/>
        <w:spacing w:before="0" w:beforeAutospacing="0" w:after="0" w:afterAutospacing="0"/>
        <w:jc w:val="both"/>
        <w:rPr>
          <w:caps/>
          <w:sz w:val="20"/>
          <w:szCs w:val="20"/>
        </w:rPr>
      </w:pPr>
      <w:r>
        <w:rPr>
          <w:sz w:val="20"/>
          <w:szCs w:val="20"/>
        </w:rPr>
        <w:t>All unvested restricted stock units (“RSUs”</w:t>
      </w:r>
      <w:r>
        <w:rPr>
          <w:sz w:val="20"/>
          <w:szCs w:val="20"/>
        </w:rPr>
        <w:t xml:space="preserve">) and unexercised warrants have been excluded from the above calculations as they were anti-dilutive. Vested RSUs, vested restricted shares and exercised warrants have been included in the above calculations. </w:t>
      </w:r>
    </w:p>
    <w:p w14:paraId="5221EE15" w14:textId="77777777" w:rsidR="00000000" w:rsidRDefault="009027A3">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DD239B3" w14:textId="77777777">
        <w:tc>
          <w:tcPr>
            <w:tcW w:w="720" w:type="dxa"/>
            <w:hideMark/>
          </w:tcPr>
          <w:p w14:paraId="7AB78BB8" w14:textId="77777777" w:rsidR="00000000" w:rsidRDefault="009027A3">
            <w:pPr>
              <w:rPr>
                <w:rFonts w:eastAsia="Times New Roman"/>
                <w:b/>
                <w:bCs/>
                <w:caps/>
                <w:sz w:val="22"/>
                <w:szCs w:val="22"/>
              </w:rPr>
            </w:pPr>
            <w:r>
              <w:rPr>
                <w:rFonts w:eastAsia="Times New Roman"/>
                <w:b/>
                <w:bCs/>
                <w:caps/>
                <w:sz w:val="20"/>
                <w:szCs w:val="20"/>
              </w:rPr>
              <w:t>6.</w:t>
            </w:r>
          </w:p>
        </w:tc>
        <w:tc>
          <w:tcPr>
            <w:tcW w:w="0" w:type="auto"/>
            <w:hideMark/>
          </w:tcPr>
          <w:p w14:paraId="6E7807DA" w14:textId="77777777" w:rsidR="00000000" w:rsidRDefault="009027A3">
            <w:pPr>
              <w:rPr>
                <w:rFonts w:eastAsia="Times New Roman"/>
                <w:b/>
                <w:bCs/>
                <w:caps/>
                <w:sz w:val="22"/>
                <w:szCs w:val="22"/>
              </w:rPr>
            </w:pPr>
            <w:r>
              <w:rPr>
                <w:rFonts w:eastAsia="Times New Roman"/>
                <w:b/>
                <w:bCs/>
                <w:caps/>
                <w:sz w:val="20"/>
                <w:szCs w:val="20"/>
              </w:rPr>
              <w:t>Debt</w:t>
            </w:r>
          </w:p>
        </w:tc>
      </w:tr>
    </w:tbl>
    <w:p w14:paraId="54FC331C" w14:textId="77777777" w:rsidR="00000000" w:rsidRDefault="009027A3">
      <w:pPr>
        <w:pStyle w:val="a3"/>
        <w:spacing w:before="0" w:beforeAutospacing="0" w:after="0" w:afterAutospacing="0"/>
        <w:jc w:val="both"/>
        <w:rPr>
          <w:sz w:val="20"/>
          <w:szCs w:val="20"/>
        </w:rPr>
      </w:pPr>
      <w:r>
        <w:rPr>
          <w:i/>
          <w:iCs/>
          <w:sz w:val="20"/>
          <w:szCs w:val="20"/>
        </w:rPr>
        <w:t> </w:t>
      </w:r>
    </w:p>
    <w:p w14:paraId="6A41A404" w14:textId="77777777" w:rsidR="00000000" w:rsidRDefault="009027A3">
      <w:pPr>
        <w:pStyle w:val="a3"/>
        <w:spacing w:before="0" w:beforeAutospacing="0" w:after="0" w:afterAutospacing="0"/>
        <w:jc w:val="both"/>
        <w:rPr>
          <w:sz w:val="20"/>
          <w:szCs w:val="20"/>
        </w:rPr>
      </w:pPr>
      <w:r>
        <w:rPr>
          <w:i/>
          <w:iCs/>
          <w:sz w:val="20"/>
          <w:szCs w:val="20"/>
        </w:rPr>
        <w:t xml:space="preserve">SVB </w:t>
      </w:r>
      <w:r>
        <w:rPr>
          <w:sz w:val="20"/>
          <w:szCs w:val="20"/>
        </w:rPr>
        <w:t>— During October 2017, the Co</w:t>
      </w:r>
      <w:r>
        <w:rPr>
          <w:sz w:val="20"/>
          <w:szCs w:val="20"/>
        </w:rPr>
        <w:t>mpany opened a revolving line of credit with SVB under a three-year agreement. The SVB credit facility is a secured revolving line of credit where borrowings are based on a formula of 200% of repeatable revenue adjusted by an annualized attrition rate as d</w:t>
      </w:r>
      <w:r>
        <w:rPr>
          <w:sz w:val="20"/>
          <w:szCs w:val="20"/>
        </w:rPr>
        <w:t xml:space="preserve">efined in the credit agreement. During the third quarter of 2018, the credit line was increased from $5 million to $10 million and the term was extended for an additional year. Nothing was drawn on this line of credit as of March 31, 2021 and December 31, </w:t>
      </w:r>
      <w:r>
        <w:rPr>
          <w:sz w:val="20"/>
          <w:szCs w:val="20"/>
        </w:rPr>
        <w:t>2020. Interest on the SVB revolving line of credit is charged at the prime rate plus 1.50%, with a minimum interest rate of 6.5%. There is also a fee of one-half of 1% annually for the unused portion of the credit line. The debt is secured by all of the Co</w:t>
      </w:r>
      <w:r>
        <w:rPr>
          <w:sz w:val="20"/>
          <w:szCs w:val="20"/>
        </w:rPr>
        <w:t>mpany’s domestic assets and 65% of the shares in its offshore facilities. Future acquisitions are subject to approval by SVB.</w:t>
      </w:r>
    </w:p>
    <w:p w14:paraId="733E2E67" w14:textId="77777777" w:rsidR="00000000" w:rsidRDefault="009027A3">
      <w:pPr>
        <w:pStyle w:val="a3"/>
        <w:spacing w:before="0" w:beforeAutospacing="0" w:after="0" w:afterAutospacing="0"/>
        <w:jc w:val="both"/>
        <w:rPr>
          <w:sz w:val="20"/>
          <w:szCs w:val="20"/>
        </w:rPr>
      </w:pPr>
      <w:r>
        <w:rPr>
          <w:i/>
          <w:iCs/>
          <w:sz w:val="20"/>
          <w:szCs w:val="20"/>
        </w:rPr>
        <w:t> </w:t>
      </w:r>
    </w:p>
    <w:p w14:paraId="33871669" w14:textId="77777777" w:rsidR="00000000" w:rsidRDefault="009027A3">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w:t>
      </w:r>
      <w:r>
        <w:rPr>
          <w:sz w:val="20"/>
          <w:szCs w:val="20"/>
        </w:rPr>
        <w:t>financing notes have three to six year terms and were issued at current market rates.</w:t>
      </w:r>
    </w:p>
    <w:p w14:paraId="607390AF" w14:textId="77777777" w:rsidR="00000000" w:rsidRDefault="009027A3">
      <w:pPr>
        <w:pStyle w:val="a3"/>
        <w:spacing w:before="0" w:beforeAutospacing="0" w:after="0" w:afterAutospacing="0"/>
        <w:jc w:val="both"/>
        <w:rPr>
          <w:sz w:val="20"/>
          <w:szCs w:val="20"/>
        </w:rPr>
      </w:pPr>
      <w:r>
        <w:rPr>
          <w:i/>
          <w:iCs/>
          <w:sz w:val="20"/>
          <w:szCs w:val="20"/>
        </w:rPr>
        <w:t> </w:t>
      </w:r>
    </w:p>
    <w:p w14:paraId="4C8281E9" w14:textId="77777777" w:rsidR="00000000" w:rsidRDefault="009027A3">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4.0 % based on the annual renewal.</w:t>
      </w:r>
    </w:p>
    <w:p w14:paraId="45BE968B" w14:textId="77777777" w:rsidR="00000000" w:rsidRDefault="009027A3">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28BD856B" w14:textId="77777777">
        <w:tc>
          <w:tcPr>
            <w:tcW w:w="720" w:type="dxa"/>
            <w:hideMark/>
          </w:tcPr>
          <w:p w14:paraId="3BA2369A" w14:textId="77777777" w:rsidR="00000000" w:rsidRDefault="009027A3">
            <w:pPr>
              <w:rPr>
                <w:rFonts w:eastAsia="Times New Roman"/>
                <w:b/>
                <w:bCs/>
                <w:caps/>
                <w:sz w:val="22"/>
                <w:szCs w:val="22"/>
              </w:rPr>
            </w:pPr>
            <w:r>
              <w:rPr>
                <w:rFonts w:eastAsia="Times New Roman"/>
                <w:b/>
                <w:bCs/>
                <w:caps/>
                <w:sz w:val="20"/>
                <w:szCs w:val="20"/>
              </w:rPr>
              <w:t>7.</w:t>
            </w:r>
          </w:p>
        </w:tc>
        <w:tc>
          <w:tcPr>
            <w:tcW w:w="0" w:type="auto"/>
            <w:hideMark/>
          </w:tcPr>
          <w:p w14:paraId="59157F32" w14:textId="77777777" w:rsidR="00000000" w:rsidRDefault="009027A3">
            <w:pPr>
              <w:rPr>
                <w:rFonts w:eastAsia="Times New Roman"/>
                <w:b/>
                <w:bCs/>
                <w:caps/>
                <w:sz w:val="22"/>
                <w:szCs w:val="22"/>
              </w:rPr>
            </w:pPr>
            <w:r>
              <w:rPr>
                <w:rFonts w:eastAsia="Times New Roman"/>
                <w:b/>
                <w:bCs/>
                <w:caps/>
                <w:sz w:val="20"/>
                <w:szCs w:val="20"/>
              </w:rPr>
              <w:t>leases</w:t>
            </w:r>
          </w:p>
        </w:tc>
      </w:tr>
    </w:tbl>
    <w:p w14:paraId="09B43510" w14:textId="77777777" w:rsidR="00000000" w:rsidRDefault="009027A3">
      <w:pPr>
        <w:pStyle w:val="a3"/>
        <w:spacing w:before="0" w:beforeAutospacing="0" w:after="0" w:afterAutospacing="0"/>
        <w:jc w:val="both"/>
        <w:rPr>
          <w:sz w:val="20"/>
          <w:szCs w:val="20"/>
        </w:rPr>
      </w:pPr>
      <w:r>
        <w:rPr>
          <w:sz w:val="20"/>
          <w:szCs w:val="20"/>
        </w:rPr>
        <w:t> </w:t>
      </w:r>
    </w:p>
    <w:p w14:paraId="61645C76" w14:textId="77777777" w:rsidR="00000000" w:rsidRDefault="009027A3">
      <w:pPr>
        <w:pStyle w:val="a3"/>
        <w:spacing w:before="0" w:beforeAutospacing="0" w:after="0" w:afterAutospacing="0"/>
        <w:jc w:val="both"/>
        <w:rPr>
          <w:sz w:val="20"/>
          <w:szCs w:val="20"/>
        </w:rPr>
      </w:pPr>
      <w:r>
        <w:rPr>
          <w:sz w:val="20"/>
          <w:szCs w:val="20"/>
        </w:rPr>
        <w:t xml:space="preserve">We determine if an arrangement is a lease at inception. Operating leases are included in operating lease right-of-use (“ROU”) assets, current operating lease liability and non-current operating lease liability in our condensed consolidated </w:t>
      </w:r>
      <w:r>
        <w:rPr>
          <w:sz w:val="20"/>
          <w:szCs w:val="20"/>
        </w:rPr>
        <w:t>balance sheets as of March 31, 2021 and December 31, 2020. Each time the Company acquires a business, the ROU assets and the lease liabilities are recorded at fair value as of the date of acquisition. The Company does not have any finance leases.</w:t>
      </w:r>
    </w:p>
    <w:p w14:paraId="623BF6CD" w14:textId="77777777" w:rsidR="00000000" w:rsidRDefault="009027A3">
      <w:pPr>
        <w:pStyle w:val="a3"/>
        <w:spacing w:before="0" w:beforeAutospacing="0" w:after="0" w:afterAutospacing="0"/>
        <w:jc w:val="both"/>
        <w:rPr>
          <w:sz w:val="20"/>
          <w:szCs w:val="20"/>
        </w:rPr>
      </w:pPr>
      <w:r>
        <w:rPr>
          <w:sz w:val="20"/>
          <w:szCs w:val="20"/>
        </w:rPr>
        <w:t> </w:t>
      </w:r>
    </w:p>
    <w:p w14:paraId="317811CE" w14:textId="77777777" w:rsidR="00000000" w:rsidRDefault="009027A3">
      <w:pPr>
        <w:pStyle w:val="a3"/>
        <w:spacing w:before="0" w:beforeAutospacing="0" w:after="0" w:afterAutospacing="0"/>
        <w:jc w:val="both"/>
        <w:rPr>
          <w:sz w:val="20"/>
          <w:szCs w:val="20"/>
        </w:rPr>
      </w:pPr>
      <w:r>
        <w:rPr>
          <w:sz w:val="20"/>
          <w:szCs w:val="20"/>
        </w:rPr>
        <w:t>ROU ass</w:t>
      </w:r>
      <w:r>
        <w:rPr>
          <w:sz w:val="20"/>
          <w:szCs w:val="20"/>
        </w:rPr>
        <w:t>ets represent our right to use an underlying asset for the lease term and lease liabilities represent our obligation to make lease payments arising from the lease. ROU assets and liabilities are recognized at the lease commencement date based on the estima</w:t>
      </w:r>
      <w:r>
        <w:rPr>
          <w:sz w:val="20"/>
          <w:szCs w:val="20"/>
        </w:rPr>
        <w:t>ted present value of lease payments over the lease term.</w:t>
      </w:r>
    </w:p>
    <w:p w14:paraId="664FE4EC" w14:textId="77777777" w:rsidR="00000000" w:rsidRDefault="009027A3">
      <w:pPr>
        <w:pStyle w:val="a3"/>
        <w:spacing w:before="0" w:beforeAutospacing="0" w:after="0" w:afterAutospacing="0"/>
        <w:jc w:val="both"/>
        <w:rPr>
          <w:sz w:val="20"/>
          <w:szCs w:val="20"/>
        </w:rPr>
      </w:pPr>
      <w:r>
        <w:rPr>
          <w:sz w:val="20"/>
          <w:szCs w:val="20"/>
        </w:rPr>
        <w:t> </w:t>
      </w:r>
    </w:p>
    <w:p w14:paraId="220E30D1" w14:textId="77777777" w:rsidR="00000000" w:rsidRDefault="009027A3">
      <w:pPr>
        <w:pStyle w:val="a3"/>
        <w:spacing w:before="0" w:beforeAutospacing="0" w:after="0" w:afterAutospacing="0"/>
        <w:jc w:val="both"/>
        <w:rPr>
          <w:sz w:val="20"/>
          <w:szCs w:val="20"/>
        </w:rPr>
      </w:pPr>
      <w:r>
        <w:rPr>
          <w:sz w:val="20"/>
          <w:szCs w:val="20"/>
        </w:rPr>
        <w:t xml:space="preserve">We </w:t>
      </w:r>
      <w:r>
        <w:rPr>
          <w:sz w:val="20"/>
          <w:szCs w:val="20"/>
        </w:rPr>
        <w:t xml:space="preserve">use our estimated incremental borrowing rates, which are derived from information available at the lease commencement date, in determining the present value of lease payments. We give consideration to our bank financing arrangements, geographical location </w:t>
      </w:r>
      <w:r>
        <w:rPr>
          <w:sz w:val="20"/>
          <w:szCs w:val="20"/>
        </w:rPr>
        <w:t>and collateralization of assets when calculating our incremental borrowing rates.</w:t>
      </w:r>
    </w:p>
    <w:p w14:paraId="157377CD" w14:textId="77777777" w:rsidR="00000000" w:rsidRDefault="009027A3">
      <w:pPr>
        <w:pStyle w:val="a3"/>
        <w:spacing w:before="0" w:beforeAutospacing="0" w:after="0" w:afterAutospacing="0"/>
        <w:jc w:val="both"/>
        <w:rPr>
          <w:sz w:val="20"/>
          <w:szCs w:val="20"/>
        </w:rPr>
      </w:pPr>
      <w:r>
        <w:rPr>
          <w:sz w:val="20"/>
          <w:szCs w:val="20"/>
        </w:rPr>
        <w:t> </w:t>
      </w:r>
    </w:p>
    <w:p w14:paraId="09C7BDF4" w14:textId="77777777" w:rsidR="00000000" w:rsidRDefault="009027A3">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 Leases with a term of less than 12 months are not recor</w:t>
      </w:r>
      <w:r>
        <w:rPr>
          <w:sz w:val="20"/>
          <w:szCs w:val="20"/>
        </w:rPr>
        <w:t>ded in the condensed consolidated balance sheets. Our lease agreements do not contain any residual value guarantees. For real estate leases, we account for the lease and non-lease components as a single lease component. Some leases include escalation claus</w:t>
      </w:r>
      <w:r>
        <w:rPr>
          <w:sz w:val="20"/>
          <w:szCs w:val="20"/>
        </w:rPr>
        <w:t>es and termination options that are factored in the determination of the lease payments when appropriate.</w:t>
      </w:r>
    </w:p>
    <w:p w14:paraId="4ECF023F"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44E8498" w14:textId="77777777">
        <w:trPr>
          <w:divId w:val="41640355"/>
        </w:trPr>
        <w:tc>
          <w:tcPr>
            <w:tcW w:w="5000" w:type="pct"/>
            <w:hideMark/>
          </w:tcPr>
          <w:p w14:paraId="76960519"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089B1432" w14:textId="77777777">
        <w:tc>
          <w:tcPr>
            <w:tcW w:w="5000" w:type="pct"/>
            <w:hideMark/>
          </w:tcPr>
          <w:p w14:paraId="0341A672" w14:textId="77777777" w:rsidR="00000000" w:rsidRDefault="009027A3">
            <w:pPr>
              <w:rPr>
                <w:rFonts w:eastAsia="Times New Roman"/>
                <w:sz w:val="20"/>
                <w:szCs w:val="20"/>
              </w:rPr>
            </w:pPr>
            <w:r>
              <w:rPr>
                <w:rFonts w:eastAsia="Times New Roman"/>
                <w:sz w:val="20"/>
                <w:szCs w:val="20"/>
              </w:rPr>
              <w:t> </w:t>
            </w:r>
          </w:p>
        </w:tc>
      </w:tr>
    </w:tbl>
    <w:p w14:paraId="40627F29" w14:textId="77777777" w:rsidR="00000000" w:rsidRDefault="009027A3">
      <w:pPr>
        <w:pStyle w:val="a3"/>
        <w:spacing w:before="0" w:beforeAutospacing="0" w:after="0" w:afterAutospacing="0"/>
        <w:jc w:val="both"/>
        <w:rPr>
          <w:sz w:val="20"/>
          <w:szCs w:val="20"/>
        </w:rPr>
      </w:pPr>
      <w:r>
        <w:rPr>
          <w:sz w:val="20"/>
          <w:szCs w:val="20"/>
        </w:rPr>
        <w:t> </w:t>
      </w:r>
    </w:p>
    <w:p w14:paraId="1DB50CD2" w14:textId="77777777" w:rsidR="00000000" w:rsidRDefault="009027A3">
      <w:pPr>
        <w:pStyle w:val="a3"/>
        <w:spacing w:before="0" w:beforeAutospacing="0" w:after="0" w:afterAutospacing="0"/>
        <w:jc w:val="both"/>
        <w:rPr>
          <w:sz w:val="20"/>
          <w:szCs w:val="20"/>
        </w:rPr>
      </w:pPr>
      <w:r>
        <w:rPr>
          <w:sz w:val="20"/>
          <w:szCs w:val="20"/>
        </w:rPr>
        <w:t xml:space="preserve">If a lease is modified after the effective date, the operating lease ROU asset and liability is re-measured using the current incremental </w:t>
      </w:r>
      <w:r>
        <w:rPr>
          <w:sz w:val="20"/>
          <w:szCs w:val="20"/>
        </w:rPr>
        <w:t>borrowing rate. During the three months ended March 31, 2021, there were $243,000 of unoccupied lease charges for two of the Company’s facilities. During the three months ended March 31, 2020, a lease impairment of approximately $297,000 was recorded since</w:t>
      </w:r>
      <w:r>
        <w:rPr>
          <w:sz w:val="20"/>
          <w:szCs w:val="20"/>
        </w:rPr>
        <w:t xml:space="preserve"> the Company is no longer using one of its leased facilities.</w:t>
      </w:r>
    </w:p>
    <w:p w14:paraId="45B9A30A" w14:textId="77777777" w:rsidR="00000000" w:rsidRDefault="009027A3">
      <w:pPr>
        <w:pStyle w:val="a3"/>
        <w:spacing w:before="0" w:beforeAutospacing="0" w:after="0" w:afterAutospacing="0"/>
        <w:jc w:val="both"/>
        <w:rPr>
          <w:sz w:val="20"/>
          <w:szCs w:val="20"/>
        </w:rPr>
      </w:pPr>
      <w:r>
        <w:rPr>
          <w:sz w:val="20"/>
          <w:szCs w:val="20"/>
        </w:rPr>
        <w:t> </w:t>
      </w:r>
    </w:p>
    <w:p w14:paraId="7DB08CCC" w14:textId="77777777" w:rsidR="00000000" w:rsidRDefault="009027A3">
      <w:pPr>
        <w:pStyle w:val="a3"/>
        <w:spacing w:before="0" w:beforeAutospacing="0" w:after="0" w:afterAutospacing="0"/>
        <w:jc w:val="both"/>
        <w:rPr>
          <w:sz w:val="20"/>
          <w:szCs w:val="20"/>
        </w:rPr>
      </w:pPr>
      <w:r>
        <w:rPr>
          <w:sz w:val="20"/>
          <w:szCs w:val="20"/>
        </w:rPr>
        <w:t>In February 2021, the Company was able to settle one of the lease obligations assumed in connection with the Meridian acquisition for an amount that approximated the remaining lease liability.</w:t>
      </w:r>
    </w:p>
    <w:p w14:paraId="791669F6" w14:textId="77777777" w:rsidR="00000000" w:rsidRDefault="009027A3">
      <w:pPr>
        <w:pStyle w:val="a3"/>
        <w:spacing w:before="0" w:beforeAutospacing="0" w:after="0" w:afterAutospacing="0"/>
        <w:jc w:val="both"/>
        <w:rPr>
          <w:sz w:val="20"/>
          <w:szCs w:val="20"/>
        </w:rPr>
      </w:pPr>
      <w:r>
        <w:rPr>
          <w:sz w:val="20"/>
          <w:szCs w:val="20"/>
        </w:rPr>
        <w:t> </w:t>
      </w:r>
    </w:p>
    <w:p w14:paraId="6BEC0C4F" w14:textId="77777777" w:rsidR="00000000" w:rsidRDefault="009027A3">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and general and administrative expenses in the condensed consolidated statements of operations based on the nature of the expense. As of March 31, 202</w:t>
      </w:r>
      <w:r>
        <w:rPr>
          <w:sz w:val="20"/>
          <w:szCs w:val="20"/>
        </w:rPr>
        <w:t>1, we had 36 leased properties, five in Practice Management and 31 in Healthcare IT, with remaining terms ranging from less than one year to five years. Our lease terms are determined taking into account lease renewal options, the Company’s anticipated ope</w:t>
      </w:r>
      <w:r>
        <w:rPr>
          <w:sz w:val="20"/>
          <w:szCs w:val="20"/>
        </w:rPr>
        <w:t>rating plans and leases that are on a month-to-month basis. We also have some related party leases – see Note 9.</w:t>
      </w:r>
    </w:p>
    <w:p w14:paraId="59A11BF9" w14:textId="77777777" w:rsidR="00000000" w:rsidRDefault="009027A3">
      <w:pPr>
        <w:pStyle w:val="a3"/>
        <w:spacing w:before="0" w:beforeAutospacing="0" w:after="0" w:afterAutospacing="0"/>
        <w:jc w:val="both"/>
        <w:rPr>
          <w:sz w:val="20"/>
          <w:szCs w:val="20"/>
        </w:rPr>
      </w:pPr>
      <w:r>
        <w:rPr>
          <w:sz w:val="20"/>
          <w:szCs w:val="20"/>
        </w:rPr>
        <w:t> </w:t>
      </w:r>
    </w:p>
    <w:p w14:paraId="14BB013E" w14:textId="77777777" w:rsidR="00000000" w:rsidRDefault="009027A3">
      <w:pPr>
        <w:pStyle w:val="a3"/>
        <w:spacing w:before="0" w:beforeAutospacing="0" w:after="0" w:afterAutospacing="0"/>
        <w:jc w:val="both"/>
        <w:rPr>
          <w:sz w:val="20"/>
          <w:szCs w:val="20"/>
        </w:rPr>
      </w:pPr>
      <w:r>
        <w:rPr>
          <w:sz w:val="20"/>
          <w:szCs w:val="20"/>
        </w:rPr>
        <w:t>The components of lease expense were as follows:</w:t>
      </w:r>
    </w:p>
    <w:p w14:paraId="652B5C92" w14:textId="77777777" w:rsidR="00000000" w:rsidRDefault="009027A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970"/>
        <w:gridCol w:w="80"/>
        <w:gridCol w:w="100"/>
        <w:gridCol w:w="777"/>
        <w:gridCol w:w="50"/>
        <w:gridCol w:w="80"/>
        <w:gridCol w:w="100"/>
        <w:gridCol w:w="777"/>
        <w:gridCol w:w="50"/>
      </w:tblGrid>
      <w:tr w:rsidR="00000000" w14:paraId="27B6B10B" w14:textId="77777777">
        <w:tc>
          <w:tcPr>
            <w:tcW w:w="0" w:type="auto"/>
            <w:vAlign w:val="bottom"/>
            <w:hideMark/>
          </w:tcPr>
          <w:p w14:paraId="4B8B3DF5"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D4AF94"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56096DB" w14:textId="77777777" w:rsidR="00000000" w:rsidRDefault="009027A3">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w:t>
            </w:r>
          </w:p>
        </w:tc>
        <w:tc>
          <w:tcPr>
            <w:tcW w:w="0" w:type="auto"/>
            <w:tcMar>
              <w:top w:w="0" w:type="dxa"/>
              <w:left w:w="0" w:type="dxa"/>
              <w:bottom w:w="30" w:type="dxa"/>
              <w:right w:w="0" w:type="dxa"/>
            </w:tcMar>
            <w:vAlign w:val="bottom"/>
            <w:hideMark/>
          </w:tcPr>
          <w:p w14:paraId="15884473" w14:textId="77777777" w:rsidR="00000000" w:rsidRDefault="009027A3">
            <w:pPr>
              <w:rPr>
                <w:rFonts w:eastAsia="Times New Roman"/>
                <w:b/>
                <w:bCs/>
                <w:sz w:val="20"/>
                <w:szCs w:val="20"/>
              </w:rPr>
            </w:pPr>
            <w:r>
              <w:rPr>
                <w:rFonts w:eastAsia="Times New Roman"/>
                <w:b/>
                <w:bCs/>
                <w:sz w:val="20"/>
                <w:szCs w:val="20"/>
              </w:rPr>
              <w:t> </w:t>
            </w:r>
          </w:p>
        </w:tc>
      </w:tr>
      <w:tr w:rsidR="00000000" w14:paraId="019146E4" w14:textId="77777777">
        <w:tc>
          <w:tcPr>
            <w:tcW w:w="0" w:type="auto"/>
            <w:vAlign w:val="bottom"/>
            <w:hideMark/>
          </w:tcPr>
          <w:p w14:paraId="26B2AE7E"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DCD3C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5B5D92E"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C5989A8"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02EAF7"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FCE62B"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516AA54" w14:textId="77777777" w:rsidR="00000000" w:rsidRDefault="009027A3">
            <w:pPr>
              <w:rPr>
                <w:rFonts w:eastAsia="Times New Roman"/>
                <w:b/>
                <w:bCs/>
                <w:sz w:val="20"/>
                <w:szCs w:val="20"/>
              </w:rPr>
            </w:pPr>
            <w:r>
              <w:rPr>
                <w:rFonts w:eastAsia="Times New Roman"/>
                <w:b/>
                <w:bCs/>
                <w:sz w:val="20"/>
                <w:szCs w:val="20"/>
              </w:rPr>
              <w:t> </w:t>
            </w:r>
          </w:p>
        </w:tc>
      </w:tr>
      <w:tr w:rsidR="00000000" w14:paraId="32C62442" w14:textId="77777777">
        <w:tc>
          <w:tcPr>
            <w:tcW w:w="0" w:type="auto"/>
            <w:vAlign w:val="bottom"/>
            <w:hideMark/>
          </w:tcPr>
          <w:p w14:paraId="3D593B5F"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3477B3D"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Mar>
              <w:top w:w="0" w:type="dxa"/>
              <w:left w:w="0" w:type="dxa"/>
              <w:bottom w:w="30" w:type="dxa"/>
              <w:right w:w="0" w:type="dxa"/>
            </w:tcMar>
            <w:vAlign w:val="bottom"/>
            <w:hideMark/>
          </w:tcPr>
          <w:p w14:paraId="084F9C4B" w14:textId="77777777" w:rsidR="00000000" w:rsidRDefault="009027A3">
            <w:pPr>
              <w:jc w:val="center"/>
              <w:rPr>
                <w:rFonts w:eastAsia="Times New Roman"/>
                <w:b/>
                <w:bCs/>
                <w:sz w:val="20"/>
                <w:szCs w:val="20"/>
              </w:rPr>
            </w:pPr>
            <w:r>
              <w:rPr>
                <w:rFonts w:eastAsia="Times New Roman"/>
                <w:b/>
                <w:bCs/>
                <w:sz w:val="20"/>
                <w:szCs w:val="20"/>
              </w:rPr>
              <w:t>($ in thousands)</w:t>
            </w:r>
          </w:p>
        </w:tc>
        <w:tc>
          <w:tcPr>
            <w:tcW w:w="0" w:type="auto"/>
            <w:tcMar>
              <w:top w:w="0" w:type="dxa"/>
              <w:left w:w="0" w:type="dxa"/>
              <w:bottom w:w="30" w:type="dxa"/>
              <w:right w:w="0" w:type="dxa"/>
            </w:tcMar>
            <w:vAlign w:val="bottom"/>
            <w:hideMark/>
          </w:tcPr>
          <w:p w14:paraId="712BA782" w14:textId="77777777" w:rsidR="00000000" w:rsidRDefault="009027A3">
            <w:pPr>
              <w:rPr>
                <w:rFonts w:eastAsia="Times New Roman"/>
                <w:b/>
                <w:bCs/>
                <w:sz w:val="20"/>
                <w:szCs w:val="20"/>
              </w:rPr>
            </w:pPr>
            <w:r>
              <w:rPr>
                <w:rFonts w:eastAsia="Times New Roman"/>
                <w:b/>
                <w:bCs/>
                <w:sz w:val="20"/>
                <w:szCs w:val="20"/>
              </w:rPr>
              <w:t> </w:t>
            </w:r>
          </w:p>
        </w:tc>
      </w:tr>
      <w:tr w:rsidR="00000000" w14:paraId="3785DB63" w14:textId="77777777">
        <w:tc>
          <w:tcPr>
            <w:tcW w:w="3000" w:type="pct"/>
            <w:shd w:val="clear" w:color="auto" w:fill="CCEEFF"/>
            <w:vAlign w:val="bottom"/>
            <w:hideMark/>
          </w:tcPr>
          <w:p w14:paraId="7669BF88" w14:textId="77777777" w:rsidR="00000000" w:rsidRDefault="009027A3">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51E5B02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3A9CC"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68B5EAF2" w14:textId="77777777" w:rsidR="00000000" w:rsidRDefault="009027A3">
            <w:pPr>
              <w:jc w:val="right"/>
              <w:rPr>
                <w:rFonts w:eastAsia="Times New Roman"/>
                <w:sz w:val="20"/>
                <w:szCs w:val="20"/>
              </w:rPr>
            </w:pPr>
            <w:r>
              <w:rPr>
                <w:rFonts w:eastAsia="Times New Roman"/>
                <w:sz w:val="20"/>
                <w:szCs w:val="20"/>
              </w:rPr>
              <w:t>1,057</w:t>
            </w:r>
          </w:p>
        </w:tc>
        <w:tc>
          <w:tcPr>
            <w:tcW w:w="50" w:type="pct"/>
            <w:shd w:val="clear" w:color="auto" w:fill="CCEEFF"/>
            <w:vAlign w:val="bottom"/>
            <w:hideMark/>
          </w:tcPr>
          <w:p w14:paraId="26033F3A"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59D4A7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3EB27C"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26523789" w14:textId="77777777" w:rsidR="00000000" w:rsidRDefault="009027A3">
            <w:pPr>
              <w:jc w:val="right"/>
              <w:rPr>
                <w:rFonts w:eastAsia="Times New Roman"/>
                <w:sz w:val="20"/>
                <w:szCs w:val="20"/>
              </w:rPr>
            </w:pPr>
            <w:r>
              <w:rPr>
                <w:rFonts w:eastAsia="Times New Roman"/>
                <w:sz w:val="20"/>
                <w:szCs w:val="20"/>
              </w:rPr>
              <w:t>800</w:t>
            </w:r>
          </w:p>
        </w:tc>
        <w:tc>
          <w:tcPr>
            <w:tcW w:w="50" w:type="pct"/>
            <w:shd w:val="clear" w:color="auto" w:fill="CCEEFF"/>
            <w:vAlign w:val="bottom"/>
            <w:hideMark/>
          </w:tcPr>
          <w:p w14:paraId="3B29393E" w14:textId="77777777" w:rsidR="00000000" w:rsidRDefault="009027A3">
            <w:pPr>
              <w:rPr>
                <w:rFonts w:eastAsia="Times New Roman"/>
                <w:sz w:val="20"/>
                <w:szCs w:val="20"/>
              </w:rPr>
            </w:pPr>
            <w:r>
              <w:rPr>
                <w:rFonts w:eastAsia="Times New Roman"/>
                <w:sz w:val="20"/>
                <w:szCs w:val="20"/>
              </w:rPr>
              <w:t> </w:t>
            </w:r>
          </w:p>
        </w:tc>
      </w:tr>
      <w:tr w:rsidR="00000000" w14:paraId="5C7F1C25" w14:textId="77777777">
        <w:tc>
          <w:tcPr>
            <w:tcW w:w="0" w:type="auto"/>
            <w:shd w:val="clear" w:color="auto" w:fill="FFFFFF"/>
            <w:vAlign w:val="bottom"/>
            <w:hideMark/>
          </w:tcPr>
          <w:p w14:paraId="253E32F8" w14:textId="77777777" w:rsidR="00000000" w:rsidRDefault="009027A3">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5E360A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4E97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25E597" w14:textId="77777777" w:rsidR="00000000" w:rsidRDefault="009027A3">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14:paraId="0CE58A9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2167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5F1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02C75" w14:textId="77777777" w:rsidR="00000000" w:rsidRDefault="009027A3">
            <w:pPr>
              <w:jc w:val="right"/>
              <w:rPr>
                <w:rFonts w:eastAsia="Times New Roman"/>
                <w:sz w:val="20"/>
                <w:szCs w:val="20"/>
              </w:rPr>
            </w:pPr>
            <w:r>
              <w:rPr>
                <w:rFonts w:eastAsia="Times New Roman"/>
                <w:sz w:val="20"/>
                <w:szCs w:val="20"/>
              </w:rPr>
              <w:t>9</w:t>
            </w:r>
          </w:p>
        </w:tc>
        <w:tc>
          <w:tcPr>
            <w:tcW w:w="0" w:type="auto"/>
            <w:shd w:val="clear" w:color="auto" w:fill="FFFFFF"/>
            <w:vAlign w:val="bottom"/>
            <w:hideMark/>
          </w:tcPr>
          <w:p w14:paraId="1D763FED" w14:textId="77777777" w:rsidR="00000000" w:rsidRDefault="009027A3">
            <w:pPr>
              <w:rPr>
                <w:rFonts w:eastAsia="Times New Roman"/>
                <w:sz w:val="20"/>
                <w:szCs w:val="20"/>
              </w:rPr>
            </w:pPr>
            <w:r>
              <w:rPr>
                <w:rFonts w:eastAsia="Times New Roman"/>
                <w:sz w:val="20"/>
                <w:szCs w:val="20"/>
              </w:rPr>
              <w:t> </w:t>
            </w:r>
          </w:p>
        </w:tc>
      </w:tr>
      <w:tr w:rsidR="00000000" w14:paraId="795F4D89" w14:textId="77777777">
        <w:tc>
          <w:tcPr>
            <w:tcW w:w="0" w:type="auto"/>
            <w:shd w:val="clear" w:color="auto" w:fill="CCEEFF"/>
            <w:tcMar>
              <w:top w:w="0" w:type="dxa"/>
              <w:left w:w="0" w:type="dxa"/>
              <w:bottom w:w="30" w:type="dxa"/>
              <w:right w:w="0" w:type="dxa"/>
            </w:tcMar>
            <w:vAlign w:val="bottom"/>
            <w:hideMark/>
          </w:tcPr>
          <w:p w14:paraId="1367A85D" w14:textId="77777777" w:rsidR="00000000" w:rsidRDefault="009027A3">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0AB2A10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D72CB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DBD076" w14:textId="77777777" w:rsidR="00000000" w:rsidRDefault="009027A3">
            <w:pPr>
              <w:jc w:val="right"/>
              <w:rPr>
                <w:rFonts w:eastAsia="Times New Roman"/>
                <w:sz w:val="20"/>
                <w:szCs w:val="20"/>
              </w:rPr>
            </w:pPr>
            <w:r>
              <w:rPr>
                <w:rFonts w:eastAsia="Times New Roman"/>
                <w:sz w:val="20"/>
                <w:szCs w:val="20"/>
              </w:rPr>
              <w:t>6</w:t>
            </w:r>
          </w:p>
        </w:tc>
        <w:tc>
          <w:tcPr>
            <w:tcW w:w="0" w:type="auto"/>
            <w:shd w:val="clear" w:color="auto" w:fill="CCEEFF"/>
            <w:tcMar>
              <w:top w:w="0" w:type="dxa"/>
              <w:left w:w="0" w:type="dxa"/>
              <w:bottom w:w="30" w:type="dxa"/>
              <w:right w:w="0" w:type="dxa"/>
            </w:tcMar>
            <w:vAlign w:val="bottom"/>
            <w:hideMark/>
          </w:tcPr>
          <w:p w14:paraId="29D9002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4E6EAD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CC602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915910" w14:textId="77777777" w:rsidR="00000000" w:rsidRDefault="009027A3">
            <w:pPr>
              <w:jc w:val="right"/>
              <w:rPr>
                <w:rFonts w:eastAsia="Times New Roman"/>
                <w:sz w:val="20"/>
                <w:szCs w:val="20"/>
              </w:rPr>
            </w:pPr>
            <w:r>
              <w:rPr>
                <w:rFonts w:eastAsia="Times New Roman"/>
                <w:sz w:val="20"/>
                <w:szCs w:val="20"/>
              </w:rPr>
              <w:t>13</w:t>
            </w:r>
          </w:p>
        </w:tc>
        <w:tc>
          <w:tcPr>
            <w:tcW w:w="0" w:type="auto"/>
            <w:shd w:val="clear" w:color="auto" w:fill="CCEEFF"/>
            <w:tcMar>
              <w:top w:w="0" w:type="dxa"/>
              <w:left w:w="0" w:type="dxa"/>
              <w:bottom w:w="30" w:type="dxa"/>
              <w:right w:w="0" w:type="dxa"/>
            </w:tcMar>
            <w:vAlign w:val="bottom"/>
            <w:hideMark/>
          </w:tcPr>
          <w:p w14:paraId="03128AB1" w14:textId="77777777" w:rsidR="00000000" w:rsidRDefault="009027A3">
            <w:pPr>
              <w:rPr>
                <w:rFonts w:eastAsia="Times New Roman"/>
                <w:sz w:val="20"/>
                <w:szCs w:val="20"/>
              </w:rPr>
            </w:pPr>
            <w:r>
              <w:rPr>
                <w:rFonts w:eastAsia="Times New Roman"/>
                <w:sz w:val="20"/>
                <w:szCs w:val="20"/>
              </w:rPr>
              <w:t> </w:t>
            </w:r>
          </w:p>
        </w:tc>
      </w:tr>
      <w:tr w:rsidR="00000000" w14:paraId="1FAE3F06" w14:textId="77777777">
        <w:tc>
          <w:tcPr>
            <w:tcW w:w="0" w:type="auto"/>
            <w:shd w:val="clear" w:color="auto" w:fill="FFFFFF"/>
            <w:tcMar>
              <w:top w:w="0" w:type="dxa"/>
              <w:left w:w="0" w:type="dxa"/>
              <w:bottom w:w="50" w:type="dxa"/>
              <w:right w:w="0" w:type="dxa"/>
            </w:tcMar>
            <w:vAlign w:val="bottom"/>
            <w:hideMark/>
          </w:tcPr>
          <w:p w14:paraId="582E8B8A" w14:textId="77777777" w:rsidR="00000000" w:rsidRDefault="009027A3">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0CAC06F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945021"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AD2DB60" w14:textId="77777777" w:rsidR="00000000" w:rsidRDefault="009027A3">
            <w:pPr>
              <w:jc w:val="right"/>
              <w:rPr>
                <w:rFonts w:eastAsia="Times New Roman"/>
                <w:sz w:val="20"/>
                <w:szCs w:val="20"/>
              </w:rPr>
            </w:pPr>
            <w:r>
              <w:rPr>
                <w:rFonts w:eastAsia="Times New Roman"/>
                <w:sz w:val="20"/>
                <w:szCs w:val="20"/>
              </w:rPr>
              <w:t>1,085</w:t>
            </w:r>
          </w:p>
        </w:tc>
        <w:tc>
          <w:tcPr>
            <w:tcW w:w="0" w:type="auto"/>
            <w:shd w:val="clear" w:color="auto" w:fill="FFFFFF"/>
            <w:tcMar>
              <w:top w:w="0" w:type="dxa"/>
              <w:left w:w="0" w:type="dxa"/>
              <w:bottom w:w="50" w:type="dxa"/>
              <w:right w:w="0" w:type="dxa"/>
            </w:tcMar>
            <w:vAlign w:val="bottom"/>
            <w:hideMark/>
          </w:tcPr>
          <w:p w14:paraId="6636E67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3342EF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3FB4586"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A70690" w14:textId="77777777" w:rsidR="00000000" w:rsidRDefault="009027A3">
            <w:pPr>
              <w:jc w:val="right"/>
              <w:rPr>
                <w:rFonts w:eastAsia="Times New Roman"/>
                <w:sz w:val="20"/>
                <w:szCs w:val="20"/>
              </w:rPr>
            </w:pPr>
            <w:r>
              <w:rPr>
                <w:rFonts w:eastAsia="Times New Roman"/>
                <w:sz w:val="20"/>
                <w:szCs w:val="20"/>
              </w:rPr>
              <w:t>822</w:t>
            </w:r>
          </w:p>
        </w:tc>
        <w:tc>
          <w:tcPr>
            <w:tcW w:w="0" w:type="auto"/>
            <w:shd w:val="clear" w:color="auto" w:fill="FFFFFF"/>
            <w:tcMar>
              <w:top w:w="0" w:type="dxa"/>
              <w:left w:w="0" w:type="dxa"/>
              <w:bottom w:w="50" w:type="dxa"/>
              <w:right w:w="0" w:type="dxa"/>
            </w:tcMar>
            <w:vAlign w:val="bottom"/>
            <w:hideMark/>
          </w:tcPr>
          <w:p w14:paraId="57B396D5" w14:textId="77777777" w:rsidR="00000000" w:rsidRDefault="009027A3">
            <w:pPr>
              <w:rPr>
                <w:rFonts w:eastAsia="Times New Roman"/>
                <w:sz w:val="20"/>
                <w:szCs w:val="20"/>
              </w:rPr>
            </w:pPr>
            <w:r>
              <w:rPr>
                <w:rFonts w:eastAsia="Times New Roman"/>
                <w:sz w:val="20"/>
                <w:szCs w:val="20"/>
              </w:rPr>
              <w:t> </w:t>
            </w:r>
          </w:p>
        </w:tc>
      </w:tr>
    </w:tbl>
    <w:p w14:paraId="7AB49441" w14:textId="77777777" w:rsidR="00000000" w:rsidRDefault="009027A3">
      <w:pPr>
        <w:pStyle w:val="a3"/>
        <w:spacing w:before="0" w:beforeAutospacing="0" w:after="0" w:afterAutospacing="0"/>
        <w:jc w:val="both"/>
        <w:rPr>
          <w:sz w:val="20"/>
          <w:szCs w:val="20"/>
        </w:rPr>
      </w:pPr>
      <w:r>
        <w:rPr>
          <w:sz w:val="20"/>
          <w:szCs w:val="20"/>
        </w:rPr>
        <w:t> </w:t>
      </w:r>
    </w:p>
    <w:p w14:paraId="7CA881F6" w14:textId="77777777" w:rsidR="00000000" w:rsidRDefault="009027A3">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2021 or the beginning of the lease was less than 12 months. Variable lease costs include utilities, real estate taxes and common area maintenance costs.</w:t>
      </w:r>
    </w:p>
    <w:p w14:paraId="678EC069" w14:textId="77777777" w:rsidR="00000000" w:rsidRDefault="009027A3">
      <w:pPr>
        <w:pStyle w:val="a3"/>
        <w:spacing w:before="0" w:beforeAutospacing="0" w:after="0" w:afterAutospacing="0"/>
        <w:jc w:val="both"/>
        <w:rPr>
          <w:sz w:val="20"/>
          <w:szCs w:val="20"/>
        </w:rPr>
      </w:pPr>
      <w:r>
        <w:rPr>
          <w:sz w:val="20"/>
          <w:szCs w:val="20"/>
        </w:rPr>
        <w:t> </w:t>
      </w:r>
    </w:p>
    <w:p w14:paraId="6A787AB2" w14:textId="77777777" w:rsidR="00000000" w:rsidRDefault="009027A3">
      <w:pPr>
        <w:pStyle w:val="a3"/>
        <w:spacing w:before="0" w:beforeAutospacing="0" w:after="0" w:afterAutospacing="0"/>
        <w:jc w:val="both"/>
        <w:rPr>
          <w:sz w:val="20"/>
          <w:szCs w:val="20"/>
        </w:rPr>
      </w:pPr>
      <w:r>
        <w:rPr>
          <w:sz w:val="20"/>
          <w:szCs w:val="20"/>
        </w:rPr>
        <w:t>Supplemental balance sheet information related to leases was as follows:</w:t>
      </w:r>
    </w:p>
    <w:p w14:paraId="2B07F6DA"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43"/>
        <w:gridCol w:w="125"/>
        <w:gridCol w:w="100"/>
        <w:gridCol w:w="1289"/>
        <w:gridCol w:w="167"/>
        <w:gridCol w:w="126"/>
        <w:gridCol w:w="100"/>
        <w:gridCol w:w="1289"/>
        <w:gridCol w:w="167"/>
      </w:tblGrid>
      <w:tr w:rsidR="00000000" w14:paraId="22E4AEDC" w14:textId="77777777">
        <w:tc>
          <w:tcPr>
            <w:tcW w:w="0" w:type="auto"/>
            <w:vAlign w:val="bottom"/>
            <w:hideMark/>
          </w:tcPr>
          <w:p w14:paraId="6B95CA28"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794CE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872065" w14:textId="77777777" w:rsidR="00000000" w:rsidRDefault="009027A3">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4EF26F46"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A3AD31"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3805B2" w14:textId="77777777" w:rsidR="00000000" w:rsidRDefault="009027A3">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073F4FCA" w14:textId="77777777" w:rsidR="00000000" w:rsidRDefault="009027A3">
            <w:pPr>
              <w:rPr>
                <w:rFonts w:eastAsia="Times New Roman"/>
                <w:b/>
                <w:bCs/>
                <w:sz w:val="20"/>
                <w:szCs w:val="20"/>
              </w:rPr>
            </w:pPr>
            <w:r>
              <w:rPr>
                <w:rFonts w:eastAsia="Times New Roman"/>
                <w:b/>
                <w:bCs/>
                <w:sz w:val="20"/>
                <w:szCs w:val="20"/>
              </w:rPr>
              <w:t> </w:t>
            </w:r>
          </w:p>
        </w:tc>
      </w:tr>
      <w:tr w:rsidR="00000000" w14:paraId="14C713F0" w14:textId="77777777">
        <w:tc>
          <w:tcPr>
            <w:tcW w:w="0" w:type="auto"/>
            <w:shd w:val="clear" w:color="auto" w:fill="FFFFFF"/>
            <w:vAlign w:val="bottom"/>
            <w:hideMark/>
          </w:tcPr>
          <w:p w14:paraId="3A14E36C" w14:textId="77777777" w:rsidR="00000000" w:rsidRDefault="009027A3">
            <w:pPr>
              <w:rPr>
                <w:rFonts w:eastAsia="Times New Roman"/>
                <w:b/>
                <w:bCs/>
                <w:sz w:val="20"/>
                <w:szCs w:val="20"/>
              </w:rPr>
            </w:pPr>
          </w:p>
        </w:tc>
        <w:tc>
          <w:tcPr>
            <w:tcW w:w="0" w:type="auto"/>
            <w:shd w:val="clear" w:color="auto" w:fill="FFFFFF"/>
            <w:vAlign w:val="bottom"/>
            <w:hideMark/>
          </w:tcPr>
          <w:p w14:paraId="4E65743C" w14:textId="77777777" w:rsidR="00000000" w:rsidRDefault="009027A3">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14:paraId="2528FF02" w14:textId="77777777" w:rsidR="00000000" w:rsidRDefault="009027A3">
            <w:pPr>
              <w:jc w:val="center"/>
              <w:rPr>
                <w:rFonts w:eastAsia="Times New Roman"/>
                <w:sz w:val="20"/>
                <w:szCs w:val="20"/>
              </w:rPr>
            </w:pPr>
            <w:r>
              <w:rPr>
                <w:rFonts w:eastAsia="Times New Roman"/>
                <w:sz w:val="20"/>
                <w:szCs w:val="20"/>
              </w:rPr>
              <w:t>($ in thousands)</w:t>
            </w:r>
          </w:p>
        </w:tc>
        <w:tc>
          <w:tcPr>
            <w:tcW w:w="0" w:type="auto"/>
            <w:shd w:val="clear" w:color="auto" w:fill="FFFFFF"/>
            <w:vAlign w:val="bottom"/>
            <w:hideMark/>
          </w:tcPr>
          <w:p w14:paraId="30CBC811" w14:textId="77777777" w:rsidR="00000000" w:rsidRDefault="009027A3">
            <w:pPr>
              <w:rPr>
                <w:rFonts w:eastAsia="Times New Roman"/>
                <w:sz w:val="20"/>
                <w:szCs w:val="20"/>
              </w:rPr>
            </w:pPr>
            <w:r>
              <w:rPr>
                <w:rFonts w:eastAsia="Times New Roman"/>
                <w:sz w:val="20"/>
                <w:szCs w:val="20"/>
              </w:rPr>
              <w:t> </w:t>
            </w:r>
          </w:p>
        </w:tc>
      </w:tr>
      <w:tr w:rsidR="00000000" w14:paraId="2A358452" w14:textId="77777777">
        <w:tc>
          <w:tcPr>
            <w:tcW w:w="0" w:type="auto"/>
            <w:shd w:val="clear" w:color="auto" w:fill="CCEEFF"/>
            <w:vAlign w:val="bottom"/>
            <w:hideMark/>
          </w:tcPr>
          <w:p w14:paraId="345496E9" w14:textId="77777777" w:rsidR="00000000" w:rsidRDefault="009027A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2C2E2F61" w14:textId="77777777" w:rsidR="00000000" w:rsidRDefault="009027A3">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14:paraId="02DC61B3" w14:textId="77777777" w:rsidR="00000000" w:rsidRDefault="009027A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B9CD21D" w14:textId="77777777" w:rsidR="00000000" w:rsidRDefault="009027A3">
            <w:pPr>
              <w:rPr>
                <w:rFonts w:eastAsia="Times New Roman"/>
                <w:sz w:val="20"/>
                <w:szCs w:val="20"/>
              </w:rPr>
            </w:pPr>
            <w:r>
              <w:rPr>
                <w:rFonts w:eastAsia="Times New Roman"/>
                <w:sz w:val="20"/>
                <w:szCs w:val="20"/>
              </w:rPr>
              <w:t> </w:t>
            </w:r>
          </w:p>
        </w:tc>
      </w:tr>
      <w:tr w:rsidR="00000000" w14:paraId="267B7ED1" w14:textId="77777777">
        <w:tc>
          <w:tcPr>
            <w:tcW w:w="3000" w:type="pct"/>
            <w:shd w:val="clear" w:color="auto" w:fill="FFFFFF"/>
            <w:tcMar>
              <w:top w:w="0" w:type="dxa"/>
              <w:left w:w="200" w:type="dxa"/>
              <w:bottom w:w="0" w:type="dxa"/>
              <w:right w:w="0" w:type="dxa"/>
            </w:tcMar>
            <w:vAlign w:val="bottom"/>
            <w:hideMark/>
          </w:tcPr>
          <w:p w14:paraId="622209D7" w14:textId="77777777" w:rsidR="00000000" w:rsidRDefault="009027A3">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14:paraId="4EE064F5"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8DDB68"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0A26D470" w14:textId="77777777" w:rsidR="00000000" w:rsidRDefault="009027A3">
            <w:pPr>
              <w:jc w:val="right"/>
              <w:rPr>
                <w:rFonts w:eastAsia="Times New Roman"/>
                <w:sz w:val="20"/>
                <w:szCs w:val="20"/>
              </w:rPr>
            </w:pPr>
            <w:r>
              <w:rPr>
                <w:rFonts w:eastAsia="Times New Roman"/>
                <w:sz w:val="20"/>
                <w:szCs w:val="20"/>
              </w:rPr>
              <w:t>7,075</w:t>
            </w:r>
          </w:p>
        </w:tc>
        <w:tc>
          <w:tcPr>
            <w:tcW w:w="50" w:type="pct"/>
            <w:shd w:val="clear" w:color="auto" w:fill="FFFFFF"/>
            <w:vAlign w:val="bottom"/>
            <w:hideMark/>
          </w:tcPr>
          <w:p w14:paraId="0EB0943F"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733FA46"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150A8D"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124282C4" w14:textId="77777777" w:rsidR="00000000" w:rsidRDefault="009027A3">
            <w:pPr>
              <w:jc w:val="right"/>
              <w:rPr>
                <w:rFonts w:eastAsia="Times New Roman"/>
                <w:sz w:val="20"/>
                <w:szCs w:val="20"/>
              </w:rPr>
            </w:pPr>
            <w:r>
              <w:rPr>
                <w:rFonts w:eastAsia="Times New Roman"/>
                <w:sz w:val="20"/>
                <w:szCs w:val="20"/>
              </w:rPr>
              <w:t>7,743</w:t>
            </w:r>
          </w:p>
        </w:tc>
        <w:tc>
          <w:tcPr>
            <w:tcW w:w="50" w:type="pct"/>
            <w:shd w:val="clear" w:color="auto" w:fill="FFFFFF"/>
            <w:vAlign w:val="bottom"/>
            <w:hideMark/>
          </w:tcPr>
          <w:p w14:paraId="1C9F4DE1" w14:textId="77777777" w:rsidR="00000000" w:rsidRDefault="009027A3">
            <w:pPr>
              <w:rPr>
                <w:rFonts w:eastAsia="Times New Roman"/>
                <w:sz w:val="20"/>
                <w:szCs w:val="20"/>
              </w:rPr>
            </w:pPr>
            <w:r>
              <w:rPr>
                <w:rFonts w:eastAsia="Times New Roman"/>
                <w:sz w:val="20"/>
                <w:szCs w:val="20"/>
              </w:rPr>
              <w:t> </w:t>
            </w:r>
          </w:p>
        </w:tc>
      </w:tr>
      <w:tr w:rsidR="00000000" w14:paraId="733C0793" w14:textId="77777777">
        <w:tc>
          <w:tcPr>
            <w:tcW w:w="0" w:type="auto"/>
            <w:shd w:val="clear" w:color="auto" w:fill="CCEEFF"/>
            <w:vAlign w:val="bottom"/>
            <w:hideMark/>
          </w:tcPr>
          <w:p w14:paraId="6ABCD5B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0AE3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960A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CDE898"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60E7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5F87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92A9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4DD3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48784E" w14:textId="77777777" w:rsidR="00000000" w:rsidRDefault="009027A3">
            <w:pPr>
              <w:rPr>
                <w:rFonts w:eastAsia="Times New Roman"/>
                <w:sz w:val="20"/>
                <w:szCs w:val="20"/>
              </w:rPr>
            </w:pPr>
            <w:r>
              <w:rPr>
                <w:rFonts w:eastAsia="Times New Roman"/>
                <w:sz w:val="20"/>
                <w:szCs w:val="20"/>
              </w:rPr>
              <w:t> </w:t>
            </w:r>
          </w:p>
        </w:tc>
      </w:tr>
      <w:tr w:rsidR="00000000" w14:paraId="69EACF1D" w14:textId="77777777">
        <w:tc>
          <w:tcPr>
            <w:tcW w:w="0" w:type="auto"/>
            <w:shd w:val="clear" w:color="auto" w:fill="FFFFFF"/>
            <w:tcMar>
              <w:top w:w="0" w:type="dxa"/>
              <w:left w:w="200" w:type="dxa"/>
              <w:bottom w:w="0" w:type="dxa"/>
              <w:right w:w="0" w:type="dxa"/>
            </w:tcMar>
            <w:vAlign w:val="bottom"/>
            <w:hideMark/>
          </w:tcPr>
          <w:p w14:paraId="60FB77EE" w14:textId="77777777" w:rsidR="00000000" w:rsidRDefault="009027A3">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14:paraId="2A34C4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3B65E"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37881256" w14:textId="77777777" w:rsidR="00000000" w:rsidRDefault="009027A3">
            <w:pPr>
              <w:jc w:val="right"/>
              <w:rPr>
                <w:rFonts w:eastAsia="Times New Roman"/>
                <w:sz w:val="20"/>
                <w:szCs w:val="20"/>
              </w:rPr>
            </w:pPr>
            <w:r>
              <w:rPr>
                <w:rFonts w:eastAsia="Times New Roman"/>
                <w:sz w:val="20"/>
                <w:szCs w:val="20"/>
              </w:rPr>
              <w:t>4,236</w:t>
            </w:r>
          </w:p>
        </w:tc>
        <w:tc>
          <w:tcPr>
            <w:tcW w:w="0" w:type="auto"/>
            <w:shd w:val="clear" w:color="auto" w:fill="FFFFFF"/>
            <w:vAlign w:val="bottom"/>
            <w:hideMark/>
          </w:tcPr>
          <w:p w14:paraId="7A342D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24F2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945560"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2A9C3086" w14:textId="77777777" w:rsidR="00000000" w:rsidRDefault="009027A3">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14:paraId="44FE46B1" w14:textId="77777777" w:rsidR="00000000" w:rsidRDefault="009027A3">
            <w:pPr>
              <w:rPr>
                <w:rFonts w:eastAsia="Times New Roman"/>
                <w:sz w:val="20"/>
                <w:szCs w:val="20"/>
              </w:rPr>
            </w:pPr>
            <w:r>
              <w:rPr>
                <w:rFonts w:eastAsia="Times New Roman"/>
                <w:sz w:val="20"/>
                <w:szCs w:val="20"/>
              </w:rPr>
              <w:t> </w:t>
            </w:r>
          </w:p>
        </w:tc>
      </w:tr>
      <w:tr w:rsidR="00000000" w14:paraId="5FCDA2AF" w14:textId="77777777">
        <w:tc>
          <w:tcPr>
            <w:tcW w:w="0" w:type="auto"/>
            <w:shd w:val="clear" w:color="auto" w:fill="CCEEFF"/>
            <w:tcMar>
              <w:top w:w="0" w:type="dxa"/>
              <w:left w:w="200" w:type="dxa"/>
              <w:bottom w:w="30" w:type="dxa"/>
              <w:right w:w="0" w:type="dxa"/>
            </w:tcMar>
            <w:vAlign w:val="bottom"/>
            <w:hideMark/>
          </w:tcPr>
          <w:p w14:paraId="70186B11" w14:textId="77777777" w:rsidR="00000000" w:rsidRDefault="009027A3">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14:paraId="73D05BB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5B751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A7C5B4" w14:textId="77777777" w:rsidR="00000000" w:rsidRDefault="009027A3">
            <w:pPr>
              <w:jc w:val="right"/>
              <w:rPr>
                <w:rFonts w:eastAsia="Times New Roman"/>
                <w:sz w:val="20"/>
                <w:szCs w:val="20"/>
              </w:rPr>
            </w:pPr>
            <w:r>
              <w:rPr>
                <w:rFonts w:eastAsia="Times New Roman"/>
                <w:sz w:val="20"/>
                <w:szCs w:val="20"/>
              </w:rPr>
              <w:t>5,220</w:t>
            </w:r>
          </w:p>
        </w:tc>
        <w:tc>
          <w:tcPr>
            <w:tcW w:w="0" w:type="auto"/>
            <w:shd w:val="clear" w:color="auto" w:fill="CCEEFF"/>
            <w:tcMar>
              <w:top w:w="0" w:type="dxa"/>
              <w:left w:w="0" w:type="dxa"/>
              <w:bottom w:w="30" w:type="dxa"/>
              <w:right w:w="0" w:type="dxa"/>
            </w:tcMar>
            <w:vAlign w:val="bottom"/>
            <w:hideMark/>
          </w:tcPr>
          <w:p w14:paraId="255855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8DF361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29F94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4DD19F" w14:textId="77777777" w:rsidR="00000000" w:rsidRDefault="009027A3">
            <w:pPr>
              <w:jc w:val="right"/>
              <w:rPr>
                <w:rFonts w:eastAsia="Times New Roman"/>
                <w:sz w:val="20"/>
                <w:szCs w:val="20"/>
              </w:rPr>
            </w:pPr>
            <w:r>
              <w:rPr>
                <w:rFonts w:eastAsia="Times New Roman"/>
                <w:sz w:val="20"/>
                <w:szCs w:val="20"/>
              </w:rPr>
              <w:t>6,297</w:t>
            </w:r>
          </w:p>
        </w:tc>
        <w:tc>
          <w:tcPr>
            <w:tcW w:w="0" w:type="auto"/>
            <w:shd w:val="clear" w:color="auto" w:fill="CCEEFF"/>
            <w:tcMar>
              <w:top w:w="0" w:type="dxa"/>
              <w:left w:w="0" w:type="dxa"/>
              <w:bottom w:w="30" w:type="dxa"/>
              <w:right w:w="0" w:type="dxa"/>
            </w:tcMar>
            <w:vAlign w:val="bottom"/>
            <w:hideMark/>
          </w:tcPr>
          <w:p w14:paraId="5B6F81A6" w14:textId="77777777" w:rsidR="00000000" w:rsidRDefault="009027A3">
            <w:pPr>
              <w:rPr>
                <w:rFonts w:eastAsia="Times New Roman"/>
                <w:sz w:val="20"/>
                <w:szCs w:val="20"/>
              </w:rPr>
            </w:pPr>
            <w:r>
              <w:rPr>
                <w:rFonts w:eastAsia="Times New Roman"/>
                <w:sz w:val="20"/>
                <w:szCs w:val="20"/>
              </w:rPr>
              <w:t> </w:t>
            </w:r>
          </w:p>
        </w:tc>
      </w:tr>
      <w:tr w:rsidR="00000000" w14:paraId="31A339FF" w14:textId="77777777">
        <w:tc>
          <w:tcPr>
            <w:tcW w:w="0" w:type="auto"/>
            <w:shd w:val="clear" w:color="auto" w:fill="FFFFFF"/>
            <w:tcMar>
              <w:top w:w="0" w:type="dxa"/>
              <w:left w:w="400" w:type="dxa"/>
              <w:bottom w:w="50" w:type="dxa"/>
              <w:right w:w="0" w:type="dxa"/>
            </w:tcMar>
            <w:vAlign w:val="bottom"/>
            <w:hideMark/>
          </w:tcPr>
          <w:p w14:paraId="6EE6FB33" w14:textId="77777777" w:rsidR="00000000" w:rsidRDefault="009027A3">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14:paraId="2E3FB56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1E5321"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F6813B8" w14:textId="77777777" w:rsidR="00000000" w:rsidRDefault="009027A3">
            <w:pPr>
              <w:jc w:val="right"/>
              <w:rPr>
                <w:rFonts w:eastAsia="Times New Roman"/>
                <w:sz w:val="20"/>
                <w:szCs w:val="20"/>
              </w:rPr>
            </w:pPr>
            <w:r>
              <w:rPr>
                <w:rFonts w:eastAsia="Times New Roman"/>
                <w:sz w:val="20"/>
                <w:szCs w:val="20"/>
              </w:rPr>
              <w:t>9,456</w:t>
            </w:r>
          </w:p>
        </w:tc>
        <w:tc>
          <w:tcPr>
            <w:tcW w:w="0" w:type="auto"/>
            <w:shd w:val="clear" w:color="auto" w:fill="FFFFFF"/>
            <w:tcMar>
              <w:top w:w="0" w:type="dxa"/>
              <w:left w:w="0" w:type="dxa"/>
              <w:bottom w:w="50" w:type="dxa"/>
              <w:right w:w="0" w:type="dxa"/>
            </w:tcMar>
            <w:vAlign w:val="bottom"/>
            <w:hideMark/>
          </w:tcPr>
          <w:p w14:paraId="06C967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7A44F6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587029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77C96A8" w14:textId="77777777" w:rsidR="00000000" w:rsidRDefault="009027A3">
            <w:pPr>
              <w:jc w:val="right"/>
              <w:rPr>
                <w:rFonts w:eastAsia="Times New Roman"/>
                <w:sz w:val="20"/>
                <w:szCs w:val="20"/>
              </w:rPr>
            </w:pPr>
            <w:r>
              <w:rPr>
                <w:rFonts w:eastAsia="Times New Roman"/>
                <w:sz w:val="20"/>
                <w:szCs w:val="20"/>
              </w:rPr>
              <w:t>11,026</w:t>
            </w:r>
          </w:p>
        </w:tc>
        <w:tc>
          <w:tcPr>
            <w:tcW w:w="0" w:type="auto"/>
            <w:shd w:val="clear" w:color="auto" w:fill="FFFFFF"/>
            <w:tcMar>
              <w:top w:w="0" w:type="dxa"/>
              <w:left w:w="0" w:type="dxa"/>
              <w:bottom w:w="50" w:type="dxa"/>
              <w:right w:w="0" w:type="dxa"/>
            </w:tcMar>
            <w:vAlign w:val="bottom"/>
            <w:hideMark/>
          </w:tcPr>
          <w:p w14:paraId="61AC7F79" w14:textId="77777777" w:rsidR="00000000" w:rsidRDefault="009027A3">
            <w:pPr>
              <w:rPr>
                <w:rFonts w:eastAsia="Times New Roman"/>
                <w:sz w:val="20"/>
                <w:szCs w:val="20"/>
              </w:rPr>
            </w:pPr>
            <w:r>
              <w:rPr>
                <w:rFonts w:eastAsia="Times New Roman"/>
                <w:sz w:val="20"/>
                <w:szCs w:val="20"/>
              </w:rPr>
              <w:t> </w:t>
            </w:r>
          </w:p>
        </w:tc>
      </w:tr>
      <w:tr w:rsidR="00000000" w14:paraId="41B5C5BD" w14:textId="77777777">
        <w:tc>
          <w:tcPr>
            <w:tcW w:w="0" w:type="auto"/>
            <w:shd w:val="clear" w:color="auto" w:fill="CCEEFF"/>
            <w:vAlign w:val="bottom"/>
            <w:hideMark/>
          </w:tcPr>
          <w:p w14:paraId="5DF4BA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07D5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5EF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5EA3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A626E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F42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CDB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31B55"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7C6EDB" w14:textId="77777777" w:rsidR="00000000" w:rsidRDefault="009027A3">
            <w:pPr>
              <w:rPr>
                <w:rFonts w:eastAsia="Times New Roman"/>
                <w:sz w:val="20"/>
                <w:szCs w:val="20"/>
              </w:rPr>
            </w:pPr>
            <w:r>
              <w:rPr>
                <w:rFonts w:eastAsia="Times New Roman"/>
                <w:sz w:val="20"/>
                <w:szCs w:val="20"/>
              </w:rPr>
              <w:t> </w:t>
            </w:r>
          </w:p>
        </w:tc>
      </w:tr>
      <w:tr w:rsidR="00000000" w14:paraId="530685A5" w14:textId="77777777">
        <w:tc>
          <w:tcPr>
            <w:tcW w:w="0" w:type="auto"/>
            <w:shd w:val="clear" w:color="auto" w:fill="FFFFFF"/>
            <w:vAlign w:val="bottom"/>
            <w:hideMark/>
          </w:tcPr>
          <w:p w14:paraId="756FB900" w14:textId="77777777" w:rsidR="00000000" w:rsidRDefault="009027A3">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5A1930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705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AE2AD"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A6DD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9956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992F3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B5375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18A1DE" w14:textId="77777777" w:rsidR="00000000" w:rsidRDefault="009027A3">
            <w:pPr>
              <w:rPr>
                <w:rFonts w:eastAsia="Times New Roman"/>
                <w:sz w:val="20"/>
                <w:szCs w:val="20"/>
              </w:rPr>
            </w:pPr>
            <w:r>
              <w:rPr>
                <w:rFonts w:eastAsia="Times New Roman"/>
                <w:sz w:val="20"/>
                <w:szCs w:val="20"/>
              </w:rPr>
              <w:t> </w:t>
            </w:r>
          </w:p>
        </w:tc>
      </w:tr>
      <w:tr w:rsidR="00000000" w14:paraId="465F51B7" w14:textId="77777777">
        <w:tc>
          <w:tcPr>
            <w:tcW w:w="0" w:type="auto"/>
            <w:shd w:val="clear" w:color="auto" w:fill="CCEEFF"/>
            <w:tcMar>
              <w:top w:w="0" w:type="dxa"/>
              <w:left w:w="200" w:type="dxa"/>
              <w:bottom w:w="0" w:type="dxa"/>
              <w:right w:w="0" w:type="dxa"/>
            </w:tcMar>
            <w:vAlign w:val="bottom"/>
            <w:hideMark/>
          </w:tcPr>
          <w:p w14:paraId="3C41F1C8" w14:textId="77777777" w:rsidR="00000000" w:rsidRDefault="009027A3">
            <w:pPr>
              <w:rPr>
                <w:rFonts w:eastAsia="Times New Roman"/>
                <w:sz w:val="20"/>
                <w:szCs w:val="20"/>
              </w:rPr>
            </w:pPr>
            <w:r>
              <w:rPr>
                <w:rFonts w:eastAsia="Times New Roman"/>
                <w:sz w:val="20"/>
                <w:szCs w:val="20"/>
              </w:rPr>
              <w:t>ROU assets</w:t>
            </w:r>
          </w:p>
        </w:tc>
        <w:tc>
          <w:tcPr>
            <w:tcW w:w="0" w:type="auto"/>
            <w:shd w:val="clear" w:color="auto" w:fill="CCEEFF"/>
            <w:vAlign w:val="bottom"/>
            <w:hideMark/>
          </w:tcPr>
          <w:p w14:paraId="48E557E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B09DF"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226683A2" w14:textId="77777777" w:rsidR="00000000" w:rsidRDefault="009027A3">
            <w:pPr>
              <w:jc w:val="right"/>
              <w:rPr>
                <w:rFonts w:eastAsia="Times New Roman"/>
                <w:sz w:val="20"/>
                <w:szCs w:val="20"/>
              </w:rPr>
            </w:pPr>
            <w:r>
              <w:rPr>
                <w:rFonts w:eastAsia="Times New Roman"/>
                <w:sz w:val="20"/>
                <w:szCs w:val="20"/>
              </w:rPr>
              <w:t>7,792</w:t>
            </w:r>
          </w:p>
        </w:tc>
        <w:tc>
          <w:tcPr>
            <w:tcW w:w="0" w:type="auto"/>
            <w:shd w:val="clear" w:color="auto" w:fill="CCEEFF"/>
            <w:vAlign w:val="bottom"/>
            <w:hideMark/>
          </w:tcPr>
          <w:p w14:paraId="51D4AC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E661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D03C07"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699BBC0C" w14:textId="77777777" w:rsidR="00000000" w:rsidRDefault="009027A3">
            <w:pPr>
              <w:jc w:val="right"/>
              <w:rPr>
                <w:rFonts w:eastAsia="Times New Roman"/>
                <w:sz w:val="20"/>
                <w:szCs w:val="20"/>
              </w:rPr>
            </w:pPr>
            <w:r>
              <w:rPr>
                <w:rFonts w:eastAsia="Times New Roman"/>
                <w:sz w:val="20"/>
                <w:szCs w:val="20"/>
              </w:rPr>
              <w:t>10,648</w:t>
            </w:r>
          </w:p>
        </w:tc>
        <w:tc>
          <w:tcPr>
            <w:tcW w:w="0" w:type="auto"/>
            <w:shd w:val="clear" w:color="auto" w:fill="CCEEFF"/>
            <w:vAlign w:val="bottom"/>
            <w:hideMark/>
          </w:tcPr>
          <w:p w14:paraId="1689FA98" w14:textId="77777777" w:rsidR="00000000" w:rsidRDefault="009027A3">
            <w:pPr>
              <w:rPr>
                <w:rFonts w:eastAsia="Times New Roman"/>
                <w:sz w:val="20"/>
                <w:szCs w:val="20"/>
              </w:rPr>
            </w:pPr>
            <w:r>
              <w:rPr>
                <w:rFonts w:eastAsia="Times New Roman"/>
                <w:sz w:val="20"/>
                <w:szCs w:val="20"/>
              </w:rPr>
              <w:t> </w:t>
            </w:r>
          </w:p>
        </w:tc>
      </w:tr>
      <w:tr w:rsidR="00000000" w14:paraId="26488B15" w14:textId="77777777">
        <w:tc>
          <w:tcPr>
            <w:tcW w:w="0" w:type="auto"/>
            <w:shd w:val="clear" w:color="auto" w:fill="FFFFFF"/>
            <w:tcMar>
              <w:top w:w="0" w:type="dxa"/>
              <w:left w:w="200" w:type="dxa"/>
              <w:bottom w:w="0" w:type="dxa"/>
              <w:right w:w="0" w:type="dxa"/>
            </w:tcMar>
            <w:vAlign w:val="bottom"/>
            <w:hideMark/>
          </w:tcPr>
          <w:p w14:paraId="51CEB1AC" w14:textId="77777777" w:rsidR="00000000" w:rsidRDefault="009027A3">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14:paraId="0182E5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3C8A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55E7BE" w14:textId="77777777" w:rsidR="00000000" w:rsidRDefault="009027A3">
            <w:pPr>
              <w:jc w:val="right"/>
              <w:rPr>
                <w:rFonts w:eastAsia="Times New Roman"/>
                <w:sz w:val="20"/>
                <w:szCs w:val="20"/>
              </w:rPr>
            </w:pPr>
            <w:r>
              <w:rPr>
                <w:rFonts w:eastAsia="Times New Roman"/>
                <w:sz w:val="20"/>
                <w:szCs w:val="20"/>
              </w:rPr>
              <w:t>(728</w:t>
            </w:r>
          </w:p>
        </w:tc>
        <w:tc>
          <w:tcPr>
            <w:tcW w:w="0" w:type="auto"/>
            <w:shd w:val="clear" w:color="auto" w:fill="FFFFFF"/>
            <w:vAlign w:val="bottom"/>
            <w:hideMark/>
          </w:tcPr>
          <w:p w14:paraId="45A83C07"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6213AC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096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7A0E5" w14:textId="77777777" w:rsidR="00000000" w:rsidRDefault="009027A3">
            <w:pPr>
              <w:jc w:val="right"/>
              <w:rPr>
                <w:rFonts w:eastAsia="Times New Roman"/>
                <w:sz w:val="20"/>
                <w:szCs w:val="20"/>
              </w:rPr>
            </w:pPr>
            <w:r>
              <w:rPr>
                <w:rFonts w:eastAsia="Times New Roman"/>
                <w:sz w:val="20"/>
                <w:szCs w:val="20"/>
              </w:rPr>
              <w:t>(2,889</w:t>
            </w:r>
          </w:p>
        </w:tc>
        <w:tc>
          <w:tcPr>
            <w:tcW w:w="0" w:type="auto"/>
            <w:shd w:val="clear" w:color="auto" w:fill="FFFFFF"/>
            <w:vAlign w:val="bottom"/>
            <w:hideMark/>
          </w:tcPr>
          <w:p w14:paraId="30F446B0" w14:textId="77777777" w:rsidR="00000000" w:rsidRDefault="009027A3">
            <w:pPr>
              <w:rPr>
                <w:rFonts w:eastAsia="Times New Roman"/>
                <w:sz w:val="20"/>
                <w:szCs w:val="20"/>
              </w:rPr>
            </w:pPr>
            <w:r>
              <w:rPr>
                <w:rFonts w:eastAsia="Times New Roman"/>
                <w:sz w:val="20"/>
                <w:szCs w:val="20"/>
              </w:rPr>
              <w:t>)</w:t>
            </w:r>
          </w:p>
        </w:tc>
      </w:tr>
      <w:tr w:rsidR="00000000" w14:paraId="4107D71B" w14:textId="77777777">
        <w:tc>
          <w:tcPr>
            <w:tcW w:w="0" w:type="auto"/>
            <w:shd w:val="clear" w:color="auto" w:fill="CCEEFF"/>
            <w:tcMar>
              <w:top w:w="0" w:type="dxa"/>
              <w:left w:w="200" w:type="dxa"/>
              <w:bottom w:w="30" w:type="dxa"/>
              <w:right w:w="0" w:type="dxa"/>
            </w:tcMar>
            <w:vAlign w:val="bottom"/>
            <w:hideMark/>
          </w:tcPr>
          <w:p w14:paraId="480C607F" w14:textId="77777777" w:rsidR="00000000" w:rsidRDefault="009027A3">
            <w:pPr>
              <w:rPr>
                <w:rFonts w:eastAsia="Times New Roman"/>
                <w:sz w:val="20"/>
                <w:szCs w:val="20"/>
              </w:rPr>
            </w:pPr>
            <w:r>
              <w:rPr>
                <w:rFonts w:eastAsia="Times New Roman"/>
                <w:sz w:val="20"/>
                <w:szCs w:val="20"/>
              </w:rPr>
              <w:t>Foreign exchange gain (loss)</w:t>
            </w:r>
          </w:p>
        </w:tc>
        <w:tc>
          <w:tcPr>
            <w:tcW w:w="0" w:type="auto"/>
            <w:shd w:val="clear" w:color="auto" w:fill="CCEEFF"/>
            <w:tcMar>
              <w:top w:w="0" w:type="dxa"/>
              <w:left w:w="0" w:type="dxa"/>
              <w:bottom w:w="30" w:type="dxa"/>
              <w:right w:w="0" w:type="dxa"/>
            </w:tcMar>
            <w:vAlign w:val="bottom"/>
            <w:hideMark/>
          </w:tcPr>
          <w:p w14:paraId="1DDEC70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84FCD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E422D7" w14:textId="77777777" w:rsidR="00000000" w:rsidRDefault="009027A3">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14:paraId="691953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B949F8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B8A42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7F6402" w14:textId="77777777" w:rsidR="00000000" w:rsidRDefault="009027A3">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14:paraId="372C7EC3" w14:textId="77777777" w:rsidR="00000000" w:rsidRDefault="009027A3">
            <w:pPr>
              <w:rPr>
                <w:rFonts w:eastAsia="Times New Roman"/>
                <w:sz w:val="20"/>
                <w:szCs w:val="20"/>
              </w:rPr>
            </w:pPr>
            <w:r>
              <w:rPr>
                <w:rFonts w:eastAsia="Times New Roman"/>
                <w:sz w:val="20"/>
                <w:szCs w:val="20"/>
              </w:rPr>
              <w:t>)</w:t>
            </w:r>
          </w:p>
        </w:tc>
      </w:tr>
      <w:tr w:rsidR="00000000" w14:paraId="4DA20713" w14:textId="77777777">
        <w:tc>
          <w:tcPr>
            <w:tcW w:w="0" w:type="auto"/>
            <w:shd w:val="clear" w:color="auto" w:fill="FFFFFF"/>
            <w:tcMar>
              <w:top w:w="0" w:type="dxa"/>
              <w:left w:w="400" w:type="dxa"/>
              <w:bottom w:w="50" w:type="dxa"/>
              <w:right w:w="0" w:type="dxa"/>
            </w:tcMar>
            <w:vAlign w:val="bottom"/>
            <w:hideMark/>
          </w:tcPr>
          <w:p w14:paraId="64D3FF99" w14:textId="77777777" w:rsidR="00000000" w:rsidRDefault="009027A3">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14:paraId="340173C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C3D2B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1788C02" w14:textId="77777777" w:rsidR="00000000" w:rsidRDefault="009027A3">
            <w:pPr>
              <w:jc w:val="right"/>
              <w:rPr>
                <w:rFonts w:eastAsia="Times New Roman"/>
                <w:sz w:val="20"/>
                <w:szCs w:val="20"/>
              </w:rPr>
            </w:pPr>
            <w:r>
              <w:rPr>
                <w:rFonts w:eastAsia="Times New Roman"/>
                <w:sz w:val="20"/>
                <w:szCs w:val="20"/>
              </w:rPr>
              <w:t>7,075</w:t>
            </w:r>
          </w:p>
        </w:tc>
        <w:tc>
          <w:tcPr>
            <w:tcW w:w="0" w:type="auto"/>
            <w:shd w:val="clear" w:color="auto" w:fill="FFFFFF"/>
            <w:tcMar>
              <w:top w:w="0" w:type="dxa"/>
              <w:left w:w="0" w:type="dxa"/>
              <w:bottom w:w="50" w:type="dxa"/>
              <w:right w:w="0" w:type="dxa"/>
            </w:tcMar>
            <w:vAlign w:val="bottom"/>
            <w:hideMark/>
          </w:tcPr>
          <w:p w14:paraId="589FD90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756CDF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29764C"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9AC0019" w14:textId="77777777" w:rsidR="00000000" w:rsidRDefault="009027A3">
            <w:pPr>
              <w:jc w:val="right"/>
              <w:rPr>
                <w:rFonts w:eastAsia="Times New Roman"/>
                <w:sz w:val="20"/>
                <w:szCs w:val="20"/>
              </w:rPr>
            </w:pPr>
            <w:r>
              <w:rPr>
                <w:rFonts w:eastAsia="Times New Roman"/>
                <w:sz w:val="20"/>
                <w:szCs w:val="20"/>
              </w:rPr>
              <w:t>7,743</w:t>
            </w:r>
          </w:p>
        </w:tc>
        <w:tc>
          <w:tcPr>
            <w:tcW w:w="0" w:type="auto"/>
            <w:shd w:val="clear" w:color="auto" w:fill="FFFFFF"/>
            <w:tcMar>
              <w:top w:w="0" w:type="dxa"/>
              <w:left w:w="0" w:type="dxa"/>
              <w:bottom w:w="50" w:type="dxa"/>
              <w:right w:w="0" w:type="dxa"/>
            </w:tcMar>
            <w:vAlign w:val="bottom"/>
            <w:hideMark/>
          </w:tcPr>
          <w:p w14:paraId="368CABA7" w14:textId="77777777" w:rsidR="00000000" w:rsidRDefault="009027A3">
            <w:pPr>
              <w:rPr>
                <w:rFonts w:eastAsia="Times New Roman"/>
                <w:sz w:val="20"/>
                <w:szCs w:val="20"/>
              </w:rPr>
            </w:pPr>
            <w:r>
              <w:rPr>
                <w:rFonts w:eastAsia="Times New Roman"/>
                <w:sz w:val="20"/>
                <w:szCs w:val="20"/>
              </w:rPr>
              <w:t> </w:t>
            </w:r>
          </w:p>
        </w:tc>
      </w:tr>
      <w:tr w:rsidR="00000000" w14:paraId="1AA83B2F" w14:textId="77777777">
        <w:tc>
          <w:tcPr>
            <w:tcW w:w="0" w:type="auto"/>
            <w:shd w:val="clear" w:color="auto" w:fill="CCEEFF"/>
            <w:vAlign w:val="bottom"/>
            <w:hideMark/>
          </w:tcPr>
          <w:p w14:paraId="5BF642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6EEA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66D9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82E1A"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AD5D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F86B8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27A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08E8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47C6F3" w14:textId="77777777" w:rsidR="00000000" w:rsidRDefault="009027A3">
            <w:pPr>
              <w:rPr>
                <w:rFonts w:eastAsia="Times New Roman"/>
                <w:sz w:val="20"/>
                <w:szCs w:val="20"/>
              </w:rPr>
            </w:pPr>
            <w:r>
              <w:rPr>
                <w:rFonts w:eastAsia="Times New Roman"/>
                <w:sz w:val="20"/>
                <w:szCs w:val="20"/>
              </w:rPr>
              <w:t> </w:t>
            </w:r>
          </w:p>
        </w:tc>
      </w:tr>
      <w:tr w:rsidR="00000000" w14:paraId="34E0054A" w14:textId="77777777">
        <w:tc>
          <w:tcPr>
            <w:tcW w:w="0" w:type="auto"/>
            <w:shd w:val="clear" w:color="auto" w:fill="FFFFFF"/>
            <w:vAlign w:val="bottom"/>
            <w:hideMark/>
          </w:tcPr>
          <w:p w14:paraId="42F34AEC" w14:textId="77777777" w:rsidR="00000000" w:rsidRDefault="009027A3">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14:paraId="0A8E19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98E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516D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9A02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D1FD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C47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7F69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3B16A1" w14:textId="77777777" w:rsidR="00000000" w:rsidRDefault="009027A3">
            <w:pPr>
              <w:rPr>
                <w:rFonts w:eastAsia="Times New Roman"/>
                <w:sz w:val="20"/>
                <w:szCs w:val="20"/>
              </w:rPr>
            </w:pPr>
            <w:r>
              <w:rPr>
                <w:rFonts w:eastAsia="Times New Roman"/>
                <w:sz w:val="20"/>
                <w:szCs w:val="20"/>
              </w:rPr>
              <w:t> </w:t>
            </w:r>
          </w:p>
        </w:tc>
      </w:tr>
      <w:tr w:rsidR="00000000" w14:paraId="03F8B282" w14:textId="77777777">
        <w:tc>
          <w:tcPr>
            <w:tcW w:w="0" w:type="auto"/>
            <w:shd w:val="clear" w:color="auto" w:fill="CCEEFF"/>
            <w:tcMar>
              <w:top w:w="0" w:type="dxa"/>
              <w:left w:w="200" w:type="dxa"/>
              <w:bottom w:w="0" w:type="dxa"/>
              <w:right w:w="0" w:type="dxa"/>
            </w:tcMar>
            <w:vAlign w:val="bottom"/>
            <w:hideMark/>
          </w:tcPr>
          <w:p w14:paraId="1137C9D1" w14:textId="77777777" w:rsidR="00000000" w:rsidRDefault="009027A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244619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CE85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9621C" w14:textId="77777777" w:rsidR="00000000" w:rsidRDefault="009027A3">
            <w:pPr>
              <w:jc w:val="right"/>
              <w:rPr>
                <w:rFonts w:eastAsia="Times New Roman"/>
                <w:sz w:val="20"/>
                <w:szCs w:val="20"/>
              </w:rPr>
            </w:pPr>
            <w:r>
              <w:rPr>
                <w:rFonts w:eastAsia="Times New Roman"/>
                <w:sz w:val="20"/>
                <w:szCs w:val="20"/>
              </w:rPr>
              <w:t>2.83</w:t>
            </w:r>
          </w:p>
        </w:tc>
        <w:tc>
          <w:tcPr>
            <w:tcW w:w="0" w:type="auto"/>
            <w:shd w:val="clear" w:color="auto" w:fill="CCEEFF"/>
            <w:vAlign w:val="bottom"/>
            <w:hideMark/>
          </w:tcPr>
          <w:p w14:paraId="5545C1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20633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C33D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E8652" w14:textId="77777777" w:rsidR="00000000" w:rsidRDefault="009027A3">
            <w:pPr>
              <w:jc w:val="right"/>
              <w:rPr>
                <w:rFonts w:eastAsia="Times New Roman"/>
                <w:sz w:val="20"/>
                <w:szCs w:val="20"/>
              </w:rPr>
            </w:pPr>
            <w:r>
              <w:rPr>
                <w:rFonts w:eastAsia="Times New Roman"/>
                <w:sz w:val="20"/>
                <w:szCs w:val="20"/>
              </w:rPr>
              <w:t>2.71</w:t>
            </w:r>
          </w:p>
        </w:tc>
        <w:tc>
          <w:tcPr>
            <w:tcW w:w="0" w:type="auto"/>
            <w:shd w:val="clear" w:color="auto" w:fill="CCEEFF"/>
            <w:vAlign w:val="bottom"/>
            <w:hideMark/>
          </w:tcPr>
          <w:p w14:paraId="5863B3E1" w14:textId="77777777" w:rsidR="00000000" w:rsidRDefault="009027A3">
            <w:pPr>
              <w:rPr>
                <w:rFonts w:eastAsia="Times New Roman"/>
                <w:sz w:val="20"/>
                <w:szCs w:val="20"/>
              </w:rPr>
            </w:pPr>
            <w:r>
              <w:rPr>
                <w:rFonts w:eastAsia="Times New Roman"/>
                <w:sz w:val="20"/>
                <w:szCs w:val="20"/>
              </w:rPr>
              <w:t> </w:t>
            </w:r>
          </w:p>
        </w:tc>
      </w:tr>
      <w:tr w:rsidR="00000000" w14:paraId="20C45497" w14:textId="77777777">
        <w:tc>
          <w:tcPr>
            <w:tcW w:w="0" w:type="auto"/>
            <w:shd w:val="clear" w:color="auto" w:fill="FFFFFF"/>
            <w:vAlign w:val="bottom"/>
            <w:hideMark/>
          </w:tcPr>
          <w:p w14:paraId="76E4CAB0" w14:textId="77777777" w:rsidR="00000000" w:rsidRDefault="009027A3">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14:paraId="4240BB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C3C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92611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A2BD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E34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AEC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887275"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9BD197" w14:textId="77777777" w:rsidR="00000000" w:rsidRDefault="009027A3">
            <w:pPr>
              <w:rPr>
                <w:rFonts w:eastAsia="Times New Roman"/>
                <w:sz w:val="20"/>
                <w:szCs w:val="20"/>
              </w:rPr>
            </w:pPr>
            <w:r>
              <w:rPr>
                <w:rFonts w:eastAsia="Times New Roman"/>
                <w:sz w:val="20"/>
                <w:szCs w:val="20"/>
              </w:rPr>
              <w:t> </w:t>
            </w:r>
          </w:p>
        </w:tc>
      </w:tr>
      <w:tr w:rsidR="00000000" w14:paraId="05C2C0B0" w14:textId="77777777">
        <w:tc>
          <w:tcPr>
            <w:tcW w:w="0" w:type="auto"/>
            <w:shd w:val="clear" w:color="auto" w:fill="CCEEFF"/>
            <w:tcMar>
              <w:top w:w="0" w:type="dxa"/>
              <w:left w:w="200" w:type="dxa"/>
              <w:bottom w:w="0" w:type="dxa"/>
              <w:right w:w="0" w:type="dxa"/>
            </w:tcMar>
            <w:vAlign w:val="bottom"/>
            <w:hideMark/>
          </w:tcPr>
          <w:p w14:paraId="26EDEA51" w14:textId="77777777" w:rsidR="00000000" w:rsidRDefault="009027A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1042E78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B86E5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F0DED" w14:textId="77777777" w:rsidR="00000000" w:rsidRDefault="009027A3">
            <w:pPr>
              <w:jc w:val="right"/>
              <w:rPr>
                <w:rFonts w:eastAsia="Times New Roman"/>
                <w:sz w:val="20"/>
                <w:szCs w:val="20"/>
              </w:rPr>
            </w:pPr>
            <w:r>
              <w:rPr>
                <w:rFonts w:eastAsia="Times New Roman"/>
                <w:sz w:val="20"/>
                <w:szCs w:val="20"/>
              </w:rPr>
              <w:t>6.78</w:t>
            </w:r>
          </w:p>
        </w:tc>
        <w:tc>
          <w:tcPr>
            <w:tcW w:w="0" w:type="auto"/>
            <w:shd w:val="clear" w:color="auto" w:fill="CCEEFF"/>
            <w:vAlign w:val="bottom"/>
            <w:hideMark/>
          </w:tcPr>
          <w:p w14:paraId="7E7607A6"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11061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F5DC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6D04AB" w14:textId="77777777" w:rsidR="00000000" w:rsidRDefault="009027A3">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14:paraId="4C58CD24" w14:textId="77777777" w:rsidR="00000000" w:rsidRDefault="009027A3">
            <w:pPr>
              <w:rPr>
                <w:rFonts w:eastAsia="Times New Roman"/>
                <w:sz w:val="20"/>
                <w:szCs w:val="20"/>
              </w:rPr>
            </w:pPr>
            <w:r>
              <w:rPr>
                <w:rFonts w:eastAsia="Times New Roman"/>
                <w:sz w:val="20"/>
                <w:szCs w:val="20"/>
              </w:rPr>
              <w:t>%</w:t>
            </w:r>
          </w:p>
        </w:tc>
      </w:tr>
    </w:tbl>
    <w:p w14:paraId="1B66D4EA"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F3C12EA" w14:textId="77777777">
        <w:trPr>
          <w:divId w:val="580287456"/>
        </w:trPr>
        <w:tc>
          <w:tcPr>
            <w:tcW w:w="5000" w:type="pct"/>
            <w:hideMark/>
          </w:tcPr>
          <w:p w14:paraId="5302D898"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7527619D" w14:textId="77777777">
        <w:tc>
          <w:tcPr>
            <w:tcW w:w="5000" w:type="pct"/>
            <w:hideMark/>
          </w:tcPr>
          <w:p w14:paraId="2EAE70BA" w14:textId="77777777" w:rsidR="00000000" w:rsidRDefault="009027A3">
            <w:pPr>
              <w:rPr>
                <w:rFonts w:eastAsia="Times New Roman"/>
                <w:sz w:val="20"/>
                <w:szCs w:val="20"/>
              </w:rPr>
            </w:pPr>
            <w:r>
              <w:rPr>
                <w:rFonts w:eastAsia="Times New Roman"/>
                <w:sz w:val="20"/>
                <w:szCs w:val="20"/>
              </w:rPr>
              <w:t> </w:t>
            </w:r>
          </w:p>
        </w:tc>
      </w:tr>
    </w:tbl>
    <w:p w14:paraId="02D8C045" w14:textId="77777777" w:rsidR="00000000" w:rsidRDefault="009027A3">
      <w:pPr>
        <w:pStyle w:val="a3"/>
        <w:spacing w:before="0" w:beforeAutospacing="0" w:after="0" w:afterAutospacing="0"/>
        <w:rPr>
          <w:sz w:val="20"/>
          <w:szCs w:val="20"/>
        </w:rPr>
      </w:pPr>
      <w:r>
        <w:rPr>
          <w:sz w:val="20"/>
          <w:szCs w:val="20"/>
        </w:rPr>
        <w:t> </w:t>
      </w:r>
    </w:p>
    <w:p w14:paraId="5054D0D6" w14:textId="77777777" w:rsidR="00000000" w:rsidRDefault="009027A3">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14:paraId="60DC7D4E"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C941314" w14:textId="77777777">
        <w:tc>
          <w:tcPr>
            <w:tcW w:w="0" w:type="auto"/>
            <w:vAlign w:val="bottom"/>
            <w:hideMark/>
          </w:tcPr>
          <w:p w14:paraId="05C008D5"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1F91A5"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D233E9B" w14:textId="77777777" w:rsidR="00000000" w:rsidRDefault="009027A3">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March 31,</w:t>
            </w:r>
          </w:p>
        </w:tc>
        <w:tc>
          <w:tcPr>
            <w:tcW w:w="0" w:type="auto"/>
            <w:tcMar>
              <w:top w:w="0" w:type="dxa"/>
              <w:left w:w="0" w:type="dxa"/>
              <w:bottom w:w="30" w:type="dxa"/>
              <w:right w:w="0" w:type="dxa"/>
            </w:tcMar>
            <w:vAlign w:val="bottom"/>
            <w:hideMark/>
          </w:tcPr>
          <w:p w14:paraId="2C25AE14" w14:textId="77777777" w:rsidR="00000000" w:rsidRDefault="009027A3">
            <w:pPr>
              <w:rPr>
                <w:rFonts w:eastAsia="Times New Roman"/>
                <w:b/>
                <w:bCs/>
                <w:sz w:val="20"/>
                <w:szCs w:val="20"/>
              </w:rPr>
            </w:pPr>
            <w:r>
              <w:rPr>
                <w:rFonts w:eastAsia="Times New Roman"/>
                <w:b/>
                <w:bCs/>
                <w:sz w:val="20"/>
                <w:szCs w:val="20"/>
              </w:rPr>
              <w:t> </w:t>
            </w:r>
          </w:p>
        </w:tc>
      </w:tr>
      <w:tr w:rsidR="00000000" w14:paraId="72CC0994" w14:textId="77777777">
        <w:tc>
          <w:tcPr>
            <w:tcW w:w="0" w:type="auto"/>
            <w:vAlign w:val="bottom"/>
            <w:hideMark/>
          </w:tcPr>
          <w:p w14:paraId="17ACA9A1"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F44447"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EC39E0"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7F75174B"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A0B9F0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E13A25"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D806C6A" w14:textId="77777777" w:rsidR="00000000" w:rsidRDefault="009027A3">
            <w:pPr>
              <w:rPr>
                <w:rFonts w:eastAsia="Times New Roman"/>
                <w:b/>
                <w:bCs/>
                <w:sz w:val="20"/>
                <w:szCs w:val="20"/>
              </w:rPr>
            </w:pPr>
            <w:r>
              <w:rPr>
                <w:rFonts w:eastAsia="Times New Roman"/>
                <w:b/>
                <w:bCs/>
                <w:sz w:val="20"/>
                <w:szCs w:val="20"/>
              </w:rPr>
              <w:t> </w:t>
            </w:r>
          </w:p>
        </w:tc>
      </w:tr>
      <w:tr w:rsidR="00000000" w14:paraId="69DD7F73" w14:textId="77777777">
        <w:tc>
          <w:tcPr>
            <w:tcW w:w="0" w:type="auto"/>
            <w:vAlign w:val="bottom"/>
            <w:hideMark/>
          </w:tcPr>
          <w:p w14:paraId="18986256"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901428D"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3062F5BD"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5F7A1752" w14:textId="77777777" w:rsidR="00000000" w:rsidRDefault="009027A3">
            <w:pPr>
              <w:rPr>
                <w:rFonts w:eastAsia="Times New Roman"/>
                <w:sz w:val="20"/>
                <w:szCs w:val="20"/>
              </w:rPr>
            </w:pPr>
            <w:r>
              <w:rPr>
                <w:rFonts w:eastAsia="Times New Roman"/>
                <w:sz w:val="20"/>
                <w:szCs w:val="20"/>
              </w:rPr>
              <w:t> </w:t>
            </w:r>
          </w:p>
        </w:tc>
      </w:tr>
      <w:tr w:rsidR="00000000" w14:paraId="155E9DB6" w14:textId="77777777">
        <w:tc>
          <w:tcPr>
            <w:tcW w:w="0" w:type="auto"/>
            <w:shd w:val="clear" w:color="auto" w:fill="CCEEFF"/>
            <w:vAlign w:val="bottom"/>
            <w:hideMark/>
          </w:tcPr>
          <w:p w14:paraId="716F56BC" w14:textId="77777777" w:rsidR="00000000" w:rsidRDefault="009027A3">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575F6315" w14:textId="77777777" w:rsidR="00000000" w:rsidRDefault="009027A3">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0168EEF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4B83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B4C08" w14:textId="77777777" w:rsidR="00000000" w:rsidRDefault="009027A3">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8E083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4E9EB" w14:textId="77777777" w:rsidR="00000000" w:rsidRDefault="009027A3">
            <w:pPr>
              <w:rPr>
                <w:rFonts w:eastAsia="Times New Roman"/>
                <w:sz w:val="20"/>
                <w:szCs w:val="20"/>
              </w:rPr>
            </w:pPr>
            <w:r>
              <w:rPr>
                <w:rFonts w:eastAsia="Times New Roman"/>
                <w:sz w:val="20"/>
                <w:szCs w:val="20"/>
              </w:rPr>
              <w:t> </w:t>
            </w:r>
          </w:p>
        </w:tc>
      </w:tr>
      <w:tr w:rsidR="00000000" w14:paraId="3EEA97FA" w14:textId="77777777">
        <w:tc>
          <w:tcPr>
            <w:tcW w:w="3000" w:type="pct"/>
            <w:shd w:val="clear" w:color="auto" w:fill="FFFFFF"/>
            <w:tcMar>
              <w:top w:w="0" w:type="dxa"/>
              <w:left w:w="200" w:type="dxa"/>
              <w:bottom w:w="0" w:type="dxa"/>
              <w:right w:w="0" w:type="dxa"/>
            </w:tcMar>
            <w:vAlign w:val="bottom"/>
            <w:hideMark/>
          </w:tcPr>
          <w:p w14:paraId="69D51194" w14:textId="77777777" w:rsidR="00000000" w:rsidRDefault="009027A3">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2E10390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68885A"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2843B120" w14:textId="77777777" w:rsidR="00000000" w:rsidRDefault="009027A3">
            <w:pPr>
              <w:jc w:val="right"/>
              <w:rPr>
                <w:rFonts w:eastAsia="Times New Roman"/>
                <w:sz w:val="20"/>
                <w:szCs w:val="20"/>
              </w:rPr>
            </w:pPr>
            <w:r>
              <w:rPr>
                <w:rFonts w:eastAsia="Times New Roman"/>
                <w:sz w:val="20"/>
                <w:szCs w:val="20"/>
              </w:rPr>
              <w:t>1,396</w:t>
            </w:r>
          </w:p>
        </w:tc>
        <w:tc>
          <w:tcPr>
            <w:tcW w:w="50" w:type="pct"/>
            <w:shd w:val="clear" w:color="auto" w:fill="FFFFFF"/>
            <w:vAlign w:val="bottom"/>
            <w:hideMark/>
          </w:tcPr>
          <w:p w14:paraId="47EED697"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0AB4103"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E9E7FB" w14:textId="77777777" w:rsidR="00000000" w:rsidRDefault="009027A3">
            <w:pPr>
              <w:rPr>
                <w:rFonts w:eastAsia="Times New Roman"/>
                <w:sz w:val="20"/>
                <w:szCs w:val="20"/>
              </w:rPr>
            </w:pPr>
            <w:r>
              <w:rPr>
                <w:rFonts w:eastAsia="Times New Roman"/>
                <w:sz w:val="20"/>
                <w:szCs w:val="20"/>
              </w:rPr>
              <w:t>$</w:t>
            </w:r>
          </w:p>
        </w:tc>
        <w:tc>
          <w:tcPr>
            <w:tcW w:w="800" w:type="pct"/>
            <w:shd w:val="clear" w:color="auto" w:fill="FFFFFF"/>
            <w:vAlign w:val="bottom"/>
            <w:hideMark/>
          </w:tcPr>
          <w:p w14:paraId="0C756480" w14:textId="77777777" w:rsidR="00000000" w:rsidRDefault="009027A3">
            <w:pPr>
              <w:jc w:val="right"/>
              <w:rPr>
                <w:rFonts w:eastAsia="Times New Roman"/>
                <w:sz w:val="20"/>
                <w:szCs w:val="20"/>
              </w:rPr>
            </w:pPr>
            <w:r>
              <w:rPr>
                <w:rFonts w:eastAsia="Times New Roman"/>
                <w:sz w:val="20"/>
                <w:szCs w:val="20"/>
              </w:rPr>
              <w:t>679</w:t>
            </w:r>
          </w:p>
        </w:tc>
        <w:tc>
          <w:tcPr>
            <w:tcW w:w="50" w:type="pct"/>
            <w:shd w:val="clear" w:color="auto" w:fill="FFFFFF"/>
            <w:vAlign w:val="bottom"/>
            <w:hideMark/>
          </w:tcPr>
          <w:p w14:paraId="0E9D2D96" w14:textId="77777777" w:rsidR="00000000" w:rsidRDefault="009027A3">
            <w:pPr>
              <w:rPr>
                <w:rFonts w:eastAsia="Times New Roman"/>
                <w:sz w:val="20"/>
                <w:szCs w:val="20"/>
              </w:rPr>
            </w:pPr>
            <w:r>
              <w:rPr>
                <w:rFonts w:eastAsia="Times New Roman"/>
                <w:sz w:val="20"/>
                <w:szCs w:val="20"/>
              </w:rPr>
              <w:t> </w:t>
            </w:r>
          </w:p>
        </w:tc>
      </w:tr>
      <w:tr w:rsidR="00000000" w14:paraId="76B9FB05" w14:textId="77777777">
        <w:tc>
          <w:tcPr>
            <w:tcW w:w="0" w:type="auto"/>
            <w:shd w:val="clear" w:color="auto" w:fill="CCEEFF"/>
            <w:vAlign w:val="bottom"/>
            <w:hideMark/>
          </w:tcPr>
          <w:p w14:paraId="48D52C6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582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6BC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B93FED"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ED65C5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A219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A1D4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2AA7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53CBB0" w14:textId="77777777" w:rsidR="00000000" w:rsidRDefault="009027A3">
            <w:pPr>
              <w:rPr>
                <w:rFonts w:eastAsia="Times New Roman"/>
                <w:sz w:val="20"/>
                <w:szCs w:val="20"/>
              </w:rPr>
            </w:pPr>
            <w:r>
              <w:rPr>
                <w:rFonts w:eastAsia="Times New Roman"/>
                <w:sz w:val="20"/>
                <w:szCs w:val="20"/>
              </w:rPr>
              <w:t> </w:t>
            </w:r>
          </w:p>
        </w:tc>
      </w:tr>
      <w:tr w:rsidR="00000000" w14:paraId="2887F7EC" w14:textId="77777777">
        <w:tc>
          <w:tcPr>
            <w:tcW w:w="0" w:type="auto"/>
            <w:shd w:val="clear" w:color="auto" w:fill="FFFFFF"/>
            <w:vAlign w:val="bottom"/>
            <w:hideMark/>
          </w:tcPr>
          <w:p w14:paraId="57DFF815" w14:textId="77777777" w:rsidR="00000000" w:rsidRDefault="009027A3">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463D34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20F5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9B73B"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77406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EF885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D42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FCEF6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7855FF" w14:textId="77777777" w:rsidR="00000000" w:rsidRDefault="009027A3">
            <w:pPr>
              <w:rPr>
                <w:rFonts w:eastAsia="Times New Roman"/>
                <w:sz w:val="20"/>
                <w:szCs w:val="20"/>
              </w:rPr>
            </w:pPr>
            <w:r>
              <w:rPr>
                <w:rFonts w:eastAsia="Times New Roman"/>
                <w:sz w:val="20"/>
                <w:szCs w:val="20"/>
              </w:rPr>
              <w:t> </w:t>
            </w:r>
          </w:p>
        </w:tc>
      </w:tr>
      <w:tr w:rsidR="00000000" w14:paraId="68CF5130" w14:textId="77777777">
        <w:tc>
          <w:tcPr>
            <w:tcW w:w="0" w:type="auto"/>
            <w:shd w:val="clear" w:color="auto" w:fill="CCEEFF"/>
            <w:tcMar>
              <w:top w:w="0" w:type="dxa"/>
              <w:left w:w="200" w:type="dxa"/>
              <w:bottom w:w="0" w:type="dxa"/>
              <w:right w:w="0" w:type="dxa"/>
            </w:tcMar>
            <w:vAlign w:val="bottom"/>
            <w:hideMark/>
          </w:tcPr>
          <w:p w14:paraId="033EDBE0" w14:textId="77777777" w:rsidR="00000000" w:rsidRDefault="009027A3">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14:paraId="1D85CA4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D346D"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7FC0FA08" w14:textId="77777777" w:rsidR="00000000" w:rsidRDefault="009027A3">
            <w:pPr>
              <w:jc w:val="right"/>
              <w:rPr>
                <w:rFonts w:eastAsia="Times New Roman"/>
                <w:sz w:val="20"/>
                <w:szCs w:val="20"/>
              </w:rPr>
            </w:pPr>
            <w:r>
              <w:rPr>
                <w:rFonts w:eastAsia="Times New Roman"/>
                <w:sz w:val="20"/>
                <w:szCs w:val="20"/>
              </w:rPr>
              <w:t>211</w:t>
            </w:r>
          </w:p>
        </w:tc>
        <w:tc>
          <w:tcPr>
            <w:tcW w:w="0" w:type="auto"/>
            <w:shd w:val="clear" w:color="auto" w:fill="CCEEFF"/>
            <w:vAlign w:val="bottom"/>
            <w:hideMark/>
          </w:tcPr>
          <w:p w14:paraId="29450D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846F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66C7EC"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691074EF" w14:textId="77777777" w:rsidR="00000000" w:rsidRDefault="009027A3">
            <w:pPr>
              <w:jc w:val="right"/>
              <w:rPr>
                <w:rFonts w:eastAsia="Times New Roman"/>
                <w:sz w:val="20"/>
                <w:szCs w:val="20"/>
              </w:rPr>
            </w:pPr>
            <w:r>
              <w:rPr>
                <w:rFonts w:eastAsia="Times New Roman"/>
                <w:sz w:val="20"/>
                <w:szCs w:val="20"/>
              </w:rPr>
              <w:t>3,617</w:t>
            </w:r>
          </w:p>
        </w:tc>
        <w:tc>
          <w:tcPr>
            <w:tcW w:w="0" w:type="auto"/>
            <w:shd w:val="clear" w:color="auto" w:fill="CCEEFF"/>
            <w:vAlign w:val="bottom"/>
            <w:hideMark/>
          </w:tcPr>
          <w:p w14:paraId="3762EA9D" w14:textId="77777777" w:rsidR="00000000" w:rsidRDefault="009027A3">
            <w:pPr>
              <w:rPr>
                <w:rFonts w:eastAsia="Times New Roman"/>
                <w:sz w:val="20"/>
                <w:szCs w:val="20"/>
              </w:rPr>
            </w:pPr>
            <w:r>
              <w:rPr>
                <w:rFonts w:eastAsia="Times New Roman"/>
                <w:sz w:val="20"/>
                <w:szCs w:val="20"/>
              </w:rPr>
              <w:t> </w:t>
            </w:r>
          </w:p>
        </w:tc>
      </w:tr>
    </w:tbl>
    <w:p w14:paraId="746A9B91" w14:textId="77777777" w:rsidR="00000000" w:rsidRDefault="009027A3">
      <w:pPr>
        <w:pStyle w:val="a3"/>
        <w:spacing w:before="0" w:beforeAutospacing="0" w:after="0" w:afterAutospacing="0"/>
        <w:jc w:val="both"/>
        <w:rPr>
          <w:sz w:val="20"/>
          <w:szCs w:val="20"/>
        </w:rPr>
      </w:pPr>
      <w:r>
        <w:rPr>
          <w:sz w:val="20"/>
          <w:szCs w:val="20"/>
        </w:rPr>
        <w:t> </w:t>
      </w:r>
    </w:p>
    <w:p w14:paraId="38DEF08E" w14:textId="77777777" w:rsidR="00000000" w:rsidRDefault="009027A3">
      <w:pPr>
        <w:pStyle w:val="a3"/>
        <w:spacing w:before="0" w:beforeAutospacing="0" w:after="0" w:afterAutospacing="0"/>
        <w:jc w:val="both"/>
        <w:rPr>
          <w:sz w:val="20"/>
          <w:szCs w:val="20"/>
        </w:rPr>
      </w:pPr>
      <w:r>
        <w:rPr>
          <w:sz w:val="20"/>
          <w:szCs w:val="20"/>
        </w:rPr>
        <w:t>Maturities of lease liabilities are as follows:</w:t>
      </w:r>
    </w:p>
    <w:p w14:paraId="5BBF3A32"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16"/>
        <w:gridCol w:w="2819"/>
        <w:gridCol w:w="101"/>
        <w:gridCol w:w="1491"/>
        <w:gridCol w:w="79"/>
      </w:tblGrid>
      <w:tr w:rsidR="00000000" w14:paraId="268D1DA9" w14:textId="77777777">
        <w:tc>
          <w:tcPr>
            <w:tcW w:w="0" w:type="auto"/>
            <w:tcBorders>
              <w:bottom w:val="single" w:sz="12" w:space="0" w:color="000000"/>
            </w:tcBorders>
            <w:vAlign w:val="center"/>
            <w:hideMark/>
          </w:tcPr>
          <w:p w14:paraId="52287C5C" w14:textId="77777777" w:rsidR="00000000" w:rsidRDefault="009027A3">
            <w:pPr>
              <w:rPr>
                <w:rFonts w:eastAsia="Times New Roman"/>
                <w:b/>
                <w:bCs/>
                <w:sz w:val="20"/>
                <w:szCs w:val="20"/>
              </w:rPr>
            </w:pPr>
            <w:r>
              <w:rPr>
                <w:rFonts w:eastAsia="Times New Roman"/>
                <w:b/>
                <w:bCs/>
                <w:sz w:val="20"/>
                <w:szCs w:val="20"/>
              </w:rPr>
              <w:t>Operating leases - Year ending December 31,</w:t>
            </w:r>
          </w:p>
        </w:tc>
        <w:tc>
          <w:tcPr>
            <w:tcW w:w="0" w:type="auto"/>
            <w:tcMar>
              <w:top w:w="0" w:type="dxa"/>
              <w:left w:w="0" w:type="dxa"/>
              <w:bottom w:w="30" w:type="dxa"/>
              <w:right w:w="0" w:type="dxa"/>
            </w:tcMar>
            <w:vAlign w:val="bottom"/>
            <w:hideMark/>
          </w:tcPr>
          <w:p w14:paraId="7637BA59" w14:textId="77777777" w:rsidR="00000000" w:rsidRDefault="009027A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52F4DBDF" w14:textId="77777777" w:rsidR="00000000" w:rsidRDefault="009027A3">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16A3D773" w14:textId="77777777" w:rsidR="00000000" w:rsidRDefault="009027A3">
            <w:pPr>
              <w:rPr>
                <w:rFonts w:eastAsia="Times New Roman"/>
                <w:sz w:val="20"/>
                <w:szCs w:val="20"/>
              </w:rPr>
            </w:pPr>
            <w:r>
              <w:rPr>
                <w:rFonts w:eastAsia="Times New Roman"/>
                <w:sz w:val="20"/>
                <w:szCs w:val="20"/>
              </w:rPr>
              <w:t> </w:t>
            </w:r>
          </w:p>
        </w:tc>
      </w:tr>
      <w:tr w:rsidR="00000000" w14:paraId="2DB14099" w14:textId="77777777">
        <w:tc>
          <w:tcPr>
            <w:tcW w:w="2300" w:type="pct"/>
            <w:shd w:val="clear" w:color="auto" w:fill="CCEEFF"/>
            <w:vAlign w:val="center"/>
            <w:hideMark/>
          </w:tcPr>
          <w:p w14:paraId="0EB7AFCB" w14:textId="77777777" w:rsidR="00000000" w:rsidRDefault="009027A3">
            <w:pPr>
              <w:rPr>
                <w:rFonts w:eastAsia="Times New Roman"/>
                <w:sz w:val="20"/>
                <w:szCs w:val="20"/>
              </w:rPr>
            </w:pPr>
            <w:r>
              <w:rPr>
                <w:rFonts w:eastAsia="Times New Roman"/>
                <w:sz w:val="20"/>
                <w:szCs w:val="20"/>
              </w:rPr>
              <w:t>2021 (nine months)</w:t>
            </w:r>
          </w:p>
        </w:tc>
        <w:tc>
          <w:tcPr>
            <w:tcW w:w="1700" w:type="pct"/>
            <w:shd w:val="clear" w:color="auto" w:fill="CCEEFF"/>
            <w:vAlign w:val="bottom"/>
            <w:hideMark/>
          </w:tcPr>
          <w:p w14:paraId="37DFB89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B95B63" w14:textId="77777777" w:rsidR="00000000" w:rsidRDefault="009027A3">
            <w:pPr>
              <w:rPr>
                <w:rFonts w:eastAsia="Times New Roman"/>
                <w:sz w:val="20"/>
                <w:szCs w:val="20"/>
              </w:rPr>
            </w:pPr>
            <w:r>
              <w:rPr>
                <w:rFonts w:eastAsia="Times New Roman"/>
                <w:sz w:val="20"/>
                <w:szCs w:val="20"/>
              </w:rPr>
              <w:t>$</w:t>
            </w:r>
          </w:p>
        </w:tc>
        <w:tc>
          <w:tcPr>
            <w:tcW w:w="900" w:type="pct"/>
            <w:shd w:val="clear" w:color="auto" w:fill="CCEEFF"/>
            <w:vAlign w:val="bottom"/>
            <w:hideMark/>
          </w:tcPr>
          <w:p w14:paraId="0DF3B956" w14:textId="77777777" w:rsidR="00000000" w:rsidRDefault="009027A3">
            <w:pPr>
              <w:jc w:val="right"/>
              <w:rPr>
                <w:rFonts w:eastAsia="Times New Roman"/>
                <w:sz w:val="20"/>
                <w:szCs w:val="20"/>
              </w:rPr>
            </w:pPr>
            <w:r>
              <w:rPr>
                <w:rFonts w:eastAsia="Times New Roman"/>
                <w:sz w:val="20"/>
                <w:szCs w:val="20"/>
              </w:rPr>
              <w:t>3,661</w:t>
            </w:r>
          </w:p>
        </w:tc>
        <w:tc>
          <w:tcPr>
            <w:tcW w:w="50" w:type="pct"/>
            <w:shd w:val="clear" w:color="auto" w:fill="CCEEFF"/>
            <w:vAlign w:val="bottom"/>
            <w:hideMark/>
          </w:tcPr>
          <w:p w14:paraId="5A19DFF3" w14:textId="77777777" w:rsidR="00000000" w:rsidRDefault="009027A3">
            <w:pPr>
              <w:rPr>
                <w:rFonts w:eastAsia="Times New Roman"/>
                <w:sz w:val="20"/>
                <w:szCs w:val="20"/>
              </w:rPr>
            </w:pPr>
            <w:r>
              <w:rPr>
                <w:rFonts w:eastAsia="Times New Roman"/>
                <w:sz w:val="20"/>
                <w:szCs w:val="20"/>
              </w:rPr>
              <w:t> </w:t>
            </w:r>
          </w:p>
        </w:tc>
      </w:tr>
      <w:tr w:rsidR="00000000" w14:paraId="32740CBD" w14:textId="77777777">
        <w:tc>
          <w:tcPr>
            <w:tcW w:w="0" w:type="auto"/>
            <w:shd w:val="clear" w:color="auto" w:fill="FFFFFF"/>
            <w:vAlign w:val="center"/>
            <w:hideMark/>
          </w:tcPr>
          <w:p w14:paraId="040806D3" w14:textId="77777777" w:rsidR="00000000" w:rsidRDefault="009027A3">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42FA8C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DCD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33F16" w14:textId="77777777" w:rsidR="00000000" w:rsidRDefault="009027A3">
            <w:pPr>
              <w:jc w:val="right"/>
              <w:rPr>
                <w:rFonts w:eastAsia="Times New Roman"/>
                <w:sz w:val="20"/>
                <w:szCs w:val="20"/>
              </w:rPr>
            </w:pPr>
            <w:r>
              <w:rPr>
                <w:rFonts w:eastAsia="Times New Roman"/>
                <w:sz w:val="20"/>
                <w:szCs w:val="20"/>
              </w:rPr>
              <w:t>3,941</w:t>
            </w:r>
          </w:p>
        </w:tc>
        <w:tc>
          <w:tcPr>
            <w:tcW w:w="0" w:type="auto"/>
            <w:shd w:val="clear" w:color="auto" w:fill="FFFFFF"/>
            <w:vAlign w:val="bottom"/>
            <w:hideMark/>
          </w:tcPr>
          <w:p w14:paraId="345816EB" w14:textId="77777777" w:rsidR="00000000" w:rsidRDefault="009027A3">
            <w:pPr>
              <w:rPr>
                <w:rFonts w:eastAsia="Times New Roman"/>
                <w:sz w:val="20"/>
                <w:szCs w:val="20"/>
              </w:rPr>
            </w:pPr>
            <w:r>
              <w:rPr>
                <w:rFonts w:eastAsia="Times New Roman"/>
                <w:sz w:val="20"/>
                <w:szCs w:val="20"/>
              </w:rPr>
              <w:t> </w:t>
            </w:r>
          </w:p>
        </w:tc>
      </w:tr>
      <w:tr w:rsidR="00000000" w14:paraId="76E59F6B" w14:textId="77777777">
        <w:tc>
          <w:tcPr>
            <w:tcW w:w="0" w:type="auto"/>
            <w:shd w:val="clear" w:color="auto" w:fill="CCEEFF"/>
            <w:vAlign w:val="center"/>
            <w:hideMark/>
          </w:tcPr>
          <w:p w14:paraId="2919808F" w14:textId="77777777" w:rsidR="00000000" w:rsidRDefault="009027A3">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5265B5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F60F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7B09C" w14:textId="77777777" w:rsidR="00000000" w:rsidRDefault="009027A3">
            <w:pPr>
              <w:jc w:val="right"/>
              <w:rPr>
                <w:rFonts w:eastAsia="Times New Roman"/>
                <w:sz w:val="20"/>
                <w:szCs w:val="20"/>
              </w:rPr>
            </w:pPr>
            <w:r>
              <w:rPr>
                <w:rFonts w:eastAsia="Times New Roman"/>
                <w:sz w:val="20"/>
                <w:szCs w:val="20"/>
              </w:rPr>
              <w:t>1,790</w:t>
            </w:r>
          </w:p>
        </w:tc>
        <w:tc>
          <w:tcPr>
            <w:tcW w:w="0" w:type="auto"/>
            <w:shd w:val="clear" w:color="auto" w:fill="CCEEFF"/>
            <w:vAlign w:val="bottom"/>
            <w:hideMark/>
          </w:tcPr>
          <w:p w14:paraId="057F1217" w14:textId="77777777" w:rsidR="00000000" w:rsidRDefault="009027A3">
            <w:pPr>
              <w:rPr>
                <w:rFonts w:eastAsia="Times New Roman"/>
                <w:sz w:val="20"/>
                <w:szCs w:val="20"/>
              </w:rPr>
            </w:pPr>
            <w:r>
              <w:rPr>
                <w:rFonts w:eastAsia="Times New Roman"/>
                <w:sz w:val="20"/>
                <w:szCs w:val="20"/>
              </w:rPr>
              <w:t> </w:t>
            </w:r>
          </w:p>
        </w:tc>
      </w:tr>
      <w:tr w:rsidR="00000000" w14:paraId="38A7B997" w14:textId="77777777">
        <w:tc>
          <w:tcPr>
            <w:tcW w:w="0" w:type="auto"/>
            <w:shd w:val="clear" w:color="auto" w:fill="FFFFFF"/>
            <w:vAlign w:val="center"/>
            <w:hideMark/>
          </w:tcPr>
          <w:p w14:paraId="6221CC5F" w14:textId="77777777" w:rsidR="00000000" w:rsidRDefault="009027A3">
            <w:pPr>
              <w:rPr>
                <w:rFonts w:eastAsia="Times New Roman"/>
                <w:sz w:val="20"/>
                <w:szCs w:val="20"/>
              </w:rPr>
            </w:pPr>
            <w:r>
              <w:rPr>
                <w:rFonts w:eastAsia="Times New Roman"/>
                <w:sz w:val="20"/>
                <w:szCs w:val="20"/>
              </w:rPr>
              <w:t>2024</w:t>
            </w:r>
          </w:p>
        </w:tc>
        <w:tc>
          <w:tcPr>
            <w:tcW w:w="0" w:type="auto"/>
            <w:shd w:val="clear" w:color="auto" w:fill="FFFFFF"/>
            <w:vAlign w:val="bottom"/>
            <w:hideMark/>
          </w:tcPr>
          <w:p w14:paraId="45AA462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5156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65BAAC" w14:textId="77777777" w:rsidR="00000000" w:rsidRDefault="009027A3">
            <w:pPr>
              <w:jc w:val="right"/>
              <w:rPr>
                <w:rFonts w:eastAsia="Times New Roman"/>
                <w:sz w:val="20"/>
                <w:szCs w:val="20"/>
              </w:rPr>
            </w:pPr>
            <w:r>
              <w:rPr>
                <w:rFonts w:eastAsia="Times New Roman"/>
                <w:sz w:val="20"/>
                <w:szCs w:val="20"/>
              </w:rPr>
              <w:t>570</w:t>
            </w:r>
          </w:p>
        </w:tc>
        <w:tc>
          <w:tcPr>
            <w:tcW w:w="0" w:type="auto"/>
            <w:shd w:val="clear" w:color="auto" w:fill="FFFFFF"/>
            <w:vAlign w:val="bottom"/>
            <w:hideMark/>
          </w:tcPr>
          <w:p w14:paraId="48B73CE3" w14:textId="77777777" w:rsidR="00000000" w:rsidRDefault="009027A3">
            <w:pPr>
              <w:rPr>
                <w:rFonts w:eastAsia="Times New Roman"/>
                <w:sz w:val="20"/>
                <w:szCs w:val="20"/>
              </w:rPr>
            </w:pPr>
            <w:r>
              <w:rPr>
                <w:rFonts w:eastAsia="Times New Roman"/>
                <w:sz w:val="20"/>
                <w:szCs w:val="20"/>
              </w:rPr>
              <w:t> </w:t>
            </w:r>
          </w:p>
        </w:tc>
      </w:tr>
      <w:tr w:rsidR="00000000" w14:paraId="25A12960" w14:textId="77777777">
        <w:tc>
          <w:tcPr>
            <w:tcW w:w="0" w:type="auto"/>
            <w:shd w:val="clear" w:color="auto" w:fill="CCEEFF"/>
            <w:vAlign w:val="center"/>
            <w:hideMark/>
          </w:tcPr>
          <w:p w14:paraId="1587A9A1" w14:textId="77777777" w:rsidR="00000000" w:rsidRDefault="009027A3">
            <w:pPr>
              <w:rPr>
                <w:rFonts w:eastAsia="Times New Roman"/>
                <w:sz w:val="20"/>
                <w:szCs w:val="20"/>
              </w:rPr>
            </w:pPr>
            <w:r>
              <w:rPr>
                <w:rFonts w:eastAsia="Times New Roman"/>
                <w:sz w:val="20"/>
                <w:szCs w:val="20"/>
              </w:rPr>
              <w:t>2025</w:t>
            </w:r>
          </w:p>
        </w:tc>
        <w:tc>
          <w:tcPr>
            <w:tcW w:w="0" w:type="auto"/>
            <w:shd w:val="clear" w:color="auto" w:fill="CCEEFF"/>
            <w:vAlign w:val="bottom"/>
            <w:hideMark/>
          </w:tcPr>
          <w:p w14:paraId="10833BD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A687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759A7" w14:textId="77777777" w:rsidR="00000000" w:rsidRDefault="009027A3">
            <w:pPr>
              <w:jc w:val="right"/>
              <w:rPr>
                <w:rFonts w:eastAsia="Times New Roman"/>
                <w:sz w:val="20"/>
                <w:szCs w:val="20"/>
              </w:rPr>
            </w:pPr>
            <w:r>
              <w:rPr>
                <w:rFonts w:eastAsia="Times New Roman"/>
                <w:sz w:val="20"/>
                <w:szCs w:val="20"/>
              </w:rPr>
              <w:t>309</w:t>
            </w:r>
          </w:p>
        </w:tc>
        <w:tc>
          <w:tcPr>
            <w:tcW w:w="0" w:type="auto"/>
            <w:shd w:val="clear" w:color="auto" w:fill="CCEEFF"/>
            <w:vAlign w:val="bottom"/>
            <w:hideMark/>
          </w:tcPr>
          <w:p w14:paraId="32273821" w14:textId="77777777" w:rsidR="00000000" w:rsidRDefault="009027A3">
            <w:pPr>
              <w:rPr>
                <w:rFonts w:eastAsia="Times New Roman"/>
                <w:sz w:val="20"/>
                <w:szCs w:val="20"/>
              </w:rPr>
            </w:pPr>
            <w:r>
              <w:rPr>
                <w:rFonts w:eastAsia="Times New Roman"/>
                <w:sz w:val="20"/>
                <w:szCs w:val="20"/>
              </w:rPr>
              <w:t> </w:t>
            </w:r>
          </w:p>
        </w:tc>
      </w:tr>
      <w:tr w:rsidR="00000000" w14:paraId="66CF5360" w14:textId="77777777">
        <w:tc>
          <w:tcPr>
            <w:tcW w:w="0" w:type="auto"/>
            <w:shd w:val="clear" w:color="auto" w:fill="FFFFFF"/>
            <w:tcMar>
              <w:top w:w="0" w:type="dxa"/>
              <w:left w:w="0" w:type="dxa"/>
              <w:bottom w:w="30" w:type="dxa"/>
              <w:right w:w="0" w:type="dxa"/>
            </w:tcMar>
            <w:vAlign w:val="center"/>
            <w:hideMark/>
          </w:tcPr>
          <w:p w14:paraId="32BD041E" w14:textId="77777777" w:rsidR="00000000" w:rsidRDefault="009027A3">
            <w:pPr>
              <w:rPr>
                <w:rFonts w:eastAsia="Times New Roman"/>
                <w:sz w:val="20"/>
                <w:szCs w:val="20"/>
              </w:rPr>
            </w:pPr>
            <w:r>
              <w:rPr>
                <w:rFonts w:eastAsia="Times New Roman"/>
                <w:sz w:val="20"/>
                <w:szCs w:val="20"/>
              </w:rPr>
              <w:t>2026</w:t>
            </w:r>
          </w:p>
        </w:tc>
        <w:tc>
          <w:tcPr>
            <w:tcW w:w="0" w:type="auto"/>
            <w:shd w:val="clear" w:color="auto" w:fill="FFFFFF"/>
            <w:tcMar>
              <w:top w:w="0" w:type="dxa"/>
              <w:left w:w="0" w:type="dxa"/>
              <w:bottom w:w="30" w:type="dxa"/>
              <w:right w:w="0" w:type="dxa"/>
            </w:tcMar>
            <w:vAlign w:val="bottom"/>
            <w:hideMark/>
          </w:tcPr>
          <w:p w14:paraId="1853CE3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1BBDB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4B1C15" w14:textId="77777777" w:rsidR="00000000" w:rsidRDefault="009027A3">
            <w:pPr>
              <w:jc w:val="right"/>
              <w:rPr>
                <w:rFonts w:eastAsia="Times New Roman"/>
                <w:sz w:val="20"/>
                <w:szCs w:val="20"/>
              </w:rPr>
            </w:pPr>
            <w:r>
              <w:rPr>
                <w:rFonts w:eastAsia="Times New Roman"/>
                <w:sz w:val="20"/>
                <w:szCs w:val="20"/>
              </w:rPr>
              <w:t>42</w:t>
            </w:r>
          </w:p>
        </w:tc>
        <w:tc>
          <w:tcPr>
            <w:tcW w:w="0" w:type="auto"/>
            <w:shd w:val="clear" w:color="auto" w:fill="FFFFFF"/>
            <w:tcMar>
              <w:top w:w="0" w:type="dxa"/>
              <w:left w:w="0" w:type="dxa"/>
              <w:bottom w:w="30" w:type="dxa"/>
              <w:right w:w="0" w:type="dxa"/>
            </w:tcMar>
            <w:vAlign w:val="bottom"/>
            <w:hideMark/>
          </w:tcPr>
          <w:p w14:paraId="25812759" w14:textId="77777777" w:rsidR="00000000" w:rsidRDefault="009027A3">
            <w:pPr>
              <w:rPr>
                <w:rFonts w:eastAsia="Times New Roman"/>
                <w:sz w:val="20"/>
                <w:szCs w:val="20"/>
              </w:rPr>
            </w:pPr>
            <w:r>
              <w:rPr>
                <w:rFonts w:eastAsia="Times New Roman"/>
                <w:sz w:val="20"/>
                <w:szCs w:val="20"/>
              </w:rPr>
              <w:t> </w:t>
            </w:r>
          </w:p>
        </w:tc>
      </w:tr>
      <w:tr w:rsidR="00000000" w14:paraId="1D949F7B" w14:textId="77777777">
        <w:tc>
          <w:tcPr>
            <w:tcW w:w="0" w:type="auto"/>
            <w:shd w:val="clear" w:color="auto" w:fill="CCEEFF"/>
            <w:tcMar>
              <w:top w:w="0" w:type="dxa"/>
              <w:left w:w="0" w:type="dxa"/>
              <w:bottom w:w="50" w:type="dxa"/>
              <w:right w:w="0" w:type="dxa"/>
            </w:tcMar>
            <w:vAlign w:val="center"/>
            <w:hideMark/>
          </w:tcPr>
          <w:p w14:paraId="3ABE861B" w14:textId="77777777" w:rsidR="00000000" w:rsidRDefault="009027A3">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14:paraId="3A2B99C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B7CE5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74F33E" w14:textId="77777777" w:rsidR="00000000" w:rsidRDefault="009027A3">
            <w:pPr>
              <w:jc w:val="right"/>
              <w:rPr>
                <w:rFonts w:eastAsia="Times New Roman"/>
                <w:sz w:val="20"/>
                <w:szCs w:val="20"/>
              </w:rPr>
            </w:pPr>
            <w:r>
              <w:rPr>
                <w:rFonts w:eastAsia="Times New Roman"/>
                <w:sz w:val="20"/>
                <w:szCs w:val="20"/>
              </w:rPr>
              <w:t>10,313</w:t>
            </w:r>
          </w:p>
        </w:tc>
        <w:tc>
          <w:tcPr>
            <w:tcW w:w="0" w:type="auto"/>
            <w:shd w:val="clear" w:color="auto" w:fill="CCEEFF"/>
            <w:tcMar>
              <w:top w:w="0" w:type="dxa"/>
              <w:left w:w="0" w:type="dxa"/>
              <w:bottom w:w="50" w:type="dxa"/>
              <w:right w:w="0" w:type="dxa"/>
            </w:tcMar>
            <w:vAlign w:val="bottom"/>
            <w:hideMark/>
          </w:tcPr>
          <w:p w14:paraId="0CA47E79" w14:textId="77777777" w:rsidR="00000000" w:rsidRDefault="009027A3">
            <w:pPr>
              <w:rPr>
                <w:rFonts w:eastAsia="Times New Roman"/>
                <w:sz w:val="20"/>
                <w:szCs w:val="20"/>
              </w:rPr>
            </w:pPr>
            <w:r>
              <w:rPr>
                <w:rFonts w:eastAsia="Times New Roman"/>
                <w:sz w:val="20"/>
                <w:szCs w:val="20"/>
              </w:rPr>
              <w:t> </w:t>
            </w:r>
          </w:p>
        </w:tc>
      </w:tr>
      <w:tr w:rsidR="00000000" w14:paraId="78ABEE6C" w14:textId="77777777">
        <w:tc>
          <w:tcPr>
            <w:tcW w:w="0" w:type="auto"/>
            <w:shd w:val="clear" w:color="auto" w:fill="FFFFFF"/>
            <w:tcMar>
              <w:top w:w="0" w:type="dxa"/>
              <w:left w:w="0" w:type="dxa"/>
              <w:bottom w:w="30" w:type="dxa"/>
              <w:right w:w="0" w:type="dxa"/>
            </w:tcMar>
            <w:vAlign w:val="center"/>
            <w:hideMark/>
          </w:tcPr>
          <w:p w14:paraId="69B6FC03" w14:textId="77777777" w:rsidR="00000000" w:rsidRDefault="009027A3">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14:paraId="2BEEE02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18E7B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7E4B40" w14:textId="77777777" w:rsidR="00000000" w:rsidRDefault="009027A3">
            <w:pPr>
              <w:jc w:val="right"/>
              <w:rPr>
                <w:rFonts w:eastAsia="Times New Roman"/>
                <w:sz w:val="20"/>
                <w:szCs w:val="20"/>
              </w:rPr>
            </w:pPr>
            <w:r>
              <w:rPr>
                <w:rFonts w:eastAsia="Times New Roman"/>
                <w:sz w:val="20"/>
                <w:szCs w:val="20"/>
              </w:rPr>
              <w:t>(857</w:t>
            </w:r>
          </w:p>
        </w:tc>
        <w:tc>
          <w:tcPr>
            <w:tcW w:w="0" w:type="auto"/>
            <w:shd w:val="clear" w:color="auto" w:fill="FFFFFF"/>
            <w:tcMar>
              <w:top w:w="0" w:type="dxa"/>
              <w:left w:w="0" w:type="dxa"/>
              <w:bottom w:w="30" w:type="dxa"/>
              <w:right w:w="0" w:type="dxa"/>
            </w:tcMar>
            <w:vAlign w:val="bottom"/>
            <w:hideMark/>
          </w:tcPr>
          <w:p w14:paraId="7C197BB6" w14:textId="77777777" w:rsidR="00000000" w:rsidRDefault="009027A3">
            <w:pPr>
              <w:rPr>
                <w:rFonts w:eastAsia="Times New Roman"/>
                <w:sz w:val="20"/>
                <w:szCs w:val="20"/>
              </w:rPr>
            </w:pPr>
            <w:r>
              <w:rPr>
                <w:rFonts w:eastAsia="Times New Roman"/>
                <w:sz w:val="20"/>
                <w:szCs w:val="20"/>
              </w:rPr>
              <w:t>)</w:t>
            </w:r>
          </w:p>
        </w:tc>
      </w:tr>
      <w:tr w:rsidR="00000000" w14:paraId="0E68F986" w14:textId="77777777">
        <w:tc>
          <w:tcPr>
            <w:tcW w:w="0" w:type="auto"/>
            <w:shd w:val="clear" w:color="auto" w:fill="CCEEFF"/>
            <w:tcMar>
              <w:top w:w="0" w:type="dxa"/>
              <w:left w:w="0" w:type="dxa"/>
              <w:bottom w:w="50" w:type="dxa"/>
              <w:right w:w="0" w:type="dxa"/>
            </w:tcMar>
            <w:vAlign w:val="center"/>
            <w:hideMark/>
          </w:tcPr>
          <w:p w14:paraId="76E6A86E" w14:textId="77777777" w:rsidR="00000000" w:rsidRDefault="009027A3">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14:paraId="09D8864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A38D62"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73C8A8" w14:textId="77777777" w:rsidR="00000000" w:rsidRDefault="009027A3">
            <w:pPr>
              <w:jc w:val="right"/>
              <w:rPr>
                <w:rFonts w:eastAsia="Times New Roman"/>
                <w:sz w:val="20"/>
                <w:szCs w:val="20"/>
              </w:rPr>
            </w:pPr>
            <w:r>
              <w:rPr>
                <w:rFonts w:eastAsia="Times New Roman"/>
                <w:sz w:val="20"/>
                <w:szCs w:val="20"/>
              </w:rPr>
              <w:t>9,456</w:t>
            </w:r>
          </w:p>
        </w:tc>
        <w:tc>
          <w:tcPr>
            <w:tcW w:w="0" w:type="auto"/>
            <w:shd w:val="clear" w:color="auto" w:fill="CCEEFF"/>
            <w:tcMar>
              <w:top w:w="0" w:type="dxa"/>
              <w:left w:w="0" w:type="dxa"/>
              <w:bottom w:w="50" w:type="dxa"/>
              <w:right w:w="0" w:type="dxa"/>
            </w:tcMar>
            <w:vAlign w:val="bottom"/>
            <w:hideMark/>
          </w:tcPr>
          <w:p w14:paraId="5FE5CFFD" w14:textId="77777777" w:rsidR="00000000" w:rsidRDefault="009027A3">
            <w:pPr>
              <w:rPr>
                <w:rFonts w:eastAsia="Times New Roman"/>
                <w:sz w:val="20"/>
                <w:szCs w:val="20"/>
              </w:rPr>
            </w:pPr>
            <w:r>
              <w:rPr>
                <w:rFonts w:eastAsia="Times New Roman"/>
                <w:sz w:val="20"/>
                <w:szCs w:val="20"/>
              </w:rPr>
              <w:t> </w:t>
            </w:r>
          </w:p>
        </w:tc>
      </w:tr>
      <w:tr w:rsidR="00000000" w14:paraId="4D30D0E0" w14:textId="77777777">
        <w:tc>
          <w:tcPr>
            <w:tcW w:w="0" w:type="auto"/>
            <w:shd w:val="clear" w:color="auto" w:fill="FFFFFF"/>
            <w:tcMar>
              <w:top w:w="0" w:type="dxa"/>
              <w:left w:w="0" w:type="dxa"/>
              <w:bottom w:w="30" w:type="dxa"/>
              <w:right w:w="0" w:type="dxa"/>
            </w:tcMar>
            <w:vAlign w:val="center"/>
            <w:hideMark/>
          </w:tcPr>
          <w:p w14:paraId="6C3950A2" w14:textId="77777777" w:rsidR="00000000" w:rsidRDefault="009027A3">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14:paraId="6DD7579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47A50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91E1EB" w14:textId="77777777" w:rsidR="00000000" w:rsidRDefault="009027A3">
            <w:pPr>
              <w:jc w:val="right"/>
              <w:rPr>
                <w:rFonts w:eastAsia="Times New Roman"/>
                <w:sz w:val="20"/>
                <w:szCs w:val="20"/>
              </w:rPr>
            </w:pPr>
            <w:r>
              <w:rPr>
                <w:rFonts w:eastAsia="Times New Roman"/>
                <w:sz w:val="20"/>
                <w:szCs w:val="20"/>
              </w:rPr>
              <w:t>(4,236</w:t>
            </w:r>
          </w:p>
        </w:tc>
        <w:tc>
          <w:tcPr>
            <w:tcW w:w="0" w:type="auto"/>
            <w:shd w:val="clear" w:color="auto" w:fill="FFFFFF"/>
            <w:tcMar>
              <w:top w:w="0" w:type="dxa"/>
              <w:left w:w="0" w:type="dxa"/>
              <w:bottom w:w="30" w:type="dxa"/>
              <w:right w:w="0" w:type="dxa"/>
            </w:tcMar>
            <w:vAlign w:val="bottom"/>
            <w:hideMark/>
          </w:tcPr>
          <w:p w14:paraId="1394C406" w14:textId="77777777" w:rsidR="00000000" w:rsidRDefault="009027A3">
            <w:pPr>
              <w:rPr>
                <w:rFonts w:eastAsia="Times New Roman"/>
                <w:sz w:val="20"/>
                <w:szCs w:val="20"/>
              </w:rPr>
            </w:pPr>
            <w:r>
              <w:rPr>
                <w:rFonts w:eastAsia="Times New Roman"/>
                <w:sz w:val="20"/>
                <w:szCs w:val="20"/>
              </w:rPr>
              <w:t>)</w:t>
            </w:r>
          </w:p>
        </w:tc>
      </w:tr>
      <w:tr w:rsidR="00000000" w14:paraId="4173E44B" w14:textId="77777777">
        <w:tc>
          <w:tcPr>
            <w:tcW w:w="0" w:type="auto"/>
            <w:shd w:val="clear" w:color="auto" w:fill="CCEEFF"/>
            <w:tcMar>
              <w:top w:w="0" w:type="dxa"/>
              <w:left w:w="0" w:type="dxa"/>
              <w:bottom w:w="50" w:type="dxa"/>
              <w:right w:w="0" w:type="dxa"/>
            </w:tcMar>
            <w:vAlign w:val="center"/>
            <w:hideMark/>
          </w:tcPr>
          <w:p w14:paraId="64CA1224" w14:textId="77777777" w:rsidR="00000000" w:rsidRDefault="009027A3">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14:paraId="3726D71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15F899"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EEF9B9" w14:textId="77777777" w:rsidR="00000000" w:rsidRDefault="009027A3">
            <w:pPr>
              <w:jc w:val="right"/>
              <w:rPr>
                <w:rFonts w:eastAsia="Times New Roman"/>
                <w:sz w:val="20"/>
                <w:szCs w:val="20"/>
              </w:rPr>
            </w:pPr>
            <w:r>
              <w:rPr>
                <w:rFonts w:eastAsia="Times New Roman"/>
                <w:sz w:val="20"/>
                <w:szCs w:val="20"/>
              </w:rPr>
              <w:t>5,220</w:t>
            </w:r>
          </w:p>
        </w:tc>
        <w:tc>
          <w:tcPr>
            <w:tcW w:w="0" w:type="auto"/>
            <w:shd w:val="clear" w:color="auto" w:fill="CCEEFF"/>
            <w:tcMar>
              <w:top w:w="0" w:type="dxa"/>
              <w:left w:w="0" w:type="dxa"/>
              <w:bottom w:w="50" w:type="dxa"/>
              <w:right w:w="0" w:type="dxa"/>
            </w:tcMar>
            <w:vAlign w:val="bottom"/>
            <w:hideMark/>
          </w:tcPr>
          <w:p w14:paraId="43EEF683" w14:textId="77777777" w:rsidR="00000000" w:rsidRDefault="009027A3">
            <w:pPr>
              <w:rPr>
                <w:rFonts w:eastAsia="Times New Roman"/>
                <w:sz w:val="20"/>
                <w:szCs w:val="20"/>
              </w:rPr>
            </w:pPr>
            <w:r>
              <w:rPr>
                <w:rFonts w:eastAsia="Times New Roman"/>
                <w:sz w:val="20"/>
                <w:szCs w:val="20"/>
              </w:rPr>
              <w:t> </w:t>
            </w:r>
          </w:p>
        </w:tc>
      </w:tr>
    </w:tbl>
    <w:p w14:paraId="1609EFE2" w14:textId="77777777" w:rsidR="00000000" w:rsidRDefault="009027A3">
      <w:pPr>
        <w:pStyle w:val="a3"/>
        <w:spacing w:before="0" w:beforeAutospacing="0" w:after="0" w:afterAutospacing="0"/>
        <w:jc w:val="both"/>
        <w:rPr>
          <w:sz w:val="20"/>
          <w:szCs w:val="20"/>
        </w:rPr>
      </w:pPr>
      <w:r>
        <w:rPr>
          <w:sz w:val="20"/>
          <w:szCs w:val="20"/>
        </w:rPr>
        <w:t> </w:t>
      </w:r>
    </w:p>
    <w:p w14:paraId="16447464" w14:textId="77777777" w:rsidR="00000000" w:rsidRDefault="009027A3">
      <w:pPr>
        <w:pStyle w:val="a3"/>
        <w:spacing w:before="0" w:beforeAutospacing="0" w:after="0" w:afterAutospacing="0"/>
        <w:jc w:val="both"/>
        <w:rPr>
          <w:sz w:val="20"/>
          <w:szCs w:val="20"/>
        </w:rPr>
      </w:pPr>
      <w:r>
        <w:rPr>
          <w:sz w:val="20"/>
          <w:szCs w:val="20"/>
        </w:rPr>
        <w:t xml:space="preserve">As </w:t>
      </w:r>
      <w:r>
        <w:rPr>
          <w:sz w:val="20"/>
          <w:szCs w:val="20"/>
        </w:rPr>
        <w:t>of March 31, 2021, we have one operating lease commitment that has not yet commenced with an aggregate gross lease liability of approximately $1.6 million.</w:t>
      </w:r>
    </w:p>
    <w:p w14:paraId="5B31D826"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5B37A63" w14:textId="77777777">
        <w:tc>
          <w:tcPr>
            <w:tcW w:w="720" w:type="dxa"/>
            <w:hideMark/>
          </w:tcPr>
          <w:p w14:paraId="223E1002" w14:textId="77777777" w:rsidR="00000000" w:rsidRDefault="009027A3">
            <w:pPr>
              <w:rPr>
                <w:rFonts w:eastAsia="Times New Roman"/>
                <w:b/>
                <w:bCs/>
                <w:caps/>
                <w:sz w:val="22"/>
                <w:szCs w:val="22"/>
              </w:rPr>
            </w:pPr>
            <w:r>
              <w:rPr>
                <w:rFonts w:eastAsia="Times New Roman"/>
                <w:b/>
                <w:bCs/>
                <w:caps/>
                <w:sz w:val="20"/>
                <w:szCs w:val="20"/>
              </w:rPr>
              <w:t>8.</w:t>
            </w:r>
          </w:p>
        </w:tc>
        <w:tc>
          <w:tcPr>
            <w:tcW w:w="0" w:type="auto"/>
            <w:hideMark/>
          </w:tcPr>
          <w:p w14:paraId="41F8ED46" w14:textId="77777777" w:rsidR="00000000" w:rsidRDefault="009027A3">
            <w:pPr>
              <w:rPr>
                <w:rFonts w:eastAsia="Times New Roman"/>
                <w:b/>
                <w:bCs/>
                <w:caps/>
                <w:sz w:val="22"/>
                <w:szCs w:val="22"/>
              </w:rPr>
            </w:pPr>
            <w:r>
              <w:rPr>
                <w:rFonts w:eastAsia="Times New Roman"/>
                <w:b/>
                <w:bCs/>
                <w:caps/>
                <w:sz w:val="20"/>
                <w:szCs w:val="20"/>
              </w:rPr>
              <w:t>Commitments and Contingencies</w:t>
            </w:r>
          </w:p>
        </w:tc>
      </w:tr>
    </w:tbl>
    <w:p w14:paraId="516AE747" w14:textId="77777777" w:rsidR="00000000" w:rsidRDefault="009027A3">
      <w:pPr>
        <w:pStyle w:val="a3"/>
        <w:spacing w:before="0" w:beforeAutospacing="0" w:after="0" w:afterAutospacing="0"/>
        <w:jc w:val="both"/>
        <w:rPr>
          <w:sz w:val="20"/>
          <w:szCs w:val="20"/>
        </w:rPr>
      </w:pPr>
      <w:r>
        <w:rPr>
          <w:sz w:val="20"/>
          <w:szCs w:val="20"/>
        </w:rPr>
        <w:t> </w:t>
      </w:r>
    </w:p>
    <w:p w14:paraId="0D377B4B" w14:textId="77777777" w:rsidR="00000000" w:rsidRDefault="009027A3">
      <w:pPr>
        <w:pStyle w:val="a3"/>
        <w:spacing w:before="0" w:beforeAutospacing="0" w:after="0" w:afterAutospacing="0"/>
        <w:jc w:val="both"/>
        <w:rPr>
          <w:sz w:val="20"/>
          <w:szCs w:val="20"/>
        </w:rPr>
      </w:pPr>
      <w:r>
        <w:rPr>
          <w:b/>
          <w:bCs/>
          <w:sz w:val="20"/>
          <w:szCs w:val="20"/>
        </w:rPr>
        <w:t>Legal Proceedings</w:t>
      </w:r>
      <w:r>
        <w:rPr>
          <w:sz w:val="20"/>
          <w:szCs w:val="20"/>
        </w:rPr>
        <w:t xml:space="preserve"> — On April 4, 2017, Randolph Pain Relief and</w:t>
      </w:r>
      <w:r>
        <w:rPr>
          <w:sz w:val="20"/>
          <w:szCs w:val="20"/>
        </w:rPr>
        <w:t xml:space="preserve"> Wellness Center (“RPRWC”) filed an arbitration demand with the American Arbitration Association (the “Arbitration”) seeking to arbitrate claims against CareCloud, Inc. (“CareCloud”) and MTBC Acquisition Corp. (“MAC”). The claims relate solely to services </w:t>
      </w:r>
      <w:r>
        <w:rPr>
          <w:sz w:val="20"/>
          <w:szCs w:val="20"/>
        </w:rPr>
        <w:t>provided by Millennium Practice Management Associates, Inc. (“MPMA”), a subsidiary of MediGain, LLC, pursuant to a billing services agreement that contains an arbitration provision. CareCloud and MAC jointly moved in the Superior Court of New Jersey, Chanc</w:t>
      </w:r>
      <w:r>
        <w:rPr>
          <w:sz w:val="20"/>
          <w:szCs w:val="20"/>
        </w:rPr>
        <w:t>ery Division, Somerset County (the “Chancery Court”) to enjoin the Arbitration on the grounds that neither were a party to the billing services agreement. On May 30, 2018, the Chancery Court denied that motion and CareCloud and MAC appealed. The Chancery C</w:t>
      </w:r>
      <w:r>
        <w:rPr>
          <w:sz w:val="20"/>
          <w:szCs w:val="20"/>
        </w:rPr>
        <w:t>ourt ordered the Arbitration stayed pending the appeal. </w:t>
      </w:r>
    </w:p>
    <w:p w14:paraId="2481A053" w14:textId="77777777" w:rsidR="00000000" w:rsidRDefault="009027A3">
      <w:pPr>
        <w:pStyle w:val="a3"/>
        <w:spacing w:before="0" w:beforeAutospacing="0" w:after="0" w:afterAutospacing="0"/>
        <w:jc w:val="both"/>
        <w:rPr>
          <w:sz w:val="20"/>
          <w:szCs w:val="20"/>
        </w:rPr>
      </w:pPr>
      <w:r>
        <w:rPr>
          <w:sz w:val="20"/>
          <w:szCs w:val="20"/>
        </w:rPr>
        <w:t> </w:t>
      </w:r>
    </w:p>
    <w:p w14:paraId="1BF04CD9" w14:textId="77777777" w:rsidR="00000000" w:rsidRDefault="009027A3">
      <w:pPr>
        <w:pStyle w:val="a3"/>
        <w:spacing w:before="0" w:beforeAutospacing="0" w:after="0" w:afterAutospacing="0"/>
        <w:jc w:val="both"/>
        <w:rPr>
          <w:sz w:val="20"/>
          <w:szCs w:val="20"/>
        </w:rPr>
      </w:pPr>
      <w:r>
        <w:rPr>
          <w:sz w:val="20"/>
          <w:szCs w:val="20"/>
        </w:rPr>
        <w:t xml:space="preserve">On April 23, 2019, the Appellate Division reversed the Chancery Court’s ruling that CareCloud is required to participate in the Arbitration and remanded the case for further proceedings before the </w:t>
      </w:r>
      <w:r>
        <w:rPr>
          <w:sz w:val="20"/>
          <w:szCs w:val="20"/>
        </w:rPr>
        <w:t>Chancery Court on that issue. The Appellate Division upheld the Chancery Court’s ruling that MAC was required to participate in the Arbitration. The parties completed discovery in the remanded matter, and both CareCloud and RPRWC filed cross-motions for su</w:t>
      </w:r>
      <w:r>
        <w:rPr>
          <w:sz w:val="20"/>
          <w:szCs w:val="20"/>
        </w:rPr>
        <w:t xml:space="preserve">mmary judgement in their favor. On February 6, 2020, the Chancery Court denied RPRWC’s motion for summary judgment and granted CareCloud’s motion for summary judgment, holding that CareCloud cannot be compelled to participate in the Arbitration. RPRWC has </w:t>
      </w:r>
      <w:r>
        <w:rPr>
          <w:sz w:val="20"/>
          <w:szCs w:val="20"/>
        </w:rPr>
        <w:t>informed CareCloud that it does not intend to appeal the Chancery Court’s ruling and that it intends to move forward solely against MAC in the Arbitration. On March 25, 2020, the Chancery Court lifted the stay of arbitration relative to RPRWC and MAC.</w:t>
      </w:r>
    </w:p>
    <w:p w14:paraId="6CC0D940"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611DEAF" w14:textId="77777777">
        <w:trPr>
          <w:divId w:val="1831556410"/>
        </w:trPr>
        <w:tc>
          <w:tcPr>
            <w:tcW w:w="5000" w:type="pct"/>
            <w:hideMark/>
          </w:tcPr>
          <w:p w14:paraId="3D5B63D6"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4E04F2B2" w14:textId="77777777">
        <w:tc>
          <w:tcPr>
            <w:tcW w:w="5000" w:type="pct"/>
            <w:hideMark/>
          </w:tcPr>
          <w:p w14:paraId="2698C687" w14:textId="77777777" w:rsidR="00000000" w:rsidRDefault="009027A3">
            <w:pPr>
              <w:rPr>
                <w:rFonts w:eastAsia="Times New Roman"/>
                <w:sz w:val="20"/>
                <w:szCs w:val="20"/>
              </w:rPr>
            </w:pPr>
            <w:r>
              <w:rPr>
                <w:rFonts w:eastAsia="Times New Roman"/>
                <w:sz w:val="20"/>
                <w:szCs w:val="20"/>
              </w:rPr>
              <w:t> </w:t>
            </w:r>
          </w:p>
        </w:tc>
      </w:tr>
    </w:tbl>
    <w:p w14:paraId="2EDF85B6" w14:textId="77777777" w:rsidR="00000000" w:rsidRDefault="009027A3">
      <w:pPr>
        <w:pStyle w:val="a3"/>
        <w:spacing w:before="0" w:beforeAutospacing="0" w:after="0" w:afterAutospacing="0"/>
        <w:rPr>
          <w:sz w:val="20"/>
          <w:szCs w:val="20"/>
        </w:rPr>
      </w:pPr>
      <w:r>
        <w:rPr>
          <w:sz w:val="20"/>
          <w:szCs w:val="20"/>
        </w:rPr>
        <w:t> </w:t>
      </w:r>
    </w:p>
    <w:p w14:paraId="501951EF" w14:textId="77777777" w:rsidR="00000000" w:rsidRDefault="009027A3">
      <w:pPr>
        <w:pStyle w:val="a3"/>
        <w:spacing w:before="0" w:beforeAutospacing="0" w:after="0" w:afterAutospacing="0"/>
        <w:jc w:val="both"/>
        <w:rPr>
          <w:sz w:val="20"/>
          <w:szCs w:val="20"/>
        </w:rPr>
      </w:pPr>
      <w:r>
        <w:rPr>
          <w:sz w:val="20"/>
          <w:szCs w:val="20"/>
        </w:rPr>
        <w:t>Due to conflicting information provided by RPRWC, it is unclear what the extent of the claimed damages are in this matter which at this time appear to be entirely speculative. According to its arbitration demand, RPRWC seeks compensatory damages of</w:t>
      </w:r>
      <w:r>
        <w:rPr>
          <w:sz w:val="20"/>
          <w:szCs w:val="20"/>
        </w:rPr>
        <w:t xml:space="preserve"> $6.6 million, plus costs, for MPMA’s alleged breach of the billing services agreement. On June 12, 2020, in response to a directive from the arbitrator, RPRWC disclosed a statement of damages to MAC in which it increased its alleged damages from $6.6 mill</w:t>
      </w:r>
      <w:r>
        <w:rPr>
          <w:sz w:val="20"/>
          <w:szCs w:val="20"/>
        </w:rPr>
        <w:t>ion and costs to $20 million and costs. On July 24, 2020, RPRWC disclosed a declaration to MAC, in which RPRWC estimates its damages to be approximately $11 million plus costs. MAC intends to vigorously defend against RPRWC’s claims. If RPRWC is successful</w:t>
      </w:r>
      <w:r>
        <w:rPr>
          <w:sz w:val="20"/>
          <w:szCs w:val="20"/>
        </w:rPr>
        <w:t xml:space="preserve"> in the Arbitration, CareCloud and MAC anticipate the award would be substantially less than the amount claimed.</w:t>
      </w:r>
    </w:p>
    <w:p w14:paraId="76692E37" w14:textId="77777777" w:rsidR="00000000" w:rsidRDefault="009027A3">
      <w:pPr>
        <w:pStyle w:val="a3"/>
        <w:spacing w:before="0" w:beforeAutospacing="0" w:after="0" w:afterAutospacing="0"/>
        <w:jc w:val="both"/>
        <w:rPr>
          <w:sz w:val="20"/>
          <w:szCs w:val="20"/>
        </w:rPr>
      </w:pPr>
      <w:r>
        <w:rPr>
          <w:sz w:val="20"/>
          <w:szCs w:val="20"/>
        </w:rPr>
        <w:t> </w:t>
      </w:r>
    </w:p>
    <w:p w14:paraId="3C1EDF81" w14:textId="77777777" w:rsidR="00000000" w:rsidRDefault="009027A3">
      <w:pPr>
        <w:pStyle w:val="a3"/>
        <w:spacing w:before="0" w:beforeAutospacing="0" w:after="0" w:afterAutospacing="0"/>
        <w:jc w:val="both"/>
        <w:rPr>
          <w:sz w:val="20"/>
          <w:szCs w:val="20"/>
        </w:rPr>
      </w:pPr>
      <w:r>
        <w:rPr>
          <w:sz w:val="20"/>
          <w:szCs w:val="20"/>
        </w:rPr>
        <w:t>Through the CCH transaction, we acquired its software technology and related business, of which certain elements were, at the time of the acq</w:t>
      </w:r>
      <w:r>
        <w:rPr>
          <w:sz w:val="20"/>
          <w:szCs w:val="20"/>
        </w:rPr>
        <w:t xml:space="preserve">uisition, subject to a civil investigation to determine pre-acquisition compliance with certain federal regulatory requirements. Following the closing of the transaction, the Company has continued to cooperate with the inquiry as CCH has historically done </w:t>
      </w:r>
      <w:r>
        <w:rPr>
          <w:sz w:val="20"/>
          <w:szCs w:val="20"/>
        </w:rPr>
        <w:t>since the commencement of the investigation in July of 2018. This element was considered as part of the transaction as $4 million of the transaction’s consideration was held in escrow for the resolution of this investigation. The Company has accrued $4.2 m</w:t>
      </w:r>
      <w:r>
        <w:rPr>
          <w:sz w:val="20"/>
          <w:szCs w:val="20"/>
        </w:rPr>
        <w:t>illion to resolve this investigation, of which up to $4 million is the escrow, which has been recorded as an indemnification asset which is included in the condensed consolidated balance sheets at December 31, 2020 and March 31, 2021 in prepaid expenses an</w:t>
      </w:r>
      <w:r>
        <w:rPr>
          <w:sz w:val="20"/>
          <w:szCs w:val="20"/>
        </w:rPr>
        <w:t>d other current assets with an offsetting amount in accrued expenses. The Company settled the obligation in April 2021 substantially within the range covered by the escrowed funds.</w:t>
      </w:r>
    </w:p>
    <w:p w14:paraId="07712485" w14:textId="77777777" w:rsidR="00000000" w:rsidRDefault="009027A3">
      <w:pPr>
        <w:pStyle w:val="a3"/>
        <w:spacing w:before="0" w:beforeAutospacing="0" w:after="0" w:afterAutospacing="0"/>
        <w:jc w:val="both"/>
        <w:rPr>
          <w:sz w:val="20"/>
          <w:szCs w:val="20"/>
        </w:rPr>
      </w:pPr>
      <w:r>
        <w:rPr>
          <w:sz w:val="20"/>
          <w:szCs w:val="20"/>
        </w:rPr>
        <w:t> </w:t>
      </w:r>
    </w:p>
    <w:p w14:paraId="1A92AED4" w14:textId="77777777" w:rsidR="00000000" w:rsidRDefault="009027A3">
      <w:pPr>
        <w:pStyle w:val="a3"/>
        <w:spacing w:before="0" w:beforeAutospacing="0" w:after="0" w:afterAutospacing="0"/>
        <w:jc w:val="both"/>
        <w:rPr>
          <w:sz w:val="20"/>
          <w:szCs w:val="20"/>
        </w:rPr>
      </w:pPr>
      <w:r>
        <w:rPr>
          <w:sz w:val="20"/>
          <w:szCs w:val="20"/>
        </w:rPr>
        <w:t>From time to time, we may become involved in other legal proceedings aris</w:t>
      </w:r>
      <w:r>
        <w:rPr>
          <w:sz w:val="20"/>
          <w:szCs w:val="20"/>
        </w:rPr>
        <w:t xml:space="preserve">ing in the ordinary course of our business. Including the proceedings described above, we are not presently a party to any legal proceedings that, in the opinion of our management, would individually or taken together have a material adverse effect on our </w:t>
      </w:r>
      <w:r>
        <w:rPr>
          <w:sz w:val="20"/>
          <w:szCs w:val="20"/>
        </w:rPr>
        <w:t>business, consolidated results of operations, financial position or cash flows of the Company.</w:t>
      </w:r>
    </w:p>
    <w:p w14:paraId="0849AA73" w14:textId="77777777" w:rsidR="00000000" w:rsidRDefault="009027A3">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17B1291D" w14:textId="77777777">
        <w:tc>
          <w:tcPr>
            <w:tcW w:w="720" w:type="dxa"/>
            <w:hideMark/>
          </w:tcPr>
          <w:p w14:paraId="0D1CB06F" w14:textId="77777777" w:rsidR="00000000" w:rsidRDefault="009027A3">
            <w:pPr>
              <w:rPr>
                <w:rFonts w:eastAsia="Times New Roman"/>
                <w:b/>
                <w:bCs/>
                <w:caps/>
                <w:sz w:val="22"/>
                <w:szCs w:val="22"/>
              </w:rPr>
            </w:pPr>
            <w:r>
              <w:rPr>
                <w:rFonts w:eastAsia="Times New Roman"/>
                <w:b/>
                <w:bCs/>
                <w:caps/>
                <w:sz w:val="20"/>
                <w:szCs w:val="20"/>
              </w:rPr>
              <w:t>9.</w:t>
            </w:r>
          </w:p>
        </w:tc>
        <w:tc>
          <w:tcPr>
            <w:tcW w:w="0" w:type="auto"/>
            <w:hideMark/>
          </w:tcPr>
          <w:p w14:paraId="20A93DB6" w14:textId="77777777" w:rsidR="00000000" w:rsidRDefault="009027A3">
            <w:pPr>
              <w:rPr>
                <w:rFonts w:eastAsia="Times New Roman"/>
                <w:b/>
                <w:bCs/>
                <w:caps/>
                <w:sz w:val="22"/>
                <w:szCs w:val="22"/>
              </w:rPr>
            </w:pPr>
            <w:r>
              <w:rPr>
                <w:rFonts w:eastAsia="Times New Roman"/>
                <w:b/>
                <w:bCs/>
                <w:caps/>
                <w:sz w:val="20"/>
                <w:szCs w:val="20"/>
              </w:rPr>
              <w:t>Related PARTIES</w:t>
            </w:r>
          </w:p>
        </w:tc>
      </w:tr>
    </w:tbl>
    <w:p w14:paraId="028307A5" w14:textId="77777777" w:rsidR="00000000" w:rsidRDefault="009027A3">
      <w:pPr>
        <w:pStyle w:val="a3"/>
        <w:spacing w:before="0" w:beforeAutospacing="0" w:after="0" w:afterAutospacing="0"/>
        <w:jc w:val="both"/>
        <w:rPr>
          <w:sz w:val="20"/>
          <w:szCs w:val="20"/>
        </w:rPr>
      </w:pPr>
      <w:r>
        <w:rPr>
          <w:sz w:val="20"/>
          <w:szCs w:val="20"/>
        </w:rPr>
        <w:t> </w:t>
      </w:r>
    </w:p>
    <w:p w14:paraId="77C8EAB4"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Company had sales to a related party, a physician who is the wife of the Executive Chairman. Revenues from this customer were approximately $4,000 and $5,000 for the three months ended March 31, 2021 and 2020, respectively. As of March 31, 2021, and Decemb</w:t>
      </w:r>
      <w:r>
        <w:rPr>
          <w:sz w:val="20"/>
          <w:szCs w:val="20"/>
        </w:rPr>
        <w:t>er 31, 2020, the receivable balance due from this customer was approximately $1,000 and $2,000, respectively.</w:t>
      </w:r>
    </w:p>
    <w:p w14:paraId="71E0EA36" w14:textId="77777777" w:rsidR="00000000" w:rsidRDefault="009027A3">
      <w:pPr>
        <w:pStyle w:val="a3"/>
        <w:spacing w:before="0" w:beforeAutospacing="0" w:after="0" w:afterAutospacing="0"/>
        <w:jc w:val="both"/>
        <w:rPr>
          <w:sz w:val="20"/>
          <w:szCs w:val="20"/>
        </w:rPr>
      </w:pPr>
      <w:r>
        <w:rPr>
          <w:sz w:val="20"/>
          <w:szCs w:val="20"/>
        </w:rPr>
        <w:t> </w:t>
      </w:r>
    </w:p>
    <w:p w14:paraId="5C85FCE5" w14:textId="77777777" w:rsidR="00000000" w:rsidRDefault="009027A3">
      <w:pPr>
        <w:pStyle w:val="a3"/>
        <w:spacing w:before="0" w:beforeAutospacing="0" w:after="0" w:afterAutospacing="0"/>
        <w:jc w:val="both"/>
        <w:rPr>
          <w:sz w:val="20"/>
          <w:szCs w:val="20"/>
        </w:rPr>
      </w:pPr>
      <w:r>
        <w:rPr>
          <w:sz w:val="20"/>
          <w:szCs w:val="20"/>
        </w:rPr>
        <w:t xml:space="preserve">The Company is a party to a nonexclusive aircraft dry lease agreement with Kashmir Air, Inc. (“KAI”), which is owned by the Executive Chairman. </w:t>
      </w:r>
      <w:r>
        <w:rPr>
          <w:sz w:val="20"/>
          <w:szCs w:val="20"/>
        </w:rPr>
        <w:t>The Company recorded an expense of approximately $30,000 and $41,000 for the three month periods ended March 31, 2021 and 2020. As of both March 31, 2021 and December 31, 2020, the Company had a liability outstanding to KAI of approximately $1,000, which i</w:t>
      </w:r>
      <w:r>
        <w:rPr>
          <w:sz w:val="20"/>
          <w:szCs w:val="20"/>
        </w:rPr>
        <w:t>s included in accrued liability to related party in the condensed consolidated balance sheets. The lease for the current aircraft was entered into as of April 1, 2019 and has been included in the ROU asset and operating lease liability at December 31, 2020</w:t>
      </w:r>
      <w:r>
        <w:rPr>
          <w:sz w:val="20"/>
          <w:szCs w:val="20"/>
        </w:rPr>
        <w:t xml:space="preserve"> and March 31, 2021.</w:t>
      </w:r>
    </w:p>
    <w:p w14:paraId="1B43D0F5" w14:textId="77777777" w:rsidR="00000000" w:rsidRDefault="009027A3">
      <w:pPr>
        <w:pStyle w:val="a3"/>
        <w:spacing w:before="0" w:beforeAutospacing="0" w:after="0" w:afterAutospacing="0"/>
        <w:jc w:val="both"/>
        <w:rPr>
          <w:sz w:val="20"/>
          <w:szCs w:val="20"/>
        </w:rPr>
      </w:pPr>
      <w:r>
        <w:rPr>
          <w:sz w:val="20"/>
          <w:szCs w:val="20"/>
        </w:rPr>
        <w:t> </w:t>
      </w:r>
    </w:p>
    <w:p w14:paraId="13B412D6" w14:textId="77777777" w:rsidR="00000000" w:rsidRDefault="009027A3">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printing and mailing facility and its backup operations center in Bagh, Pakistan, from the Executive Chairman. The related part</w:t>
      </w:r>
      <w:r>
        <w:rPr>
          <w:sz w:val="20"/>
          <w:szCs w:val="20"/>
        </w:rPr>
        <w:t>y rent expense for both the three months ended March 31, 2021 and 2020 was approximately $47,000 and is included in direct operating costs and general and administrative expense in the condensed consolidated statements of operations. During the three month</w:t>
      </w:r>
      <w:r>
        <w:rPr>
          <w:sz w:val="20"/>
          <w:szCs w:val="20"/>
        </w:rPr>
        <w:t>s ended March 31, 2021, the Company spent approximately $289,000 to upgrade two of the leased facilities. Current assets-related party in the condensed consolidated balance sheets includes security deposits and prepaid rent related to the leases of the Com</w:t>
      </w:r>
      <w:r>
        <w:rPr>
          <w:sz w:val="20"/>
          <w:szCs w:val="20"/>
        </w:rPr>
        <w:t>pany’s corporate offices in the amount of approximately $13,000 as of both March 31, 2021 and December 31, 2020.</w:t>
      </w:r>
    </w:p>
    <w:p w14:paraId="7E434852" w14:textId="77777777" w:rsidR="00000000" w:rsidRDefault="009027A3">
      <w:pPr>
        <w:pStyle w:val="a3"/>
        <w:spacing w:before="0" w:beforeAutospacing="0" w:after="0" w:afterAutospacing="0"/>
        <w:jc w:val="both"/>
        <w:rPr>
          <w:sz w:val="20"/>
          <w:szCs w:val="20"/>
        </w:rPr>
      </w:pPr>
      <w:r>
        <w:rPr>
          <w:sz w:val="20"/>
          <w:szCs w:val="20"/>
        </w:rPr>
        <w:t> </w:t>
      </w:r>
    </w:p>
    <w:p w14:paraId="763A74E9" w14:textId="77777777" w:rsidR="00000000" w:rsidRDefault="009027A3">
      <w:pPr>
        <w:pStyle w:val="a3"/>
        <w:spacing w:before="0" w:beforeAutospacing="0" w:after="0" w:afterAutospacing="0"/>
        <w:jc w:val="both"/>
        <w:rPr>
          <w:sz w:val="20"/>
          <w:szCs w:val="20"/>
        </w:rPr>
      </w:pPr>
      <w:r>
        <w:rPr>
          <w:sz w:val="20"/>
          <w:szCs w:val="20"/>
        </w:rPr>
        <w:t>Included in the ROU asset at March 31, 2021 and December 31, 2020 is approximately $216,000 and $283,000, respectively, applicable to the rel</w:t>
      </w:r>
      <w:r>
        <w:rPr>
          <w:sz w:val="20"/>
          <w:szCs w:val="20"/>
        </w:rPr>
        <w:t xml:space="preserve">ated party leases. Included in the current and non-current operating lease liability at March 31, 2021 is approximately $142,000 and $85,000, respectively, applicable to the related party leases. At December 31, 2020, the current and non-current operating </w:t>
      </w:r>
      <w:r>
        <w:rPr>
          <w:sz w:val="20"/>
          <w:szCs w:val="20"/>
        </w:rPr>
        <w:t>lease liability applicable to related party leases was approximately $202,000 and $92,000, respectively.</w:t>
      </w:r>
    </w:p>
    <w:p w14:paraId="3BA40A0D"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E9D120" w14:textId="77777777">
        <w:trPr>
          <w:divId w:val="191262669"/>
        </w:trPr>
        <w:tc>
          <w:tcPr>
            <w:tcW w:w="5000" w:type="pct"/>
            <w:hideMark/>
          </w:tcPr>
          <w:p w14:paraId="1F2274DC"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4DF43572" w14:textId="77777777">
        <w:tc>
          <w:tcPr>
            <w:tcW w:w="5000" w:type="pct"/>
            <w:hideMark/>
          </w:tcPr>
          <w:p w14:paraId="30086AC1" w14:textId="77777777" w:rsidR="00000000" w:rsidRDefault="009027A3">
            <w:pPr>
              <w:rPr>
                <w:rFonts w:eastAsia="Times New Roman"/>
                <w:sz w:val="20"/>
                <w:szCs w:val="20"/>
              </w:rPr>
            </w:pPr>
            <w:r>
              <w:rPr>
                <w:rFonts w:eastAsia="Times New Roman"/>
                <w:sz w:val="20"/>
                <w:szCs w:val="20"/>
              </w:rPr>
              <w:t> </w:t>
            </w:r>
          </w:p>
        </w:tc>
      </w:tr>
    </w:tbl>
    <w:p w14:paraId="2CB32D42" w14:textId="77777777" w:rsidR="00000000" w:rsidRDefault="009027A3">
      <w:pPr>
        <w:pStyle w:val="a3"/>
        <w:spacing w:before="0" w:beforeAutospacing="0" w:after="0" w:afterAutospacing="0"/>
        <w:jc w:val="both"/>
        <w:rPr>
          <w:sz w:val="20"/>
          <w:szCs w:val="20"/>
        </w:rPr>
      </w:pPr>
      <w:r>
        <w:rPr>
          <w:sz w:val="20"/>
          <w:szCs w:val="20"/>
        </w:rPr>
        <w:t> </w:t>
      </w:r>
    </w:p>
    <w:p w14:paraId="70DC0475" w14:textId="77777777" w:rsidR="00000000" w:rsidRDefault="009027A3">
      <w:pPr>
        <w:pStyle w:val="a3"/>
        <w:spacing w:before="0" w:beforeAutospacing="0" w:after="0" w:afterAutospacing="0"/>
        <w:jc w:val="both"/>
        <w:rPr>
          <w:sz w:val="20"/>
          <w:szCs w:val="20"/>
        </w:rPr>
      </w:pPr>
      <w:r>
        <w:rPr>
          <w:sz w:val="20"/>
          <w:szCs w:val="20"/>
        </w:rPr>
        <w:t>During the first quarter of 2020, talkMD Clinicians, PA, a New Jersey corporation was formed to provide telehealth services. This entity is</w:t>
      </w:r>
      <w:r>
        <w:rPr>
          <w:sz w:val="20"/>
          <w:szCs w:val="20"/>
        </w:rPr>
        <w:t xml:space="preserve"> owned by the wife of the Executive Chairman since an entity providing medical services must be owned by a physician. The Company did not have any transactions with this entity since its formation.</w:t>
      </w:r>
    </w:p>
    <w:p w14:paraId="43A3E148"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422952D1" w14:textId="77777777">
        <w:trPr>
          <w:tblCellSpacing w:w="0" w:type="dxa"/>
        </w:trPr>
        <w:tc>
          <w:tcPr>
            <w:tcW w:w="720" w:type="dxa"/>
            <w:hideMark/>
          </w:tcPr>
          <w:p w14:paraId="01066CD7" w14:textId="77777777" w:rsidR="00000000" w:rsidRDefault="009027A3">
            <w:pPr>
              <w:rPr>
                <w:rFonts w:eastAsia="Times New Roman"/>
                <w:sz w:val="20"/>
                <w:szCs w:val="20"/>
              </w:rPr>
            </w:pPr>
            <w:r>
              <w:rPr>
                <w:rFonts w:eastAsia="Times New Roman"/>
                <w:b/>
                <w:bCs/>
                <w:sz w:val="20"/>
                <w:szCs w:val="20"/>
              </w:rPr>
              <w:t>10.</w:t>
            </w:r>
          </w:p>
        </w:tc>
        <w:tc>
          <w:tcPr>
            <w:tcW w:w="0" w:type="auto"/>
            <w:hideMark/>
          </w:tcPr>
          <w:p w14:paraId="6E8A13DF" w14:textId="77777777" w:rsidR="00000000" w:rsidRDefault="009027A3">
            <w:pPr>
              <w:jc w:val="both"/>
              <w:rPr>
                <w:rFonts w:eastAsia="Times New Roman"/>
                <w:sz w:val="20"/>
                <w:szCs w:val="20"/>
              </w:rPr>
            </w:pPr>
            <w:r>
              <w:rPr>
                <w:rFonts w:eastAsia="Times New Roman"/>
                <w:b/>
                <w:bCs/>
                <w:sz w:val="20"/>
                <w:szCs w:val="20"/>
              </w:rPr>
              <w:t>REVENUE</w:t>
            </w:r>
          </w:p>
        </w:tc>
      </w:tr>
    </w:tbl>
    <w:p w14:paraId="465AE43B" w14:textId="77777777" w:rsidR="00000000" w:rsidRDefault="009027A3">
      <w:pPr>
        <w:pStyle w:val="a3"/>
        <w:spacing w:before="0" w:beforeAutospacing="0" w:after="0" w:afterAutospacing="0"/>
        <w:jc w:val="both"/>
        <w:rPr>
          <w:sz w:val="20"/>
          <w:szCs w:val="20"/>
        </w:rPr>
      </w:pPr>
      <w:r>
        <w:rPr>
          <w:b/>
          <w:bCs/>
          <w:sz w:val="20"/>
          <w:szCs w:val="20"/>
        </w:rPr>
        <w:t> </w:t>
      </w:r>
    </w:p>
    <w:p w14:paraId="27F29024" w14:textId="77777777" w:rsidR="00000000" w:rsidRDefault="009027A3">
      <w:pPr>
        <w:pStyle w:val="a3"/>
        <w:shd w:val="clear" w:color="auto" w:fill="FFFFFF"/>
        <w:spacing w:before="0" w:beforeAutospacing="0" w:after="0" w:afterAutospacing="0"/>
        <w:jc w:val="both"/>
        <w:rPr>
          <w:sz w:val="20"/>
          <w:szCs w:val="20"/>
        </w:rPr>
      </w:pPr>
      <w:r>
        <w:rPr>
          <w:i/>
          <w:iCs/>
          <w:sz w:val="20"/>
          <w:szCs w:val="20"/>
        </w:rPr>
        <w:t>Introduction</w:t>
      </w:r>
    </w:p>
    <w:p w14:paraId="1F906D5A"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02BFD8FC"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accounts for revenue in accordance with ASC 606, </w:t>
      </w:r>
      <w:r>
        <w:rPr>
          <w:i/>
          <w:iCs/>
          <w:sz w:val="20"/>
          <w:szCs w:val="20"/>
        </w:rPr>
        <w:t>Revenue from Contracts with Customers</w:t>
      </w:r>
      <w:r>
        <w:rPr>
          <w:sz w:val="20"/>
          <w:szCs w:val="20"/>
        </w:rPr>
        <w:t>. All revenue is recognized as our performance obligations are satisfied. A performance obligation is a promise in a contract to transfer a distinct good or servi</w:t>
      </w:r>
      <w:r>
        <w:rPr>
          <w:sz w:val="20"/>
          <w:szCs w:val="20"/>
        </w:rPr>
        <w:t>ce to a customer, and is the unit of account under ASC 606. Under ASC 606, the Company recognizes revenue when the revenue cycle management services begin on the medical billing claims, which is generally upon receipt of the claim from the provider. For re</w:t>
      </w:r>
      <w:r>
        <w:rPr>
          <w:sz w:val="20"/>
          <w:szCs w:val="20"/>
        </w:rPr>
        <w:t>venue cycle management services, the Company estimates the value of the consideration it will earn over the remaining contractual period as our services are provided and recognizes the fees over the term; this estimation involves predicting the amounts our</w:t>
      </w:r>
      <w:r>
        <w:rPr>
          <w:sz w:val="20"/>
          <w:szCs w:val="20"/>
        </w:rPr>
        <w:t xml:space="preserve"> clients will ultimately collect associated with the services they provided. The selling price of the Company’s services equals the contractual price. Certain significant estimates, such as payment-to-charge ratios, effective billing rates and the estimate</w:t>
      </w:r>
      <w:r>
        <w:rPr>
          <w:sz w:val="20"/>
          <w:szCs w:val="20"/>
        </w:rPr>
        <w:t>d contractual payment periods are required to measure revenue cycle management revenue under ASC 606.</w:t>
      </w:r>
    </w:p>
    <w:p w14:paraId="14F3F35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6DCC435A" w14:textId="77777777" w:rsidR="00000000" w:rsidRDefault="009027A3">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where we</w:t>
      </w:r>
      <w:r>
        <w:rPr>
          <w:sz w:val="20"/>
          <w:szCs w:val="20"/>
        </w:rPr>
        <w:t xml:space="preserve"> perform multiple ancillary services, each service represents its own performance obligation. Selling prices are based on the contractual price for the service, which approximates the stand alone selling price.</w:t>
      </w:r>
    </w:p>
    <w:p w14:paraId="5040BB3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E5C3AEC" w14:textId="77777777" w:rsidR="00000000" w:rsidRDefault="009027A3">
      <w:pPr>
        <w:pStyle w:val="a3"/>
        <w:spacing w:before="0" w:beforeAutospacing="0" w:after="0" w:afterAutospacing="0"/>
        <w:jc w:val="both"/>
        <w:rPr>
          <w:i/>
          <w:iCs/>
          <w:sz w:val="20"/>
          <w:szCs w:val="20"/>
        </w:rPr>
      </w:pPr>
      <w:r>
        <w:rPr>
          <w:sz w:val="20"/>
          <w:szCs w:val="20"/>
        </w:rPr>
        <w:t>We apply the portfolio approach as permitte</w:t>
      </w:r>
      <w:r>
        <w:rPr>
          <w:sz w:val="20"/>
          <w:szCs w:val="20"/>
        </w:rPr>
        <w:t>d by ASC 606 as a practical expedient to contracts with similar characteristics and we use estimates and assumptions when accounting for those portfolios. Our contracts generally include standard commercial payment terms. We have no significant obligations</w:t>
      </w:r>
      <w:r>
        <w:rPr>
          <w:sz w:val="20"/>
          <w:szCs w:val="20"/>
        </w:rPr>
        <w:t xml:space="preserve"> for refunds, warranties or similar obligations and our revenue does not include taxes collected from our customers.</w:t>
      </w:r>
    </w:p>
    <w:p w14:paraId="134D642D" w14:textId="77777777" w:rsidR="00000000" w:rsidRDefault="009027A3">
      <w:pPr>
        <w:pStyle w:val="a3"/>
        <w:spacing w:before="0" w:beforeAutospacing="0" w:after="0" w:afterAutospacing="0"/>
        <w:rPr>
          <w:sz w:val="20"/>
          <w:szCs w:val="20"/>
        </w:rPr>
      </w:pPr>
      <w:r>
        <w:rPr>
          <w:i/>
          <w:iCs/>
          <w:sz w:val="20"/>
          <w:szCs w:val="20"/>
        </w:rPr>
        <w:t> </w:t>
      </w:r>
    </w:p>
    <w:p w14:paraId="1B08D02B" w14:textId="77777777" w:rsidR="00000000" w:rsidRDefault="009027A3">
      <w:pPr>
        <w:pStyle w:val="a3"/>
        <w:spacing w:before="0" w:beforeAutospacing="0" w:after="0" w:afterAutospacing="0"/>
        <w:rPr>
          <w:i/>
          <w:iCs/>
          <w:sz w:val="20"/>
          <w:szCs w:val="20"/>
        </w:rPr>
      </w:pPr>
      <w:r>
        <w:rPr>
          <w:i/>
          <w:iCs/>
          <w:sz w:val="20"/>
          <w:szCs w:val="20"/>
        </w:rPr>
        <w:t>Disaggregation of Revenue from Contracts with Customers</w:t>
      </w:r>
    </w:p>
    <w:p w14:paraId="3C26AF7A" w14:textId="77777777" w:rsidR="00000000" w:rsidRDefault="009027A3">
      <w:pPr>
        <w:pStyle w:val="a3"/>
        <w:spacing w:before="0" w:beforeAutospacing="0" w:after="0" w:afterAutospacing="0"/>
        <w:rPr>
          <w:sz w:val="20"/>
          <w:szCs w:val="20"/>
        </w:rPr>
      </w:pPr>
      <w:r>
        <w:rPr>
          <w:sz w:val="20"/>
          <w:szCs w:val="20"/>
        </w:rPr>
        <w:t> </w:t>
      </w:r>
    </w:p>
    <w:p w14:paraId="3326BB74"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derive revenue from eight primary sources: revenue cycle management services, SaaS solutions, professional services, ancillary services, group purchasing services, printing and mailing services, and clearinghouse and EDI (electronic data interchange) servi</w:t>
      </w:r>
      <w:r>
        <w:rPr>
          <w:sz w:val="20"/>
          <w:szCs w:val="20"/>
        </w:rPr>
        <w:t>ces and practice management services.</w:t>
      </w:r>
    </w:p>
    <w:p w14:paraId="6FF22CB3"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8A9CDE2" w14:textId="77777777" w:rsidR="00000000" w:rsidRDefault="009027A3">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months ended March 31:</w:t>
      </w:r>
    </w:p>
    <w:p w14:paraId="654C1E8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243"/>
        <w:gridCol w:w="103"/>
        <w:gridCol w:w="100"/>
        <w:gridCol w:w="1034"/>
        <w:gridCol w:w="50"/>
        <w:gridCol w:w="99"/>
        <w:gridCol w:w="100"/>
        <w:gridCol w:w="1035"/>
        <w:gridCol w:w="50"/>
      </w:tblGrid>
      <w:tr w:rsidR="00000000" w14:paraId="7B5FF521" w14:textId="77777777">
        <w:tc>
          <w:tcPr>
            <w:tcW w:w="0" w:type="auto"/>
            <w:vAlign w:val="bottom"/>
            <w:hideMark/>
          </w:tcPr>
          <w:p w14:paraId="343B3F0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EE25FE"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E34666D"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4B4A45AE" w14:textId="77777777" w:rsidR="00000000" w:rsidRDefault="009027A3">
            <w:pPr>
              <w:rPr>
                <w:rFonts w:eastAsia="Times New Roman"/>
                <w:b/>
                <w:bCs/>
                <w:sz w:val="20"/>
                <w:szCs w:val="20"/>
              </w:rPr>
            </w:pPr>
            <w:r>
              <w:rPr>
                <w:rFonts w:eastAsia="Times New Roman"/>
                <w:b/>
                <w:bCs/>
                <w:sz w:val="20"/>
                <w:szCs w:val="20"/>
              </w:rPr>
              <w:t> </w:t>
            </w:r>
          </w:p>
        </w:tc>
      </w:tr>
      <w:tr w:rsidR="00000000" w14:paraId="112F70D1" w14:textId="77777777">
        <w:tc>
          <w:tcPr>
            <w:tcW w:w="0" w:type="auto"/>
            <w:vAlign w:val="bottom"/>
            <w:hideMark/>
          </w:tcPr>
          <w:p w14:paraId="2B4BF9C9"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BA652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C7F199"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528C3F4A"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64E96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59EC81"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7D2E888" w14:textId="77777777" w:rsidR="00000000" w:rsidRDefault="009027A3">
            <w:pPr>
              <w:rPr>
                <w:rFonts w:eastAsia="Times New Roman"/>
                <w:b/>
                <w:bCs/>
                <w:sz w:val="20"/>
                <w:szCs w:val="20"/>
              </w:rPr>
            </w:pPr>
            <w:r>
              <w:rPr>
                <w:rFonts w:eastAsia="Times New Roman"/>
                <w:b/>
                <w:bCs/>
                <w:sz w:val="20"/>
                <w:szCs w:val="20"/>
              </w:rPr>
              <w:t> </w:t>
            </w:r>
          </w:p>
        </w:tc>
      </w:tr>
      <w:tr w:rsidR="00000000" w14:paraId="4C486F58" w14:textId="77777777">
        <w:tc>
          <w:tcPr>
            <w:tcW w:w="0" w:type="auto"/>
            <w:shd w:val="clear" w:color="auto" w:fill="FFFFFF"/>
            <w:vAlign w:val="bottom"/>
            <w:hideMark/>
          </w:tcPr>
          <w:p w14:paraId="6407B95F" w14:textId="77777777" w:rsidR="00000000" w:rsidRDefault="009027A3">
            <w:pPr>
              <w:rPr>
                <w:rFonts w:eastAsia="Times New Roman"/>
                <w:b/>
                <w:bCs/>
                <w:sz w:val="20"/>
                <w:szCs w:val="20"/>
              </w:rPr>
            </w:pPr>
          </w:p>
        </w:tc>
        <w:tc>
          <w:tcPr>
            <w:tcW w:w="0" w:type="auto"/>
            <w:shd w:val="clear" w:color="auto" w:fill="FFFFFF"/>
            <w:vAlign w:val="bottom"/>
            <w:hideMark/>
          </w:tcPr>
          <w:p w14:paraId="175F5B3D" w14:textId="77777777" w:rsidR="00000000" w:rsidRDefault="009027A3">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14:paraId="403BF1F3" w14:textId="77777777" w:rsidR="00000000" w:rsidRDefault="009027A3">
            <w:pPr>
              <w:jc w:val="center"/>
              <w:rPr>
                <w:rFonts w:eastAsia="Times New Roman"/>
                <w:sz w:val="20"/>
                <w:szCs w:val="20"/>
              </w:rPr>
            </w:pPr>
            <w:r>
              <w:rPr>
                <w:rFonts w:eastAsia="Times New Roman"/>
                <w:sz w:val="20"/>
                <w:szCs w:val="20"/>
              </w:rPr>
              <w:t>($ in thousands)</w:t>
            </w:r>
          </w:p>
        </w:tc>
        <w:tc>
          <w:tcPr>
            <w:tcW w:w="0" w:type="auto"/>
            <w:shd w:val="clear" w:color="auto" w:fill="FFFFFF"/>
            <w:vAlign w:val="bottom"/>
            <w:hideMark/>
          </w:tcPr>
          <w:p w14:paraId="56BDD95B" w14:textId="77777777" w:rsidR="00000000" w:rsidRDefault="009027A3">
            <w:pPr>
              <w:rPr>
                <w:rFonts w:eastAsia="Times New Roman"/>
                <w:sz w:val="20"/>
                <w:szCs w:val="20"/>
              </w:rPr>
            </w:pPr>
            <w:r>
              <w:rPr>
                <w:rFonts w:eastAsia="Times New Roman"/>
                <w:sz w:val="20"/>
                <w:szCs w:val="20"/>
              </w:rPr>
              <w:t> </w:t>
            </w:r>
          </w:p>
        </w:tc>
      </w:tr>
      <w:tr w:rsidR="00000000" w14:paraId="4DC57C2B" w14:textId="77777777">
        <w:tc>
          <w:tcPr>
            <w:tcW w:w="0" w:type="auto"/>
            <w:shd w:val="clear" w:color="auto" w:fill="CCEEFF"/>
            <w:vAlign w:val="bottom"/>
            <w:hideMark/>
          </w:tcPr>
          <w:p w14:paraId="11E46368" w14:textId="77777777" w:rsidR="00000000" w:rsidRDefault="009027A3">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14:paraId="01C6377F" w14:textId="77777777" w:rsidR="00000000" w:rsidRDefault="009027A3">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14:paraId="2C4BA4C8" w14:textId="77777777" w:rsidR="00000000" w:rsidRDefault="009027A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CFD557D" w14:textId="77777777" w:rsidR="00000000" w:rsidRDefault="009027A3">
            <w:pPr>
              <w:rPr>
                <w:rFonts w:eastAsia="Times New Roman"/>
                <w:sz w:val="20"/>
                <w:szCs w:val="20"/>
              </w:rPr>
            </w:pPr>
            <w:r>
              <w:rPr>
                <w:rFonts w:eastAsia="Times New Roman"/>
                <w:sz w:val="20"/>
                <w:szCs w:val="20"/>
              </w:rPr>
              <w:t> </w:t>
            </w:r>
          </w:p>
        </w:tc>
      </w:tr>
      <w:tr w:rsidR="00000000" w14:paraId="086F9B87" w14:textId="77777777">
        <w:tc>
          <w:tcPr>
            <w:tcW w:w="2800" w:type="pct"/>
            <w:shd w:val="clear" w:color="auto" w:fill="FFFFFF"/>
            <w:tcMar>
              <w:top w:w="0" w:type="dxa"/>
              <w:left w:w="200" w:type="dxa"/>
              <w:bottom w:w="0" w:type="dxa"/>
              <w:right w:w="0" w:type="dxa"/>
            </w:tcMar>
            <w:vAlign w:val="bottom"/>
            <w:hideMark/>
          </w:tcPr>
          <w:p w14:paraId="2C395CDB" w14:textId="77777777" w:rsidR="00000000" w:rsidRDefault="009027A3">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14:paraId="2FAC123B"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441EA6" w14:textId="77777777" w:rsidR="00000000" w:rsidRDefault="009027A3">
            <w:pPr>
              <w:rPr>
                <w:rFonts w:eastAsia="Times New Roman"/>
                <w:sz w:val="20"/>
                <w:szCs w:val="20"/>
              </w:rPr>
            </w:pPr>
            <w:r>
              <w:rPr>
                <w:rFonts w:eastAsia="Times New Roman"/>
                <w:sz w:val="20"/>
                <w:szCs w:val="20"/>
              </w:rPr>
              <w:t>$</w:t>
            </w:r>
          </w:p>
        </w:tc>
        <w:tc>
          <w:tcPr>
            <w:tcW w:w="900" w:type="pct"/>
            <w:shd w:val="clear" w:color="auto" w:fill="FFFFFF"/>
            <w:vAlign w:val="bottom"/>
            <w:hideMark/>
          </w:tcPr>
          <w:p w14:paraId="0B58AF82" w14:textId="77777777" w:rsidR="00000000" w:rsidRDefault="009027A3">
            <w:pPr>
              <w:jc w:val="right"/>
              <w:rPr>
                <w:rFonts w:eastAsia="Times New Roman"/>
                <w:sz w:val="20"/>
                <w:szCs w:val="20"/>
              </w:rPr>
            </w:pPr>
            <w:r>
              <w:rPr>
                <w:rFonts w:eastAsia="Times New Roman"/>
                <w:sz w:val="20"/>
                <w:szCs w:val="20"/>
              </w:rPr>
              <w:t>19,448</w:t>
            </w:r>
          </w:p>
        </w:tc>
        <w:tc>
          <w:tcPr>
            <w:tcW w:w="50" w:type="pct"/>
            <w:shd w:val="clear" w:color="auto" w:fill="FFFFFF"/>
            <w:vAlign w:val="bottom"/>
            <w:hideMark/>
          </w:tcPr>
          <w:p w14:paraId="6451C299"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FA36683"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07DE4" w14:textId="77777777" w:rsidR="00000000" w:rsidRDefault="009027A3">
            <w:pPr>
              <w:rPr>
                <w:rFonts w:eastAsia="Times New Roman"/>
                <w:sz w:val="20"/>
                <w:szCs w:val="20"/>
              </w:rPr>
            </w:pPr>
            <w:r>
              <w:rPr>
                <w:rFonts w:eastAsia="Times New Roman"/>
                <w:sz w:val="20"/>
                <w:szCs w:val="20"/>
              </w:rPr>
              <w:t>$</w:t>
            </w:r>
          </w:p>
        </w:tc>
        <w:tc>
          <w:tcPr>
            <w:tcW w:w="900" w:type="pct"/>
            <w:shd w:val="clear" w:color="auto" w:fill="FFFFFF"/>
            <w:vAlign w:val="bottom"/>
            <w:hideMark/>
          </w:tcPr>
          <w:p w14:paraId="6A0A668C" w14:textId="77777777" w:rsidR="00000000" w:rsidRDefault="009027A3">
            <w:pPr>
              <w:jc w:val="right"/>
              <w:rPr>
                <w:rFonts w:eastAsia="Times New Roman"/>
                <w:sz w:val="20"/>
                <w:szCs w:val="20"/>
              </w:rPr>
            </w:pPr>
            <w:r>
              <w:rPr>
                <w:rFonts w:eastAsia="Times New Roman"/>
                <w:sz w:val="20"/>
                <w:szCs w:val="20"/>
              </w:rPr>
              <w:t>13,190</w:t>
            </w:r>
          </w:p>
        </w:tc>
        <w:tc>
          <w:tcPr>
            <w:tcW w:w="50" w:type="pct"/>
            <w:shd w:val="clear" w:color="auto" w:fill="FFFFFF"/>
            <w:vAlign w:val="bottom"/>
            <w:hideMark/>
          </w:tcPr>
          <w:p w14:paraId="2C0CF715" w14:textId="77777777" w:rsidR="00000000" w:rsidRDefault="009027A3">
            <w:pPr>
              <w:rPr>
                <w:rFonts w:eastAsia="Times New Roman"/>
                <w:sz w:val="20"/>
                <w:szCs w:val="20"/>
              </w:rPr>
            </w:pPr>
            <w:r>
              <w:rPr>
                <w:rFonts w:eastAsia="Times New Roman"/>
                <w:sz w:val="20"/>
                <w:szCs w:val="20"/>
              </w:rPr>
              <w:t> </w:t>
            </w:r>
          </w:p>
        </w:tc>
      </w:tr>
      <w:tr w:rsidR="00000000" w14:paraId="748252CB" w14:textId="77777777">
        <w:tc>
          <w:tcPr>
            <w:tcW w:w="0" w:type="auto"/>
            <w:shd w:val="clear" w:color="auto" w:fill="CCEEFF"/>
            <w:tcMar>
              <w:top w:w="0" w:type="dxa"/>
              <w:left w:w="200" w:type="dxa"/>
              <w:bottom w:w="0" w:type="dxa"/>
              <w:right w:w="0" w:type="dxa"/>
            </w:tcMar>
            <w:vAlign w:val="bottom"/>
            <w:hideMark/>
          </w:tcPr>
          <w:p w14:paraId="3CAE34AD" w14:textId="77777777" w:rsidR="00000000" w:rsidRDefault="009027A3">
            <w:pPr>
              <w:rPr>
                <w:rFonts w:eastAsia="Times New Roman"/>
                <w:sz w:val="20"/>
                <w:szCs w:val="20"/>
              </w:rPr>
            </w:pPr>
            <w:r>
              <w:rPr>
                <w:rFonts w:eastAsia="Times New Roman"/>
                <w:sz w:val="20"/>
                <w:szCs w:val="20"/>
              </w:rPr>
              <w:t>SaaS solutions</w:t>
            </w:r>
          </w:p>
        </w:tc>
        <w:tc>
          <w:tcPr>
            <w:tcW w:w="0" w:type="auto"/>
            <w:shd w:val="clear" w:color="auto" w:fill="CCEEFF"/>
            <w:vAlign w:val="bottom"/>
            <w:hideMark/>
          </w:tcPr>
          <w:p w14:paraId="0227B8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43C3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65F47" w14:textId="77777777" w:rsidR="00000000" w:rsidRDefault="009027A3">
            <w:pPr>
              <w:jc w:val="right"/>
              <w:rPr>
                <w:rFonts w:eastAsia="Times New Roman"/>
                <w:sz w:val="20"/>
                <w:szCs w:val="20"/>
              </w:rPr>
            </w:pPr>
            <w:r>
              <w:rPr>
                <w:rFonts w:eastAsia="Times New Roman"/>
                <w:sz w:val="20"/>
                <w:szCs w:val="20"/>
              </w:rPr>
              <w:t>5,261</w:t>
            </w:r>
          </w:p>
        </w:tc>
        <w:tc>
          <w:tcPr>
            <w:tcW w:w="0" w:type="auto"/>
            <w:shd w:val="clear" w:color="auto" w:fill="CCEEFF"/>
            <w:vAlign w:val="bottom"/>
            <w:hideMark/>
          </w:tcPr>
          <w:p w14:paraId="2251DCB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E367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CC847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1BDA5" w14:textId="77777777" w:rsidR="00000000" w:rsidRDefault="009027A3">
            <w:pPr>
              <w:jc w:val="right"/>
              <w:rPr>
                <w:rFonts w:eastAsia="Times New Roman"/>
                <w:sz w:val="20"/>
                <w:szCs w:val="20"/>
              </w:rPr>
            </w:pPr>
            <w:r>
              <w:rPr>
                <w:rFonts w:eastAsia="Times New Roman"/>
                <w:sz w:val="20"/>
                <w:szCs w:val="20"/>
              </w:rPr>
              <w:t>3,614</w:t>
            </w:r>
          </w:p>
        </w:tc>
        <w:tc>
          <w:tcPr>
            <w:tcW w:w="0" w:type="auto"/>
            <w:shd w:val="clear" w:color="auto" w:fill="CCEEFF"/>
            <w:vAlign w:val="bottom"/>
            <w:hideMark/>
          </w:tcPr>
          <w:p w14:paraId="51D50735" w14:textId="77777777" w:rsidR="00000000" w:rsidRDefault="009027A3">
            <w:pPr>
              <w:rPr>
                <w:rFonts w:eastAsia="Times New Roman"/>
                <w:sz w:val="20"/>
                <w:szCs w:val="20"/>
              </w:rPr>
            </w:pPr>
            <w:r>
              <w:rPr>
                <w:rFonts w:eastAsia="Times New Roman"/>
                <w:sz w:val="20"/>
                <w:szCs w:val="20"/>
              </w:rPr>
              <w:t> </w:t>
            </w:r>
          </w:p>
        </w:tc>
      </w:tr>
      <w:tr w:rsidR="00000000" w14:paraId="66FEFC47" w14:textId="77777777">
        <w:tc>
          <w:tcPr>
            <w:tcW w:w="0" w:type="auto"/>
            <w:shd w:val="clear" w:color="auto" w:fill="FFFFFF"/>
            <w:tcMar>
              <w:top w:w="0" w:type="dxa"/>
              <w:left w:w="200" w:type="dxa"/>
              <w:bottom w:w="0" w:type="dxa"/>
              <w:right w:w="0" w:type="dxa"/>
            </w:tcMar>
            <w:vAlign w:val="bottom"/>
            <w:hideMark/>
          </w:tcPr>
          <w:p w14:paraId="46AF2E15" w14:textId="77777777" w:rsidR="00000000" w:rsidRDefault="009027A3">
            <w:pPr>
              <w:rPr>
                <w:rFonts w:eastAsia="Times New Roman"/>
                <w:sz w:val="20"/>
                <w:szCs w:val="20"/>
              </w:rPr>
            </w:pPr>
            <w:r>
              <w:rPr>
                <w:rFonts w:eastAsia="Times New Roman"/>
                <w:sz w:val="20"/>
                <w:szCs w:val="20"/>
              </w:rPr>
              <w:t>Professional services</w:t>
            </w:r>
          </w:p>
        </w:tc>
        <w:tc>
          <w:tcPr>
            <w:tcW w:w="0" w:type="auto"/>
            <w:shd w:val="clear" w:color="auto" w:fill="FFFFFF"/>
            <w:vAlign w:val="bottom"/>
            <w:hideMark/>
          </w:tcPr>
          <w:p w14:paraId="4987AAA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BA0E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480FD6" w14:textId="77777777" w:rsidR="00000000" w:rsidRDefault="009027A3">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14:paraId="229469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C78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6BC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3E4D1" w14:textId="77777777" w:rsidR="00000000" w:rsidRDefault="009027A3">
            <w:pPr>
              <w:jc w:val="right"/>
              <w:rPr>
                <w:rFonts w:eastAsia="Times New Roman"/>
                <w:sz w:val="20"/>
                <w:szCs w:val="20"/>
              </w:rPr>
            </w:pPr>
            <w:r>
              <w:rPr>
                <w:rFonts w:eastAsia="Times New Roman"/>
                <w:sz w:val="20"/>
                <w:szCs w:val="20"/>
              </w:rPr>
              <w:t>391</w:t>
            </w:r>
          </w:p>
        </w:tc>
        <w:tc>
          <w:tcPr>
            <w:tcW w:w="0" w:type="auto"/>
            <w:shd w:val="clear" w:color="auto" w:fill="FFFFFF"/>
            <w:vAlign w:val="bottom"/>
            <w:hideMark/>
          </w:tcPr>
          <w:p w14:paraId="082DFAE6" w14:textId="77777777" w:rsidR="00000000" w:rsidRDefault="009027A3">
            <w:pPr>
              <w:rPr>
                <w:rFonts w:eastAsia="Times New Roman"/>
                <w:sz w:val="20"/>
                <w:szCs w:val="20"/>
              </w:rPr>
            </w:pPr>
            <w:r>
              <w:rPr>
                <w:rFonts w:eastAsia="Times New Roman"/>
                <w:sz w:val="20"/>
                <w:szCs w:val="20"/>
              </w:rPr>
              <w:t> </w:t>
            </w:r>
          </w:p>
        </w:tc>
      </w:tr>
      <w:tr w:rsidR="00000000" w14:paraId="6EB304D6" w14:textId="77777777">
        <w:tc>
          <w:tcPr>
            <w:tcW w:w="0" w:type="auto"/>
            <w:shd w:val="clear" w:color="auto" w:fill="CCEEFF"/>
            <w:tcMar>
              <w:top w:w="0" w:type="dxa"/>
              <w:left w:w="200" w:type="dxa"/>
              <w:bottom w:w="0" w:type="dxa"/>
              <w:right w:w="0" w:type="dxa"/>
            </w:tcMar>
            <w:vAlign w:val="bottom"/>
            <w:hideMark/>
          </w:tcPr>
          <w:p w14:paraId="5F212EDF" w14:textId="77777777" w:rsidR="00000000" w:rsidRDefault="009027A3">
            <w:pPr>
              <w:rPr>
                <w:rFonts w:eastAsia="Times New Roman"/>
                <w:sz w:val="20"/>
                <w:szCs w:val="20"/>
              </w:rPr>
            </w:pPr>
            <w:r>
              <w:rPr>
                <w:rFonts w:eastAsia="Times New Roman"/>
                <w:sz w:val="20"/>
                <w:szCs w:val="20"/>
              </w:rPr>
              <w:t>Ancillary services</w:t>
            </w:r>
          </w:p>
        </w:tc>
        <w:tc>
          <w:tcPr>
            <w:tcW w:w="0" w:type="auto"/>
            <w:shd w:val="clear" w:color="auto" w:fill="CCEEFF"/>
            <w:vAlign w:val="bottom"/>
            <w:hideMark/>
          </w:tcPr>
          <w:p w14:paraId="170FFD4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34A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6B089" w14:textId="77777777" w:rsidR="00000000" w:rsidRDefault="009027A3">
            <w:pPr>
              <w:jc w:val="right"/>
              <w:rPr>
                <w:rFonts w:eastAsia="Times New Roman"/>
                <w:sz w:val="20"/>
                <w:szCs w:val="20"/>
              </w:rPr>
            </w:pPr>
            <w:r>
              <w:rPr>
                <w:rFonts w:eastAsia="Times New Roman"/>
                <w:sz w:val="20"/>
                <w:szCs w:val="20"/>
              </w:rPr>
              <w:t>984</w:t>
            </w:r>
          </w:p>
        </w:tc>
        <w:tc>
          <w:tcPr>
            <w:tcW w:w="0" w:type="auto"/>
            <w:shd w:val="clear" w:color="auto" w:fill="CCEEFF"/>
            <w:vAlign w:val="bottom"/>
            <w:hideMark/>
          </w:tcPr>
          <w:p w14:paraId="28AF78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A8BC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53A5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DACA0" w14:textId="77777777" w:rsidR="00000000" w:rsidRDefault="009027A3">
            <w:pPr>
              <w:jc w:val="right"/>
              <w:rPr>
                <w:rFonts w:eastAsia="Times New Roman"/>
                <w:sz w:val="20"/>
                <w:szCs w:val="20"/>
              </w:rPr>
            </w:pPr>
            <w:r>
              <w:rPr>
                <w:rFonts w:eastAsia="Times New Roman"/>
                <w:sz w:val="20"/>
                <w:szCs w:val="20"/>
              </w:rPr>
              <w:t>721</w:t>
            </w:r>
          </w:p>
        </w:tc>
        <w:tc>
          <w:tcPr>
            <w:tcW w:w="0" w:type="auto"/>
            <w:shd w:val="clear" w:color="auto" w:fill="CCEEFF"/>
            <w:vAlign w:val="bottom"/>
            <w:hideMark/>
          </w:tcPr>
          <w:p w14:paraId="65A46491" w14:textId="77777777" w:rsidR="00000000" w:rsidRDefault="009027A3">
            <w:pPr>
              <w:rPr>
                <w:rFonts w:eastAsia="Times New Roman"/>
                <w:sz w:val="20"/>
                <w:szCs w:val="20"/>
              </w:rPr>
            </w:pPr>
            <w:r>
              <w:rPr>
                <w:rFonts w:eastAsia="Times New Roman"/>
                <w:sz w:val="20"/>
                <w:szCs w:val="20"/>
              </w:rPr>
              <w:t> </w:t>
            </w:r>
          </w:p>
        </w:tc>
      </w:tr>
      <w:tr w:rsidR="00000000" w14:paraId="31F27B93" w14:textId="77777777">
        <w:tc>
          <w:tcPr>
            <w:tcW w:w="0" w:type="auto"/>
            <w:shd w:val="clear" w:color="auto" w:fill="FFFFFF"/>
            <w:tcMar>
              <w:top w:w="0" w:type="dxa"/>
              <w:left w:w="200" w:type="dxa"/>
              <w:bottom w:w="0" w:type="dxa"/>
              <w:right w:w="0" w:type="dxa"/>
            </w:tcMar>
            <w:vAlign w:val="bottom"/>
            <w:hideMark/>
          </w:tcPr>
          <w:p w14:paraId="64CD70BD" w14:textId="77777777" w:rsidR="00000000" w:rsidRDefault="009027A3">
            <w:pPr>
              <w:rPr>
                <w:rFonts w:eastAsia="Times New Roman"/>
                <w:sz w:val="20"/>
                <w:szCs w:val="20"/>
              </w:rPr>
            </w:pPr>
            <w:r>
              <w:rPr>
                <w:rFonts w:eastAsia="Times New Roman"/>
                <w:sz w:val="20"/>
                <w:szCs w:val="20"/>
              </w:rPr>
              <w:t>Group purchasing services</w:t>
            </w:r>
          </w:p>
        </w:tc>
        <w:tc>
          <w:tcPr>
            <w:tcW w:w="0" w:type="auto"/>
            <w:shd w:val="clear" w:color="auto" w:fill="FFFFFF"/>
            <w:vAlign w:val="bottom"/>
            <w:hideMark/>
          </w:tcPr>
          <w:p w14:paraId="386AEB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CD52D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F3FF1" w14:textId="77777777" w:rsidR="00000000" w:rsidRDefault="009027A3">
            <w:pPr>
              <w:jc w:val="right"/>
              <w:rPr>
                <w:rFonts w:eastAsia="Times New Roman"/>
                <w:sz w:val="20"/>
                <w:szCs w:val="20"/>
              </w:rPr>
            </w:pPr>
            <w:r>
              <w:rPr>
                <w:rFonts w:eastAsia="Times New Roman"/>
                <w:sz w:val="20"/>
                <w:szCs w:val="20"/>
              </w:rPr>
              <w:t>188</w:t>
            </w:r>
          </w:p>
        </w:tc>
        <w:tc>
          <w:tcPr>
            <w:tcW w:w="0" w:type="auto"/>
            <w:shd w:val="clear" w:color="auto" w:fill="FFFFFF"/>
            <w:vAlign w:val="bottom"/>
            <w:hideMark/>
          </w:tcPr>
          <w:p w14:paraId="3074F1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1977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C9A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60691D" w14:textId="77777777" w:rsidR="00000000" w:rsidRDefault="009027A3">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14:paraId="36AD5068" w14:textId="77777777" w:rsidR="00000000" w:rsidRDefault="009027A3">
            <w:pPr>
              <w:rPr>
                <w:rFonts w:eastAsia="Times New Roman"/>
                <w:sz w:val="20"/>
                <w:szCs w:val="20"/>
              </w:rPr>
            </w:pPr>
            <w:r>
              <w:rPr>
                <w:rFonts w:eastAsia="Times New Roman"/>
                <w:sz w:val="20"/>
                <w:szCs w:val="20"/>
              </w:rPr>
              <w:t> </w:t>
            </w:r>
          </w:p>
        </w:tc>
      </w:tr>
      <w:tr w:rsidR="00000000" w14:paraId="32D0C9B9" w14:textId="77777777">
        <w:tc>
          <w:tcPr>
            <w:tcW w:w="0" w:type="auto"/>
            <w:shd w:val="clear" w:color="auto" w:fill="CCEEFF"/>
            <w:tcMar>
              <w:top w:w="0" w:type="dxa"/>
              <w:left w:w="200" w:type="dxa"/>
              <w:bottom w:w="0" w:type="dxa"/>
              <w:right w:w="0" w:type="dxa"/>
            </w:tcMar>
            <w:vAlign w:val="bottom"/>
            <w:hideMark/>
          </w:tcPr>
          <w:p w14:paraId="3E7B8F6B" w14:textId="77777777" w:rsidR="00000000" w:rsidRDefault="009027A3">
            <w:pPr>
              <w:rPr>
                <w:rFonts w:eastAsia="Times New Roman"/>
                <w:sz w:val="20"/>
                <w:szCs w:val="20"/>
              </w:rPr>
            </w:pPr>
            <w:r>
              <w:rPr>
                <w:rFonts w:eastAsia="Times New Roman"/>
                <w:sz w:val="20"/>
                <w:szCs w:val="20"/>
              </w:rPr>
              <w:t>Printing and mailing services</w:t>
            </w:r>
          </w:p>
        </w:tc>
        <w:tc>
          <w:tcPr>
            <w:tcW w:w="0" w:type="auto"/>
            <w:shd w:val="clear" w:color="auto" w:fill="CCEEFF"/>
            <w:vAlign w:val="bottom"/>
            <w:hideMark/>
          </w:tcPr>
          <w:p w14:paraId="2539CD9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206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A0A95" w14:textId="77777777" w:rsidR="00000000" w:rsidRDefault="009027A3">
            <w:pPr>
              <w:jc w:val="right"/>
              <w:rPr>
                <w:rFonts w:eastAsia="Times New Roman"/>
                <w:sz w:val="20"/>
                <w:szCs w:val="20"/>
              </w:rPr>
            </w:pPr>
            <w:r>
              <w:rPr>
                <w:rFonts w:eastAsia="Times New Roman"/>
                <w:sz w:val="20"/>
                <w:szCs w:val="20"/>
              </w:rPr>
              <w:t>383</w:t>
            </w:r>
          </w:p>
        </w:tc>
        <w:tc>
          <w:tcPr>
            <w:tcW w:w="0" w:type="auto"/>
            <w:shd w:val="clear" w:color="auto" w:fill="CCEEFF"/>
            <w:vAlign w:val="bottom"/>
            <w:hideMark/>
          </w:tcPr>
          <w:p w14:paraId="0814C24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D266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683C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9B656" w14:textId="77777777" w:rsidR="00000000" w:rsidRDefault="009027A3">
            <w:pPr>
              <w:jc w:val="right"/>
              <w:rPr>
                <w:rFonts w:eastAsia="Times New Roman"/>
                <w:sz w:val="20"/>
                <w:szCs w:val="20"/>
              </w:rPr>
            </w:pPr>
            <w:r>
              <w:rPr>
                <w:rFonts w:eastAsia="Times New Roman"/>
                <w:sz w:val="20"/>
                <w:szCs w:val="20"/>
              </w:rPr>
              <w:t>429</w:t>
            </w:r>
          </w:p>
        </w:tc>
        <w:tc>
          <w:tcPr>
            <w:tcW w:w="0" w:type="auto"/>
            <w:shd w:val="clear" w:color="auto" w:fill="CCEEFF"/>
            <w:vAlign w:val="bottom"/>
            <w:hideMark/>
          </w:tcPr>
          <w:p w14:paraId="1704EBA5" w14:textId="77777777" w:rsidR="00000000" w:rsidRDefault="009027A3">
            <w:pPr>
              <w:rPr>
                <w:rFonts w:eastAsia="Times New Roman"/>
                <w:sz w:val="20"/>
                <w:szCs w:val="20"/>
              </w:rPr>
            </w:pPr>
            <w:r>
              <w:rPr>
                <w:rFonts w:eastAsia="Times New Roman"/>
                <w:sz w:val="20"/>
                <w:szCs w:val="20"/>
              </w:rPr>
              <w:t> </w:t>
            </w:r>
          </w:p>
        </w:tc>
      </w:tr>
      <w:tr w:rsidR="00000000" w14:paraId="6B341D8E" w14:textId="77777777">
        <w:tc>
          <w:tcPr>
            <w:tcW w:w="0" w:type="auto"/>
            <w:shd w:val="clear" w:color="auto" w:fill="FFFFFF"/>
            <w:tcMar>
              <w:top w:w="0" w:type="dxa"/>
              <w:left w:w="200" w:type="dxa"/>
              <w:bottom w:w="0" w:type="dxa"/>
              <w:right w:w="0" w:type="dxa"/>
            </w:tcMar>
            <w:vAlign w:val="bottom"/>
            <w:hideMark/>
          </w:tcPr>
          <w:p w14:paraId="0ED77B34" w14:textId="77777777" w:rsidR="00000000" w:rsidRDefault="009027A3">
            <w:pPr>
              <w:rPr>
                <w:rFonts w:eastAsia="Times New Roman"/>
                <w:sz w:val="20"/>
                <w:szCs w:val="20"/>
              </w:rPr>
            </w:pPr>
            <w:r>
              <w:rPr>
                <w:rFonts w:eastAsia="Times New Roman"/>
                <w:sz w:val="20"/>
                <w:szCs w:val="20"/>
              </w:rPr>
              <w:t>Clearinghouse and EDI services</w:t>
            </w:r>
          </w:p>
        </w:tc>
        <w:tc>
          <w:tcPr>
            <w:tcW w:w="0" w:type="auto"/>
            <w:shd w:val="clear" w:color="auto" w:fill="FFFFFF"/>
            <w:vAlign w:val="bottom"/>
            <w:hideMark/>
          </w:tcPr>
          <w:p w14:paraId="7B9E27D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A8A6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BF5C4" w14:textId="77777777" w:rsidR="00000000" w:rsidRDefault="009027A3">
            <w:pPr>
              <w:jc w:val="right"/>
              <w:rPr>
                <w:rFonts w:eastAsia="Times New Roman"/>
                <w:sz w:val="20"/>
                <w:szCs w:val="20"/>
              </w:rPr>
            </w:pPr>
            <w:r>
              <w:rPr>
                <w:rFonts w:eastAsia="Times New Roman"/>
                <w:sz w:val="20"/>
                <w:szCs w:val="20"/>
              </w:rPr>
              <w:t>152</w:t>
            </w:r>
          </w:p>
        </w:tc>
        <w:tc>
          <w:tcPr>
            <w:tcW w:w="0" w:type="auto"/>
            <w:shd w:val="clear" w:color="auto" w:fill="FFFFFF"/>
            <w:vAlign w:val="bottom"/>
            <w:hideMark/>
          </w:tcPr>
          <w:p w14:paraId="2C205F8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CC9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AEF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B053E" w14:textId="77777777" w:rsidR="00000000" w:rsidRDefault="009027A3">
            <w:pPr>
              <w:jc w:val="right"/>
              <w:rPr>
                <w:rFonts w:eastAsia="Times New Roman"/>
                <w:sz w:val="20"/>
                <w:szCs w:val="20"/>
              </w:rPr>
            </w:pPr>
            <w:r>
              <w:rPr>
                <w:rFonts w:eastAsia="Times New Roman"/>
                <w:sz w:val="20"/>
                <w:szCs w:val="20"/>
              </w:rPr>
              <w:t>319</w:t>
            </w:r>
          </w:p>
        </w:tc>
        <w:tc>
          <w:tcPr>
            <w:tcW w:w="0" w:type="auto"/>
            <w:shd w:val="clear" w:color="auto" w:fill="FFFFFF"/>
            <w:vAlign w:val="bottom"/>
            <w:hideMark/>
          </w:tcPr>
          <w:p w14:paraId="6254D31E" w14:textId="77777777" w:rsidR="00000000" w:rsidRDefault="009027A3">
            <w:pPr>
              <w:rPr>
                <w:rFonts w:eastAsia="Times New Roman"/>
                <w:sz w:val="20"/>
                <w:szCs w:val="20"/>
              </w:rPr>
            </w:pPr>
            <w:r>
              <w:rPr>
                <w:rFonts w:eastAsia="Times New Roman"/>
                <w:sz w:val="20"/>
                <w:szCs w:val="20"/>
              </w:rPr>
              <w:t> </w:t>
            </w:r>
          </w:p>
        </w:tc>
      </w:tr>
      <w:tr w:rsidR="00000000" w14:paraId="15C3F6CE" w14:textId="77777777">
        <w:tc>
          <w:tcPr>
            <w:tcW w:w="0" w:type="auto"/>
            <w:shd w:val="clear" w:color="auto" w:fill="CCEEFF"/>
            <w:vAlign w:val="bottom"/>
            <w:hideMark/>
          </w:tcPr>
          <w:p w14:paraId="495ED3DC" w14:textId="77777777" w:rsidR="00000000" w:rsidRDefault="009027A3">
            <w:pPr>
              <w:rPr>
                <w:rFonts w:eastAsia="Times New Roman"/>
                <w:b/>
                <w:bCs/>
                <w:sz w:val="20"/>
                <w:szCs w:val="20"/>
              </w:rPr>
            </w:pPr>
            <w:r>
              <w:rPr>
                <w:rFonts w:eastAsia="Times New Roman"/>
                <w:b/>
                <w:bCs/>
                <w:sz w:val="20"/>
                <w:szCs w:val="20"/>
              </w:rPr>
              <w:t>Practice Management:</w:t>
            </w:r>
          </w:p>
        </w:tc>
        <w:tc>
          <w:tcPr>
            <w:tcW w:w="0" w:type="auto"/>
            <w:shd w:val="clear" w:color="auto" w:fill="CCEEFF"/>
            <w:vAlign w:val="bottom"/>
            <w:hideMark/>
          </w:tcPr>
          <w:p w14:paraId="55F281C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892F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BF7DB"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C087B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44F2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E52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855D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F1512E" w14:textId="77777777" w:rsidR="00000000" w:rsidRDefault="009027A3">
            <w:pPr>
              <w:rPr>
                <w:rFonts w:eastAsia="Times New Roman"/>
                <w:sz w:val="20"/>
                <w:szCs w:val="20"/>
              </w:rPr>
            </w:pPr>
            <w:r>
              <w:rPr>
                <w:rFonts w:eastAsia="Times New Roman"/>
                <w:sz w:val="20"/>
                <w:szCs w:val="20"/>
              </w:rPr>
              <w:t> </w:t>
            </w:r>
          </w:p>
        </w:tc>
      </w:tr>
      <w:tr w:rsidR="00000000" w14:paraId="21597D41" w14:textId="77777777">
        <w:tc>
          <w:tcPr>
            <w:tcW w:w="0" w:type="auto"/>
            <w:shd w:val="clear" w:color="auto" w:fill="FFFFFF"/>
            <w:tcMar>
              <w:top w:w="0" w:type="dxa"/>
              <w:left w:w="200" w:type="dxa"/>
              <w:bottom w:w="30" w:type="dxa"/>
              <w:right w:w="0" w:type="dxa"/>
            </w:tcMar>
            <w:vAlign w:val="bottom"/>
            <w:hideMark/>
          </w:tcPr>
          <w:p w14:paraId="19DFECF1" w14:textId="77777777" w:rsidR="00000000" w:rsidRDefault="009027A3">
            <w:pPr>
              <w:rPr>
                <w:rFonts w:eastAsia="Times New Roman"/>
                <w:sz w:val="20"/>
                <w:szCs w:val="20"/>
              </w:rPr>
            </w:pPr>
            <w:r>
              <w:rPr>
                <w:rFonts w:eastAsia="Times New Roman"/>
                <w:sz w:val="20"/>
                <w:szCs w:val="20"/>
              </w:rPr>
              <w:t>Practice management services</w:t>
            </w:r>
          </w:p>
        </w:tc>
        <w:tc>
          <w:tcPr>
            <w:tcW w:w="0" w:type="auto"/>
            <w:shd w:val="clear" w:color="auto" w:fill="FFFFFF"/>
            <w:tcMar>
              <w:top w:w="0" w:type="dxa"/>
              <w:left w:w="0" w:type="dxa"/>
              <w:bottom w:w="30" w:type="dxa"/>
              <w:right w:w="0" w:type="dxa"/>
            </w:tcMar>
            <w:vAlign w:val="bottom"/>
            <w:hideMark/>
          </w:tcPr>
          <w:p w14:paraId="3E91A48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62AE9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D1540B" w14:textId="77777777" w:rsidR="00000000" w:rsidRDefault="009027A3">
            <w:pPr>
              <w:jc w:val="right"/>
              <w:rPr>
                <w:rFonts w:eastAsia="Times New Roman"/>
                <w:sz w:val="20"/>
                <w:szCs w:val="20"/>
              </w:rPr>
            </w:pPr>
            <w:r>
              <w:rPr>
                <w:rFonts w:eastAsia="Times New Roman"/>
                <w:sz w:val="20"/>
                <w:szCs w:val="20"/>
              </w:rPr>
              <w:t>2,735</w:t>
            </w:r>
          </w:p>
        </w:tc>
        <w:tc>
          <w:tcPr>
            <w:tcW w:w="0" w:type="auto"/>
            <w:shd w:val="clear" w:color="auto" w:fill="FFFFFF"/>
            <w:tcMar>
              <w:top w:w="0" w:type="dxa"/>
              <w:left w:w="0" w:type="dxa"/>
              <w:bottom w:w="30" w:type="dxa"/>
              <w:right w:w="0" w:type="dxa"/>
            </w:tcMar>
            <w:vAlign w:val="bottom"/>
            <w:hideMark/>
          </w:tcPr>
          <w:p w14:paraId="6191D4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2914C2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23230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027EA1" w14:textId="77777777" w:rsidR="00000000" w:rsidRDefault="009027A3">
            <w:pPr>
              <w:jc w:val="right"/>
              <w:rPr>
                <w:rFonts w:eastAsia="Times New Roman"/>
                <w:sz w:val="20"/>
                <w:szCs w:val="20"/>
              </w:rPr>
            </w:pPr>
            <w:r>
              <w:rPr>
                <w:rFonts w:eastAsia="Times New Roman"/>
                <w:sz w:val="20"/>
                <w:szCs w:val="20"/>
              </w:rPr>
              <w:t>3,026</w:t>
            </w:r>
          </w:p>
        </w:tc>
        <w:tc>
          <w:tcPr>
            <w:tcW w:w="0" w:type="auto"/>
            <w:shd w:val="clear" w:color="auto" w:fill="FFFFFF"/>
            <w:tcMar>
              <w:top w:w="0" w:type="dxa"/>
              <w:left w:w="0" w:type="dxa"/>
              <w:bottom w:w="30" w:type="dxa"/>
              <w:right w:w="0" w:type="dxa"/>
            </w:tcMar>
            <w:vAlign w:val="bottom"/>
            <w:hideMark/>
          </w:tcPr>
          <w:p w14:paraId="20C0D935" w14:textId="77777777" w:rsidR="00000000" w:rsidRDefault="009027A3">
            <w:pPr>
              <w:rPr>
                <w:rFonts w:eastAsia="Times New Roman"/>
                <w:sz w:val="20"/>
                <w:szCs w:val="20"/>
              </w:rPr>
            </w:pPr>
            <w:r>
              <w:rPr>
                <w:rFonts w:eastAsia="Times New Roman"/>
                <w:sz w:val="20"/>
                <w:szCs w:val="20"/>
              </w:rPr>
              <w:t> </w:t>
            </w:r>
          </w:p>
        </w:tc>
      </w:tr>
      <w:tr w:rsidR="00000000" w14:paraId="320B38A9" w14:textId="77777777">
        <w:tc>
          <w:tcPr>
            <w:tcW w:w="0" w:type="auto"/>
            <w:shd w:val="clear" w:color="auto" w:fill="CCEEFF"/>
            <w:tcMar>
              <w:top w:w="0" w:type="dxa"/>
              <w:left w:w="0" w:type="dxa"/>
              <w:bottom w:w="50" w:type="dxa"/>
              <w:right w:w="0" w:type="dxa"/>
            </w:tcMar>
            <w:vAlign w:val="bottom"/>
            <w:hideMark/>
          </w:tcPr>
          <w:p w14:paraId="0126E688" w14:textId="77777777" w:rsidR="00000000" w:rsidRDefault="009027A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4C66A08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82A6DC9"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EC2832D" w14:textId="77777777" w:rsidR="00000000" w:rsidRDefault="009027A3">
            <w:pPr>
              <w:jc w:val="right"/>
              <w:rPr>
                <w:rFonts w:eastAsia="Times New Roman"/>
                <w:sz w:val="20"/>
                <w:szCs w:val="20"/>
              </w:rPr>
            </w:pPr>
            <w:r>
              <w:rPr>
                <w:rFonts w:eastAsia="Times New Roman"/>
                <w:sz w:val="20"/>
                <w:szCs w:val="20"/>
              </w:rPr>
              <w:t>29,768</w:t>
            </w:r>
          </w:p>
        </w:tc>
        <w:tc>
          <w:tcPr>
            <w:tcW w:w="0" w:type="auto"/>
            <w:shd w:val="clear" w:color="auto" w:fill="CCEEFF"/>
            <w:tcMar>
              <w:top w:w="0" w:type="dxa"/>
              <w:left w:w="0" w:type="dxa"/>
              <w:bottom w:w="50" w:type="dxa"/>
              <w:right w:w="0" w:type="dxa"/>
            </w:tcMar>
            <w:vAlign w:val="bottom"/>
            <w:hideMark/>
          </w:tcPr>
          <w:p w14:paraId="772F0FF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3836C09"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3D48D3B"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3AE2DB" w14:textId="77777777" w:rsidR="00000000" w:rsidRDefault="009027A3">
            <w:pPr>
              <w:jc w:val="right"/>
              <w:rPr>
                <w:rFonts w:eastAsia="Times New Roman"/>
                <w:sz w:val="20"/>
                <w:szCs w:val="20"/>
              </w:rPr>
            </w:pPr>
            <w:r>
              <w:rPr>
                <w:rFonts w:eastAsia="Times New Roman"/>
                <w:sz w:val="20"/>
                <w:szCs w:val="20"/>
              </w:rPr>
              <w:t>21,867</w:t>
            </w:r>
          </w:p>
        </w:tc>
        <w:tc>
          <w:tcPr>
            <w:tcW w:w="0" w:type="auto"/>
            <w:shd w:val="clear" w:color="auto" w:fill="CCEEFF"/>
            <w:tcMar>
              <w:top w:w="0" w:type="dxa"/>
              <w:left w:w="0" w:type="dxa"/>
              <w:bottom w:w="50" w:type="dxa"/>
              <w:right w:w="0" w:type="dxa"/>
            </w:tcMar>
            <w:vAlign w:val="bottom"/>
            <w:hideMark/>
          </w:tcPr>
          <w:p w14:paraId="0A1DBDE9" w14:textId="77777777" w:rsidR="00000000" w:rsidRDefault="009027A3">
            <w:pPr>
              <w:rPr>
                <w:rFonts w:eastAsia="Times New Roman"/>
                <w:sz w:val="20"/>
                <w:szCs w:val="20"/>
              </w:rPr>
            </w:pPr>
            <w:r>
              <w:rPr>
                <w:rFonts w:eastAsia="Times New Roman"/>
                <w:sz w:val="20"/>
                <w:szCs w:val="20"/>
              </w:rPr>
              <w:t> </w:t>
            </w:r>
          </w:p>
        </w:tc>
      </w:tr>
    </w:tbl>
    <w:p w14:paraId="73897AE4"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C3C7250" w14:textId="77777777" w:rsidR="00000000" w:rsidRDefault="009027A3">
      <w:pPr>
        <w:pStyle w:val="a3"/>
        <w:spacing w:before="0" w:beforeAutospacing="0" w:after="0" w:afterAutospacing="0"/>
        <w:jc w:val="both"/>
        <w:rPr>
          <w:sz w:val="20"/>
          <w:szCs w:val="20"/>
        </w:rPr>
      </w:pPr>
      <w:r>
        <w:rPr>
          <w:i/>
          <w:iCs/>
          <w:sz w:val="20"/>
          <w:szCs w:val="20"/>
        </w:rPr>
        <w:t>Revenue cycle management services:</w:t>
      </w:r>
    </w:p>
    <w:p w14:paraId="35FA6013" w14:textId="77777777" w:rsidR="00000000" w:rsidRDefault="009027A3">
      <w:pPr>
        <w:pStyle w:val="a3"/>
        <w:spacing w:before="0" w:beforeAutospacing="0" w:after="0" w:afterAutospacing="0"/>
        <w:jc w:val="both"/>
        <w:rPr>
          <w:sz w:val="20"/>
          <w:szCs w:val="20"/>
        </w:rPr>
      </w:pPr>
      <w:r>
        <w:rPr>
          <w:i/>
          <w:iCs/>
          <w:sz w:val="20"/>
          <w:szCs w:val="20"/>
        </w:rPr>
        <w:t> </w:t>
      </w:r>
    </w:p>
    <w:p w14:paraId="614479DD" w14:textId="77777777" w:rsidR="00000000" w:rsidRDefault="009027A3">
      <w:pPr>
        <w:pStyle w:val="a3"/>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The Company typically invoices customers o</w:t>
      </w:r>
      <w:r>
        <w:rPr>
          <w:sz w:val="20"/>
          <w:szCs w:val="20"/>
        </w:rPr>
        <w:t>n a monthly basis based on the actual collections received by its customers and the agreed-upon rate in the sales contract. The fee for these services typically includes use of practice management software and related tools (on a software-as-a-service (“Sa</w:t>
      </w:r>
      <w:r>
        <w:rPr>
          <w:sz w:val="20"/>
          <w:szCs w:val="20"/>
        </w:rPr>
        <w:t>aS”) basis), electronic health records (on a SaaS basis), medical billing services and use of mobile health solutions. We consider the services to be one performance obligation since the promises are not distinct in the context of the contract. The perform</w:t>
      </w:r>
      <w:r>
        <w:rPr>
          <w:sz w:val="20"/>
          <w:szCs w:val="20"/>
        </w:rPr>
        <w:t>ance obligation consists of a series of distinct services that are substantially the same and have the same periodic pattern of transfer to our customers.</w:t>
      </w:r>
    </w:p>
    <w:p w14:paraId="1B03FFA2"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CA85FE" w14:textId="77777777">
        <w:trPr>
          <w:divId w:val="1522282393"/>
        </w:trPr>
        <w:tc>
          <w:tcPr>
            <w:tcW w:w="5000" w:type="pct"/>
            <w:hideMark/>
          </w:tcPr>
          <w:p w14:paraId="0372B65B" w14:textId="77777777" w:rsidR="00000000" w:rsidRDefault="009027A3">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5C2091F7" w14:textId="77777777">
        <w:tc>
          <w:tcPr>
            <w:tcW w:w="5000" w:type="pct"/>
            <w:hideMark/>
          </w:tcPr>
          <w:p w14:paraId="0E833F50" w14:textId="77777777" w:rsidR="00000000" w:rsidRDefault="009027A3">
            <w:pPr>
              <w:rPr>
                <w:rFonts w:eastAsia="Times New Roman"/>
                <w:sz w:val="20"/>
                <w:szCs w:val="20"/>
              </w:rPr>
            </w:pPr>
            <w:r>
              <w:rPr>
                <w:rFonts w:eastAsia="Times New Roman"/>
                <w:sz w:val="20"/>
                <w:szCs w:val="20"/>
              </w:rPr>
              <w:t> </w:t>
            </w:r>
          </w:p>
        </w:tc>
      </w:tr>
    </w:tbl>
    <w:p w14:paraId="688C8985" w14:textId="77777777" w:rsidR="00000000" w:rsidRDefault="009027A3">
      <w:pPr>
        <w:pStyle w:val="a3"/>
        <w:spacing w:before="0" w:beforeAutospacing="0" w:after="0" w:afterAutospacing="0"/>
        <w:jc w:val="both"/>
        <w:rPr>
          <w:sz w:val="20"/>
          <w:szCs w:val="20"/>
        </w:rPr>
      </w:pPr>
      <w:r>
        <w:rPr>
          <w:sz w:val="20"/>
          <w:szCs w:val="20"/>
        </w:rPr>
        <w:t> </w:t>
      </w:r>
    </w:p>
    <w:p w14:paraId="72849685" w14:textId="77777777" w:rsidR="00000000" w:rsidRDefault="009027A3">
      <w:pPr>
        <w:pStyle w:val="a3"/>
        <w:spacing w:before="0" w:beforeAutospacing="0" w:after="0" w:afterAutospacing="0"/>
        <w:jc w:val="both"/>
        <w:rPr>
          <w:sz w:val="20"/>
          <w:szCs w:val="20"/>
        </w:rPr>
      </w:pPr>
      <w:r>
        <w:rPr>
          <w:sz w:val="20"/>
          <w:szCs w:val="20"/>
        </w:rPr>
        <w:t xml:space="preserve">In </w:t>
      </w:r>
      <w:r>
        <w:rPr>
          <w:sz w:val="20"/>
          <w:szCs w:val="20"/>
        </w:rPr>
        <w:t xml:space="preserve">many cases, our clients may terminate their agreements with 90 days notice without cause, thereby limiting the term in which we have enforceable rights and obligations, although this time period can vary between clients. Our payment terms are normally net </w:t>
      </w:r>
      <w:r>
        <w:rPr>
          <w:sz w:val="20"/>
          <w:szCs w:val="20"/>
        </w:rPr>
        <w:t>30 days. Although our contracts typically have stated terms of one or more years, under ASC 606 our contracts are considered month-to-month and accordingly, there is no financing component.</w:t>
      </w:r>
    </w:p>
    <w:p w14:paraId="638F5909" w14:textId="77777777" w:rsidR="00000000" w:rsidRDefault="009027A3">
      <w:pPr>
        <w:pStyle w:val="a3"/>
        <w:spacing w:before="0" w:beforeAutospacing="0" w:after="0" w:afterAutospacing="0"/>
        <w:jc w:val="both"/>
        <w:rPr>
          <w:sz w:val="20"/>
          <w:szCs w:val="20"/>
        </w:rPr>
      </w:pPr>
      <w:r>
        <w:rPr>
          <w:sz w:val="20"/>
          <w:szCs w:val="20"/>
        </w:rPr>
        <w:t> </w:t>
      </w:r>
    </w:p>
    <w:p w14:paraId="0D579DB1" w14:textId="77777777" w:rsidR="00000000" w:rsidRDefault="009027A3">
      <w:pPr>
        <w:pStyle w:val="a3"/>
        <w:spacing w:before="0" w:beforeAutospacing="0" w:after="0" w:afterAutospacing="0"/>
        <w:jc w:val="both"/>
        <w:rPr>
          <w:sz w:val="20"/>
          <w:szCs w:val="20"/>
        </w:rPr>
      </w:pPr>
      <w:r>
        <w:rPr>
          <w:sz w:val="20"/>
          <w:szCs w:val="20"/>
        </w:rPr>
        <w:t xml:space="preserve">For the majority of our revenue cycle management contracts, the </w:t>
      </w:r>
      <w:r>
        <w:rPr>
          <w:sz w:val="20"/>
          <w:szCs w:val="20"/>
        </w:rPr>
        <w:t>total transaction price is variable because our obligation is to process an unknown quantity of claims, as and when requested by our customers over the contract period. When a contract includes variable consideration, we evaluate the estimate of the variab</w:t>
      </w:r>
      <w:r>
        <w:rPr>
          <w:sz w:val="20"/>
          <w:szCs w:val="20"/>
        </w:rPr>
        <w:t>le consideration to determine whether the estimate needs to be constrained; therefore, we include variable consideration in the transaction price only to the extent that it is probable that a significant reversal of the amount of cumulative revenue recogni</w:t>
      </w:r>
      <w:r>
        <w:rPr>
          <w:sz w:val="20"/>
          <w:szCs w:val="20"/>
        </w:rPr>
        <w:t xml:space="preserve">zed will not occur when the uncertainty associated with variable consideration is subsequently resolved. Estimates to determine variable consideration such as payment to charge ratios, effective billing rates, and the estimated contractual payment periods </w:t>
      </w:r>
      <w:r>
        <w:rPr>
          <w:sz w:val="20"/>
          <w:szCs w:val="20"/>
        </w:rPr>
        <w:t>are updated at each reporting date. Revenue is recognized over the performance period using the input method.</w:t>
      </w:r>
    </w:p>
    <w:p w14:paraId="75494698" w14:textId="77777777" w:rsidR="00000000" w:rsidRDefault="009027A3">
      <w:pPr>
        <w:pStyle w:val="a3"/>
        <w:spacing w:before="0" w:beforeAutospacing="0" w:after="0" w:afterAutospacing="0"/>
        <w:jc w:val="both"/>
        <w:rPr>
          <w:sz w:val="20"/>
          <w:szCs w:val="20"/>
        </w:rPr>
      </w:pPr>
      <w:r>
        <w:rPr>
          <w:sz w:val="20"/>
          <w:szCs w:val="20"/>
        </w:rPr>
        <w:t> </w:t>
      </w:r>
    </w:p>
    <w:p w14:paraId="1726375F" w14:textId="77777777" w:rsidR="00000000" w:rsidRDefault="009027A3">
      <w:pPr>
        <w:pStyle w:val="a3"/>
        <w:spacing w:before="0" w:beforeAutospacing="0" w:after="0" w:afterAutospacing="0"/>
        <w:jc w:val="both"/>
        <w:rPr>
          <w:sz w:val="20"/>
          <w:szCs w:val="20"/>
        </w:rPr>
      </w:pPr>
      <w:r>
        <w:rPr>
          <w:i/>
          <w:iCs/>
          <w:sz w:val="20"/>
          <w:szCs w:val="20"/>
        </w:rPr>
        <w:t>SaaS Solutions:</w:t>
      </w:r>
    </w:p>
    <w:p w14:paraId="3026FE9F" w14:textId="77777777" w:rsidR="00000000" w:rsidRDefault="009027A3">
      <w:pPr>
        <w:pStyle w:val="a3"/>
        <w:spacing w:before="0" w:beforeAutospacing="0" w:after="0" w:afterAutospacing="0"/>
        <w:jc w:val="both"/>
        <w:rPr>
          <w:sz w:val="20"/>
          <w:szCs w:val="20"/>
        </w:rPr>
      </w:pPr>
      <w:r>
        <w:rPr>
          <w:i/>
          <w:iCs/>
          <w:sz w:val="20"/>
          <w:szCs w:val="20"/>
        </w:rPr>
        <w:t> </w:t>
      </w:r>
    </w:p>
    <w:p w14:paraId="6302DBB2" w14:textId="77777777" w:rsidR="00000000" w:rsidRDefault="009027A3">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medical office in a u</w:t>
      </w:r>
      <w:r>
        <w:rPr>
          <w:sz w:val="20"/>
          <w:szCs w:val="20"/>
        </w:rPr>
        <w:t>nified and streamlined SaaS platform. The Company has a large number of clients who utilize the Company’s practice management software, electronic health records software, patient experience management solutions, business intelligence software and/or robot</w:t>
      </w:r>
      <w:r>
        <w:rPr>
          <w:sz w:val="20"/>
          <w:szCs w:val="20"/>
        </w:rPr>
        <w:t>ic process automation software on a SaaS basis, but who do not utilize the Company’s revenue cycle management services. SaaS fees may be fixed based on the number of providers, or may be variable.</w:t>
      </w:r>
    </w:p>
    <w:p w14:paraId="7FB335DE"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9268FAB" w14:textId="77777777" w:rsidR="00000000" w:rsidRDefault="009027A3">
      <w:pPr>
        <w:pStyle w:val="a3"/>
        <w:shd w:val="clear" w:color="auto" w:fill="FFFFFF"/>
        <w:spacing w:before="0" w:beforeAutospacing="0" w:after="0" w:afterAutospacing="0"/>
        <w:jc w:val="both"/>
        <w:rPr>
          <w:sz w:val="20"/>
          <w:szCs w:val="20"/>
        </w:rPr>
      </w:pPr>
      <w:r>
        <w:rPr>
          <w:i/>
          <w:iCs/>
          <w:sz w:val="20"/>
          <w:szCs w:val="20"/>
        </w:rPr>
        <w:t>Other revenue streams:</w:t>
      </w:r>
    </w:p>
    <w:p w14:paraId="77625D1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3998676" w14:textId="77777777" w:rsidR="00000000" w:rsidRDefault="009027A3">
      <w:pPr>
        <w:pStyle w:val="a3"/>
        <w:spacing w:before="0" w:beforeAutospacing="0" w:after="0" w:afterAutospacing="0"/>
        <w:jc w:val="both"/>
        <w:rPr>
          <w:sz w:val="20"/>
          <w:szCs w:val="20"/>
        </w:rPr>
      </w:pPr>
      <w:r>
        <w:rPr>
          <w:sz w:val="20"/>
          <w:szCs w:val="20"/>
        </w:rPr>
        <w:t>The Company also provides implem</w:t>
      </w:r>
      <w:r>
        <w:rPr>
          <w:sz w:val="20"/>
          <w:szCs w:val="20"/>
        </w:rPr>
        <w:t>entation and professional services to certain customers and records revenue monthly on a time and materials or a fixed rate basis. This is a separate performance obligation from any revenue cycle management, SaaS, clearinghouse and recurring EDI services p</w:t>
      </w:r>
      <w:r>
        <w:rPr>
          <w:sz w:val="20"/>
          <w:szCs w:val="20"/>
        </w:rPr>
        <w:t>rovided, for which the Company receives and records monthly fees. The performance obligation is satisfied over time as the implementation or professional services are rendered.</w:t>
      </w:r>
    </w:p>
    <w:p w14:paraId="03C8075B" w14:textId="77777777" w:rsidR="00000000" w:rsidRDefault="009027A3">
      <w:pPr>
        <w:pStyle w:val="a3"/>
        <w:spacing w:before="0" w:beforeAutospacing="0" w:after="0" w:afterAutospacing="0"/>
        <w:jc w:val="both"/>
        <w:rPr>
          <w:sz w:val="20"/>
          <w:szCs w:val="20"/>
        </w:rPr>
      </w:pPr>
      <w:r>
        <w:rPr>
          <w:sz w:val="20"/>
          <w:szCs w:val="20"/>
        </w:rPr>
        <w:t> </w:t>
      </w:r>
    </w:p>
    <w:p w14:paraId="2BCEE129" w14:textId="77777777" w:rsidR="00000000" w:rsidRDefault="009027A3">
      <w:pPr>
        <w:pStyle w:val="a3"/>
        <w:spacing w:before="0" w:beforeAutospacing="0" w:after="0" w:afterAutospacing="0"/>
        <w:jc w:val="both"/>
        <w:rPr>
          <w:sz w:val="20"/>
          <w:szCs w:val="20"/>
        </w:rPr>
      </w:pPr>
      <w:r>
        <w:rPr>
          <w:sz w:val="20"/>
          <w:szCs w:val="20"/>
        </w:rPr>
        <w:t>Ancillary services represent services such as coding, credentialing and trans</w:t>
      </w:r>
      <w:r>
        <w:rPr>
          <w:sz w:val="20"/>
          <w:szCs w:val="20"/>
        </w:rPr>
        <w:t>cription that are rendered in connection with the delivery of revenue cycle management and related medical services. The Company invoices customers monthly, based on the actual amount of services performed at the agreed upon rate in the contract. These ser</w:t>
      </w:r>
      <w:r>
        <w:rPr>
          <w:sz w:val="20"/>
          <w:szCs w:val="20"/>
        </w:rPr>
        <w:t xml:space="preserve">vices are only offered to revenue cycle management customers. These services do not represent a material right because the services are optional to the customer and customers electing these services are charged the same price for those services as if they </w:t>
      </w:r>
      <w:r>
        <w:rPr>
          <w:sz w:val="20"/>
          <w:szCs w:val="20"/>
        </w:rPr>
        <w:t>were on a standalone basis. Each individual ancillary service transaction processed represents a performance obligation, which is satisfied over time as that individual service is rendered.</w:t>
      </w:r>
    </w:p>
    <w:p w14:paraId="3AA0B717" w14:textId="77777777" w:rsidR="00000000" w:rsidRDefault="009027A3">
      <w:pPr>
        <w:pStyle w:val="a3"/>
        <w:spacing w:before="0" w:beforeAutospacing="0" w:after="0" w:afterAutospacing="0"/>
        <w:jc w:val="both"/>
        <w:rPr>
          <w:sz w:val="20"/>
          <w:szCs w:val="20"/>
        </w:rPr>
      </w:pPr>
      <w:r>
        <w:rPr>
          <w:sz w:val="20"/>
          <w:szCs w:val="20"/>
        </w:rPr>
        <w:t> </w:t>
      </w:r>
    </w:p>
    <w:p w14:paraId="429CB4FD" w14:textId="77777777" w:rsidR="00000000" w:rsidRDefault="009027A3">
      <w:pPr>
        <w:pStyle w:val="a3"/>
        <w:spacing w:before="0" w:beforeAutospacing="0" w:after="0" w:afterAutospacing="0"/>
        <w:jc w:val="both"/>
        <w:rPr>
          <w:sz w:val="20"/>
          <w:szCs w:val="20"/>
        </w:rPr>
      </w:pPr>
      <w:r>
        <w:rPr>
          <w:sz w:val="20"/>
          <w:szCs w:val="20"/>
        </w:rPr>
        <w:t>The Company provides group purchasing services which enable medi</w:t>
      </w:r>
      <w:r>
        <w:rPr>
          <w:sz w:val="20"/>
          <w:szCs w:val="20"/>
        </w:rPr>
        <w:t xml:space="preserve">cal providers to purchase various vaccines directly from selected pharmaceutical companies at a discounted price. Currently, there are approximately 4,000 medical providers who are members of the program. Revenue is recognized as the vaccine shipments are </w:t>
      </w:r>
      <w:r>
        <w:rPr>
          <w:sz w:val="20"/>
          <w:szCs w:val="20"/>
        </w:rPr>
        <w:t>made to the medical providers. Fees from the pharmaceutical companies are paid either quarterly or annually and the Company adjusts its revenue accrual at the time of payment. The Company makes significant judgments regarding the variable consideration whi</w:t>
      </w:r>
      <w:r>
        <w:rPr>
          <w:sz w:val="20"/>
          <w:szCs w:val="20"/>
        </w:rPr>
        <w:t>ch we expect to be entitled to for the group purchasing services which includes the anticipated shipments to the members enrolled in the program, anticipated volumes of purchases made by the members, and the changes in the number of members. The amounts re</w:t>
      </w:r>
      <w:r>
        <w:rPr>
          <w:sz w:val="20"/>
          <w:szCs w:val="20"/>
        </w:rPr>
        <w:t>corded are constrained by estimates of decreases in shipments and loss of members to avoid a significant revenue reversal in the subsequent period. The only performance obligation is to provide the pharmaceutical companies with the medical providers who wa</w:t>
      </w:r>
      <w:r>
        <w:rPr>
          <w:sz w:val="20"/>
          <w:szCs w:val="20"/>
        </w:rPr>
        <w:t>nt to become members in order to purchase vaccines. The performance obligation is satisfied once the medical provider agrees to purchase a specific quantity of vaccines and the medical provider’s information is forwarded to the vaccine suppliers. The Compa</w:t>
      </w:r>
      <w:r>
        <w:rPr>
          <w:sz w:val="20"/>
          <w:szCs w:val="20"/>
        </w:rPr>
        <w:t>ny records a contract asset for revenue earned and not paid as the ultimate payment is conditioned on achieving certain volume thresholds.</w:t>
      </w:r>
    </w:p>
    <w:p w14:paraId="10D81A44"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3A20E4F" w14:textId="77777777">
        <w:trPr>
          <w:divId w:val="472842362"/>
        </w:trPr>
        <w:tc>
          <w:tcPr>
            <w:tcW w:w="5000" w:type="pct"/>
            <w:hideMark/>
          </w:tcPr>
          <w:p w14:paraId="4D7459B3"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07B39408" w14:textId="77777777">
        <w:tc>
          <w:tcPr>
            <w:tcW w:w="5000" w:type="pct"/>
            <w:hideMark/>
          </w:tcPr>
          <w:p w14:paraId="7B0B9DD9" w14:textId="77777777" w:rsidR="00000000" w:rsidRDefault="009027A3">
            <w:pPr>
              <w:rPr>
                <w:rFonts w:eastAsia="Times New Roman"/>
                <w:sz w:val="20"/>
                <w:szCs w:val="20"/>
              </w:rPr>
            </w:pPr>
            <w:r>
              <w:rPr>
                <w:rFonts w:eastAsia="Times New Roman"/>
                <w:sz w:val="20"/>
                <w:szCs w:val="20"/>
              </w:rPr>
              <w:t> </w:t>
            </w:r>
          </w:p>
        </w:tc>
      </w:tr>
    </w:tbl>
    <w:p w14:paraId="0F42B6AC" w14:textId="77777777" w:rsidR="00000000" w:rsidRDefault="009027A3">
      <w:pPr>
        <w:pStyle w:val="a3"/>
        <w:spacing w:before="0" w:beforeAutospacing="0" w:after="0" w:afterAutospacing="0"/>
        <w:jc w:val="both"/>
        <w:rPr>
          <w:sz w:val="20"/>
          <w:szCs w:val="20"/>
        </w:rPr>
      </w:pPr>
      <w:r>
        <w:rPr>
          <w:sz w:val="20"/>
          <w:szCs w:val="20"/>
        </w:rPr>
        <w:t> </w:t>
      </w:r>
    </w:p>
    <w:p w14:paraId="0D66AE11"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Company provides printing and mailing services for both revenue cycle management customers and a non- revenue cycle management customer, and invoices on a monthly basis based on the number of prints, the agreed-upon rate per print and the postage incurred.</w:t>
      </w:r>
      <w:r>
        <w:rPr>
          <w:sz w:val="20"/>
          <w:szCs w:val="20"/>
        </w:rPr>
        <w:t xml:space="preserve"> The performance obligation is satisfied once the printing and mailing is completed.</w:t>
      </w:r>
    </w:p>
    <w:p w14:paraId="373083E4" w14:textId="77777777" w:rsidR="00000000" w:rsidRDefault="009027A3">
      <w:pPr>
        <w:pStyle w:val="a3"/>
        <w:spacing w:before="0" w:beforeAutospacing="0" w:after="0" w:afterAutospacing="0"/>
        <w:jc w:val="both"/>
        <w:rPr>
          <w:sz w:val="20"/>
          <w:szCs w:val="20"/>
        </w:rPr>
      </w:pPr>
      <w:r>
        <w:rPr>
          <w:sz w:val="20"/>
          <w:szCs w:val="20"/>
        </w:rPr>
        <w:t> </w:t>
      </w:r>
    </w:p>
    <w:p w14:paraId="5B4080C4" w14:textId="77777777" w:rsidR="00000000" w:rsidRDefault="009027A3">
      <w:pPr>
        <w:pStyle w:val="a3"/>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insurance com</w:t>
      </w:r>
      <w:r>
        <w:rPr>
          <w:sz w:val="20"/>
          <w:szCs w:val="20"/>
        </w:rPr>
        <w:t>panies. The Company invoices customers on a monthly basis based on the number of claims submitted and the agreed-upon rate in the agreement. This service is provided to medical practices and providers to medical practices who are not revenue cycle manageme</w:t>
      </w:r>
      <w:r>
        <w:rPr>
          <w:sz w:val="20"/>
          <w:szCs w:val="20"/>
        </w:rPr>
        <w:t>nt customers. The performance obligation is satisfied once the relevant submissions are completed.</w:t>
      </w:r>
    </w:p>
    <w:p w14:paraId="5498CF38" w14:textId="77777777" w:rsidR="00000000" w:rsidRDefault="009027A3">
      <w:pPr>
        <w:pStyle w:val="a3"/>
        <w:spacing w:before="0" w:beforeAutospacing="0" w:after="0" w:afterAutospacing="0"/>
        <w:jc w:val="both"/>
        <w:rPr>
          <w:sz w:val="20"/>
          <w:szCs w:val="20"/>
        </w:rPr>
      </w:pPr>
      <w:r>
        <w:rPr>
          <w:sz w:val="20"/>
          <w:szCs w:val="20"/>
        </w:rPr>
        <w:t> </w:t>
      </w:r>
    </w:p>
    <w:p w14:paraId="05528664" w14:textId="77777777" w:rsidR="00000000" w:rsidRDefault="009027A3">
      <w:pPr>
        <w:pStyle w:val="a3"/>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w:t>
      </w:r>
      <w:r>
        <w:rPr>
          <w:sz w:val="20"/>
          <w:szCs w:val="20"/>
        </w:rPr>
        <w:t>sely matches the point in time that the customer simultaneously receives and consumes the benefits provided by the Company. For the group purchasing services, revenue is recognized at a point in time. Each service is substantially the same and has the same</w:t>
      </w:r>
      <w:r>
        <w:rPr>
          <w:sz w:val="20"/>
          <w:szCs w:val="20"/>
        </w:rPr>
        <w:t xml:space="preserve"> periodic pattern of transfer to the customer. Each of the services provided above is considered a separate performance obligation.</w:t>
      </w:r>
    </w:p>
    <w:p w14:paraId="49FA6526" w14:textId="77777777" w:rsidR="00000000" w:rsidRDefault="009027A3">
      <w:pPr>
        <w:pStyle w:val="a3"/>
        <w:spacing w:before="0" w:beforeAutospacing="0" w:after="0" w:afterAutospacing="0"/>
        <w:jc w:val="both"/>
        <w:rPr>
          <w:sz w:val="20"/>
          <w:szCs w:val="20"/>
        </w:rPr>
      </w:pPr>
      <w:r>
        <w:rPr>
          <w:sz w:val="20"/>
          <w:szCs w:val="20"/>
        </w:rPr>
        <w:t> </w:t>
      </w:r>
    </w:p>
    <w:p w14:paraId="26072CD6" w14:textId="77777777" w:rsidR="00000000" w:rsidRDefault="009027A3">
      <w:pPr>
        <w:pStyle w:val="a3"/>
        <w:shd w:val="clear" w:color="auto" w:fill="FFFFFF"/>
        <w:spacing w:before="0" w:beforeAutospacing="0" w:after="0" w:afterAutospacing="0"/>
        <w:jc w:val="both"/>
        <w:rPr>
          <w:sz w:val="20"/>
          <w:szCs w:val="20"/>
        </w:rPr>
      </w:pPr>
      <w:r>
        <w:rPr>
          <w:i/>
          <w:iCs/>
          <w:sz w:val="20"/>
          <w:szCs w:val="20"/>
        </w:rPr>
        <w:t>Practice management services:</w:t>
      </w:r>
    </w:p>
    <w:p w14:paraId="7C4FD2E6"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1D5AB47F" w14:textId="77777777" w:rsidR="00000000" w:rsidRDefault="009027A3">
      <w:pPr>
        <w:pStyle w:val="a3"/>
        <w:spacing w:before="0" w:beforeAutospacing="0" w:after="0" w:afterAutospacing="0"/>
        <w:jc w:val="both"/>
        <w:rPr>
          <w:sz w:val="20"/>
          <w:szCs w:val="20"/>
        </w:rPr>
      </w:pPr>
      <w:r>
        <w:rPr>
          <w:sz w:val="20"/>
          <w:szCs w:val="20"/>
        </w:rPr>
        <w:t xml:space="preserve">The Company also provides practice management services under long-term management service </w:t>
      </w:r>
      <w:r>
        <w:rPr>
          <w:sz w:val="20"/>
          <w:szCs w:val="20"/>
        </w:rPr>
        <w:t>agreements to three medical practices. We provide the medical practices with the nurses, administrative support, facilities, supplies, equipment, marketing, RCM, accounting, and other non-clinical services needed to efficiently operate their practices. Rev</w:t>
      </w:r>
      <w:r>
        <w:rPr>
          <w:sz w:val="20"/>
          <w:szCs w:val="20"/>
        </w:rPr>
        <w:t>enue is recognized as the services are provided to the medical practices. Revenue recorded in the consolidated statements of operations represents the reimbursement of costs paid by the Company for the practices and the management fee earned each month for</w:t>
      </w:r>
      <w:r>
        <w:rPr>
          <w:sz w:val="20"/>
          <w:szCs w:val="20"/>
        </w:rPr>
        <w:t xml:space="preserve"> managing the practice. The management fee is based on either a fixed fee or a percentage of the net operating income.</w:t>
      </w:r>
    </w:p>
    <w:p w14:paraId="3BCB3831" w14:textId="77777777" w:rsidR="00000000" w:rsidRDefault="009027A3">
      <w:pPr>
        <w:pStyle w:val="a3"/>
        <w:spacing w:before="0" w:beforeAutospacing="0" w:after="0" w:afterAutospacing="0"/>
        <w:jc w:val="both"/>
        <w:rPr>
          <w:sz w:val="20"/>
          <w:szCs w:val="20"/>
        </w:rPr>
      </w:pPr>
      <w:r>
        <w:rPr>
          <w:sz w:val="20"/>
          <w:szCs w:val="20"/>
        </w:rPr>
        <w:t> </w:t>
      </w:r>
    </w:p>
    <w:p w14:paraId="7E377149" w14:textId="77777777" w:rsidR="00000000" w:rsidRDefault="009027A3">
      <w:pPr>
        <w:pStyle w:val="a3"/>
        <w:spacing w:before="0" w:beforeAutospacing="0" w:after="0" w:afterAutospacing="0"/>
        <w:jc w:val="both"/>
        <w:rPr>
          <w:sz w:val="20"/>
          <w:szCs w:val="20"/>
        </w:rPr>
      </w:pPr>
      <w:r>
        <w:rPr>
          <w:sz w:val="20"/>
          <w:szCs w:val="20"/>
        </w:rPr>
        <w:t>The Company assumes all financial risk for the performance of the managed medical practices. Revenue is impacted by the amount of the c</w:t>
      </w:r>
      <w:r>
        <w:rPr>
          <w:sz w:val="20"/>
          <w:szCs w:val="20"/>
        </w:rPr>
        <w:t>osts incurred by the practices and their operating income. The gross billing of the practices is impacted by billing rates, changes in current procedural terminology code reimbursement and collection trends which in turn impacts the management fee that the</w:t>
      </w:r>
      <w:r>
        <w:rPr>
          <w:sz w:val="20"/>
          <w:szCs w:val="20"/>
        </w:rPr>
        <w:t xml:space="preserve"> Company is entitled to. Billing rates are reviewed at least annually and adjusted based on current insurer reimbursement practices. The performance obligation is satisfied as the management services are provided.</w:t>
      </w:r>
    </w:p>
    <w:p w14:paraId="3001F448" w14:textId="77777777" w:rsidR="00000000" w:rsidRDefault="009027A3">
      <w:pPr>
        <w:pStyle w:val="a3"/>
        <w:spacing w:before="0" w:beforeAutospacing="0" w:after="0" w:afterAutospacing="0"/>
        <w:jc w:val="both"/>
        <w:rPr>
          <w:sz w:val="20"/>
          <w:szCs w:val="20"/>
        </w:rPr>
      </w:pPr>
      <w:r>
        <w:rPr>
          <w:sz w:val="20"/>
          <w:szCs w:val="20"/>
        </w:rPr>
        <w:t> </w:t>
      </w:r>
    </w:p>
    <w:p w14:paraId="5605443F" w14:textId="77777777" w:rsidR="00000000" w:rsidRDefault="009027A3">
      <w:pPr>
        <w:pStyle w:val="a3"/>
        <w:spacing w:before="0" w:beforeAutospacing="0" w:after="0" w:afterAutospacing="0"/>
        <w:jc w:val="both"/>
        <w:rPr>
          <w:sz w:val="20"/>
          <w:szCs w:val="20"/>
        </w:rPr>
      </w:pPr>
      <w:r>
        <w:rPr>
          <w:sz w:val="20"/>
          <w:szCs w:val="20"/>
        </w:rPr>
        <w:t>Our contracts for practice management se</w:t>
      </w:r>
      <w:r>
        <w:rPr>
          <w:sz w:val="20"/>
          <w:szCs w:val="20"/>
        </w:rPr>
        <w:t>rvices have approximately an additional 20 years remaining and are only cancellable under very limited circumstances. The Company receives a management fee each month for managing the day-to-day business operations of each medical group as a fixed fee or a</w:t>
      </w:r>
      <w:r>
        <w:rPr>
          <w:sz w:val="20"/>
          <w:szCs w:val="20"/>
        </w:rPr>
        <w:t xml:space="preserve"> percentage payment of the net operating income which is included in revenue in the condensed consolidated statements of operations.</w:t>
      </w:r>
    </w:p>
    <w:p w14:paraId="231819C7" w14:textId="77777777" w:rsidR="00000000" w:rsidRDefault="009027A3">
      <w:pPr>
        <w:pStyle w:val="a3"/>
        <w:spacing w:before="0" w:beforeAutospacing="0" w:after="0" w:afterAutospacing="0"/>
        <w:jc w:val="both"/>
        <w:rPr>
          <w:sz w:val="20"/>
          <w:szCs w:val="20"/>
        </w:rPr>
      </w:pPr>
      <w:r>
        <w:rPr>
          <w:sz w:val="20"/>
          <w:szCs w:val="20"/>
        </w:rPr>
        <w:t> </w:t>
      </w:r>
    </w:p>
    <w:p w14:paraId="6EA1A88E" w14:textId="77777777" w:rsidR="00000000" w:rsidRDefault="009027A3">
      <w:pPr>
        <w:pStyle w:val="a3"/>
        <w:spacing w:before="0" w:beforeAutospacing="0" w:after="0" w:afterAutospacing="0"/>
        <w:jc w:val="both"/>
        <w:rPr>
          <w:sz w:val="20"/>
          <w:szCs w:val="20"/>
        </w:rPr>
      </w:pPr>
      <w:r>
        <w:rPr>
          <w:sz w:val="20"/>
          <w:szCs w:val="20"/>
        </w:rPr>
        <w:t xml:space="preserve">Our </w:t>
      </w:r>
      <w:r>
        <w:rPr>
          <w:sz w:val="20"/>
          <w:szCs w:val="20"/>
        </w:rPr>
        <w:t>practice management services obligations consist of a series of distinct services that are substantially the same and have the same periodic pattern of transfer to our customers. Revenue is recognized over time, however for reporting and convenience purpos</w:t>
      </w:r>
      <w:r>
        <w:rPr>
          <w:sz w:val="20"/>
          <w:szCs w:val="20"/>
        </w:rPr>
        <w:t>es, the management fee is computed at each month end.</w:t>
      </w:r>
    </w:p>
    <w:p w14:paraId="4ACC3171" w14:textId="77777777" w:rsidR="00000000" w:rsidRDefault="009027A3">
      <w:pPr>
        <w:pStyle w:val="a3"/>
        <w:spacing w:before="0" w:beforeAutospacing="0" w:after="0" w:afterAutospacing="0"/>
        <w:jc w:val="both"/>
        <w:rPr>
          <w:sz w:val="20"/>
          <w:szCs w:val="20"/>
        </w:rPr>
      </w:pPr>
      <w:r>
        <w:rPr>
          <w:sz w:val="20"/>
          <w:szCs w:val="20"/>
        </w:rPr>
        <w:t> </w:t>
      </w:r>
    </w:p>
    <w:p w14:paraId="16919E96" w14:textId="77777777" w:rsidR="00000000" w:rsidRDefault="009027A3">
      <w:pPr>
        <w:pStyle w:val="a3"/>
        <w:spacing w:before="0" w:beforeAutospacing="0" w:after="0" w:afterAutospacing="0"/>
        <w:jc w:val="both"/>
        <w:rPr>
          <w:sz w:val="20"/>
          <w:szCs w:val="20"/>
        </w:rPr>
      </w:pPr>
      <w:r>
        <w:rPr>
          <w:i/>
          <w:iCs/>
          <w:sz w:val="20"/>
          <w:szCs w:val="20"/>
        </w:rPr>
        <w:t>Information about contract balances:</w:t>
      </w:r>
    </w:p>
    <w:p w14:paraId="6B7D8E7F" w14:textId="77777777" w:rsidR="00000000" w:rsidRDefault="009027A3">
      <w:pPr>
        <w:pStyle w:val="a3"/>
        <w:spacing w:before="0" w:beforeAutospacing="0" w:after="0" w:afterAutospacing="0"/>
        <w:jc w:val="both"/>
        <w:rPr>
          <w:sz w:val="20"/>
          <w:szCs w:val="20"/>
        </w:rPr>
      </w:pPr>
      <w:r>
        <w:rPr>
          <w:i/>
          <w:iCs/>
          <w:sz w:val="20"/>
          <w:szCs w:val="20"/>
        </w:rPr>
        <w:t> </w:t>
      </w:r>
    </w:p>
    <w:p w14:paraId="4AD08C35" w14:textId="77777777" w:rsidR="00000000" w:rsidRDefault="009027A3">
      <w:pPr>
        <w:pStyle w:val="a3"/>
        <w:spacing w:before="0" w:beforeAutospacing="0" w:after="0" w:afterAutospacing="0"/>
        <w:jc w:val="both"/>
        <w:rPr>
          <w:sz w:val="20"/>
          <w:szCs w:val="20"/>
        </w:rPr>
      </w:pPr>
      <w:r>
        <w:rPr>
          <w:sz w:val="20"/>
          <w:szCs w:val="20"/>
        </w:rPr>
        <w:t>The contract assets in the condensed consolidated balance sheets represent the revenue associated with the amounts we estimate our revenue cycle management clien</w:t>
      </w:r>
      <w:r>
        <w:rPr>
          <w:sz w:val="20"/>
          <w:szCs w:val="20"/>
        </w:rPr>
        <w:t>ts will ultimately collect associated with the services they have provided and the relative fee we charge associated with those collections, together with amounts related to the group purchasing services. As of March 31, 2021, the estimated revenue expecte</w:t>
      </w:r>
      <w:r>
        <w:rPr>
          <w:sz w:val="20"/>
          <w:szCs w:val="20"/>
        </w:rPr>
        <w:t>d to be recognized in the future related to the remaining revenue cycle management performance obligations outstanding was approximately $4.1 million. We expect to recognize substantially all of the revenue for the remaining performance obligations over th</w:t>
      </w:r>
      <w:r>
        <w:rPr>
          <w:sz w:val="20"/>
          <w:szCs w:val="20"/>
        </w:rPr>
        <w:t>e next three months. Approximately $227,000 of the contract asset represents revenue earned, not paid, from the group purchasing services.</w:t>
      </w:r>
    </w:p>
    <w:p w14:paraId="3D9FA0A6" w14:textId="77777777" w:rsidR="00000000" w:rsidRDefault="009027A3">
      <w:pPr>
        <w:pStyle w:val="a3"/>
        <w:spacing w:before="0" w:beforeAutospacing="0" w:after="0" w:afterAutospacing="0"/>
        <w:rPr>
          <w:i/>
          <w:iCs/>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DCBE41F" w14:textId="77777777">
        <w:trPr>
          <w:divId w:val="1939368584"/>
        </w:trPr>
        <w:tc>
          <w:tcPr>
            <w:tcW w:w="5000" w:type="pct"/>
            <w:hideMark/>
          </w:tcPr>
          <w:p w14:paraId="2FE2E084"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20DE078F" w14:textId="77777777">
        <w:tc>
          <w:tcPr>
            <w:tcW w:w="5000" w:type="pct"/>
            <w:hideMark/>
          </w:tcPr>
          <w:p w14:paraId="01FB4DA3" w14:textId="77777777" w:rsidR="00000000" w:rsidRDefault="009027A3">
            <w:pPr>
              <w:rPr>
                <w:rFonts w:eastAsia="Times New Roman"/>
                <w:sz w:val="20"/>
                <w:szCs w:val="20"/>
              </w:rPr>
            </w:pPr>
            <w:r>
              <w:rPr>
                <w:rFonts w:eastAsia="Times New Roman"/>
                <w:sz w:val="20"/>
                <w:szCs w:val="20"/>
              </w:rPr>
              <w:t> </w:t>
            </w:r>
          </w:p>
        </w:tc>
      </w:tr>
    </w:tbl>
    <w:p w14:paraId="00D4CC47" w14:textId="77777777" w:rsidR="00000000" w:rsidRDefault="009027A3">
      <w:pPr>
        <w:pStyle w:val="a3"/>
        <w:spacing w:before="0" w:beforeAutospacing="0" w:after="0" w:afterAutospacing="0"/>
        <w:rPr>
          <w:sz w:val="20"/>
          <w:szCs w:val="20"/>
        </w:rPr>
      </w:pPr>
      <w:r>
        <w:rPr>
          <w:sz w:val="20"/>
          <w:szCs w:val="20"/>
        </w:rPr>
        <w:t> </w:t>
      </w:r>
    </w:p>
    <w:p w14:paraId="7EAD634E" w14:textId="77777777" w:rsidR="00000000" w:rsidRDefault="009027A3">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w:t>
      </w:r>
      <w:r>
        <w:rPr>
          <w:sz w:val="20"/>
          <w:szCs w:val="20"/>
        </w:rPr>
        <w:t>nce sheets. Amounts that we are entitled to collect under the applicable contract are recorded as accounts receivable. Invoicing is performed at the end of each month when the services have been provided. The contract asset results from our revenue cycle m</w:t>
      </w:r>
      <w:r>
        <w:rPr>
          <w:sz w:val="20"/>
          <w:szCs w:val="20"/>
        </w:rPr>
        <w:t xml:space="preserve">anagement services and is due to the timing of revenue recognition, submission of claims from our customers and payments from the insurance providers. The contract asset includes our right to payment for services already transferred to a customer when the </w:t>
      </w:r>
      <w:r>
        <w:rPr>
          <w:sz w:val="20"/>
          <w:szCs w:val="20"/>
        </w:rPr>
        <w:t>right to payment is conditional on something other than the passage of time. For example, contracts for revenue cycle management services where we recognize revenue over time but do not have a contractual right to payment until the customer receives paymen</w:t>
      </w:r>
      <w:r>
        <w:rPr>
          <w:sz w:val="20"/>
          <w:szCs w:val="20"/>
        </w:rPr>
        <w:t>t of their claim from the insurance provider. The contract asset also includes the revenue accrued, not received, for the group purchasing services.</w:t>
      </w:r>
    </w:p>
    <w:p w14:paraId="5CC7AB49" w14:textId="77777777" w:rsidR="00000000" w:rsidRDefault="009027A3">
      <w:pPr>
        <w:pStyle w:val="a3"/>
        <w:spacing w:before="0" w:beforeAutospacing="0" w:after="0" w:afterAutospacing="0"/>
        <w:jc w:val="both"/>
        <w:rPr>
          <w:sz w:val="20"/>
          <w:szCs w:val="20"/>
        </w:rPr>
      </w:pPr>
      <w:r>
        <w:rPr>
          <w:sz w:val="20"/>
          <w:szCs w:val="20"/>
        </w:rPr>
        <w:t> </w:t>
      </w:r>
    </w:p>
    <w:p w14:paraId="7302EFF3" w14:textId="77777777" w:rsidR="00000000" w:rsidRDefault="009027A3">
      <w:pPr>
        <w:pStyle w:val="a3"/>
        <w:spacing w:before="0" w:beforeAutospacing="0" w:after="0" w:afterAutospacing="0"/>
        <w:jc w:val="both"/>
        <w:rPr>
          <w:sz w:val="20"/>
          <w:szCs w:val="20"/>
        </w:rPr>
      </w:pPr>
      <w:r>
        <w:rPr>
          <w:sz w:val="20"/>
          <w:szCs w:val="20"/>
        </w:rPr>
        <w:t>The contract asset was approximately $4.4 million and $2.9 million as of March 31, 2021 and 2020, respect</w:t>
      </w:r>
      <w:r>
        <w:rPr>
          <w:sz w:val="20"/>
          <w:szCs w:val="20"/>
        </w:rPr>
        <w:t>ively. Changes in the contract asset are recorded as adjustments to net revenue. The changes primarily result from providing services to revenue cycle management customers that result in additional consideration and are offset by our right to payment for s</w:t>
      </w:r>
      <w:r>
        <w:rPr>
          <w:sz w:val="20"/>
          <w:szCs w:val="20"/>
        </w:rPr>
        <w:t>ervices becoming unconditional and changes in the revenue accrued for the group purchasing services. The contract asset for our group purchasing services is reduced when we receive payments from vaccine manufacturers and is increased for revenue earned, no</w:t>
      </w:r>
      <w:r>
        <w:rPr>
          <w:sz w:val="20"/>
          <w:szCs w:val="20"/>
        </w:rPr>
        <w:t>t received. Deferred revenue represents sign-up fees received from customers that are amortized over three years. The opening and closing balances of the Company’s accounts receivable, contract asset and deferred revenue are as follows for the three months</w:t>
      </w:r>
      <w:r>
        <w:rPr>
          <w:sz w:val="20"/>
          <w:szCs w:val="20"/>
        </w:rPr>
        <w:t xml:space="preserve"> ended March 31, 2021 and 2020:</w:t>
      </w:r>
    </w:p>
    <w:p w14:paraId="52BC34B6" w14:textId="77777777" w:rsidR="00000000" w:rsidRDefault="009027A3">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383"/>
        <w:gridCol w:w="66"/>
        <w:gridCol w:w="101"/>
        <w:gridCol w:w="1038"/>
        <w:gridCol w:w="66"/>
        <w:gridCol w:w="66"/>
        <w:gridCol w:w="101"/>
        <w:gridCol w:w="1039"/>
        <w:gridCol w:w="67"/>
        <w:gridCol w:w="67"/>
        <w:gridCol w:w="101"/>
        <w:gridCol w:w="1039"/>
        <w:gridCol w:w="67"/>
        <w:gridCol w:w="67"/>
        <w:gridCol w:w="101"/>
        <w:gridCol w:w="1039"/>
        <w:gridCol w:w="67"/>
      </w:tblGrid>
      <w:tr w:rsidR="00000000" w14:paraId="196D97D4" w14:textId="77777777">
        <w:tc>
          <w:tcPr>
            <w:tcW w:w="0" w:type="auto"/>
            <w:vAlign w:val="bottom"/>
            <w:hideMark/>
          </w:tcPr>
          <w:p w14:paraId="193F18A4"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4A0FBFC"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EFB30F" w14:textId="77777777" w:rsidR="00000000" w:rsidRDefault="009027A3">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14:paraId="5CB52F59"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DE64E9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60ACFF" w14:textId="77777777" w:rsidR="00000000" w:rsidRDefault="009027A3">
            <w:pPr>
              <w:jc w:val="center"/>
              <w:rPr>
                <w:rFonts w:eastAsia="Times New Roman"/>
                <w:b/>
                <w:bCs/>
                <w:sz w:val="20"/>
                <w:szCs w:val="20"/>
              </w:rPr>
            </w:pPr>
            <w:r>
              <w:rPr>
                <w:rFonts w:eastAsia="Times New Roman"/>
                <w:b/>
                <w:bCs/>
                <w:sz w:val="20"/>
                <w:szCs w:val="20"/>
              </w:rPr>
              <w:t>Contract</w:t>
            </w:r>
            <w:r>
              <w:rPr>
                <w:rFonts w:eastAsia="Times New Roman"/>
                <w:b/>
                <w:bCs/>
                <w:sz w:val="20"/>
                <w:szCs w:val="20"/>
              </w:rPr>
              <w:br/>
              <w:t>Asset</w:t>
            </w:r>
          </w:p>
        </w:tc>
        <w:tc>
          <w:tcPr>
            <w:tcW w:w="0" w:type="auto"/>
            <w:tcMar>
              <w:top w:w="0" w:type="dxa"/>
              <w:left w:w="0" w:type="dxa"/>
              <w:bottom w:w="30" w:type="dxa"/>
              <w:right w:w="0" w:type="dxa"/>
            </w:tcMar>
            <w:vAlign w:val="bottom"/>
            <w:hideMark/>
          </w:tcPr>
          <w:p w14:paraId="52D9A5CD"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2BA8A5C"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5A9994" w14:textId="77777777" w:rsidR="00000000" w:rsidRDefault="009027A3">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14:paraId="33C29869"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B5DD63A"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9F03FFE" w14:textId="77777777" w:rsidR="00000000" w:rsidRDefault="009027A3">
            <w:pPr>
              <w:jc w:val="center"/>
              <w:rPr>
                <w:rFonts w:eastAsia="Times New Roman"/>
                <w:b/>
                <w:bCs/>
                <w:sz w:val="20"/>
                <w:szCs w:val="20"/>
              </w:rPr>
            </w:pPr>
            <w:r>
              <w:rPr>
                <w:rFonts w:eastAsia="Times New Roman"/>
                <w:b/>
                <w:bCs/>
                <w:sz w:val="20"/>
                <w:szCs w:val="20"/>
              </w:rPr>
              <w:t>Deferred</w:t>
            </w:r>
            <w:r>
              <w:rPr>
                <w:rFonts w:eastAsia="Times New Roman"/>
                <w:b/>
                <w:bCs/>
                <w:sz w:val="20"/>
                <w:szCs w:val="20"/>
              </w:rPr>
              <w:br/>
              <w:t>Revenue (long term)</w:t>
            </w:r>
          </w:p>
        </w:tc>
        <w:tc>
          <w:tcPr>
            <w:tcW w:w="0" w:type="auto"/>
            <w:tcMar>
              <w:top w:w="0" w:type="dxa"/>
              <w:left w:w="0" w:type="dxa"/>
              <w:bottom w:w="30" w:type="dxa"/>
              <w:right w:w="0" w:type="dxa"/>
            </w:tcMar>
            <w:vAlign w:val="bottom"/>
            <w:hideMark/>
          </w:tcPr>
          <w:p w14:paraId="40D3D3B5" w14:textId="77777777" w:rsidR="00000000" w:rsidRDefault="009027A3">
            <w:pPr>
              <w:rPr>
                <w:rFonts w:eastAsia="Times New Roman"/>
                <w:b/>
                <w:bCs/>
                <w:sz w:val="20"/>
                <w:szCs w:val="20"/>
              </w:rPr>
            </w:pPr>
            <w:r>
              <w:rPr>
                <w:rFonts w:eastAsia="Times New Roman"/>
                <w:b/>
                <w:bCs/>
                <w:sz w:val="20"/>
                <w:szCs w:val="20"/>
              </w:rPr>
              <w:t> </w:t>
            </w:r>
          </w:p>
        </w:tc>
      </w:tr>
      <w:tr w:rsidR="00000000" w14:paraId="125CADD3" w14:textId="77777777">
        <w:tc>
          <w:tcPr>
            <w:tcW w:w="0" w:type="auto"/>
            <w:vAlign w:val="bottom"/>
            <w:hideMark/>
          </w:tcPr>
          <w:p w14:paraId="1C666806"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FB17703" w14:textId="77777777" w:rsidR="00000000" w:rsidRDefault="009027A3">
            <w:pPr>
              <w:rPr>
                <w:rFonts w:eastAsia="Times New Roman"/>
                <w:sz w:val="20"/>
                <w:szCs w:val="20"/>
              </w:rPr>
            </w:pPr>
            <w:r>
              <w:rPr>
                <w:rFonts w:eastAsia="Times New Roman"/>
                <w:sz w:val="20"/>
                <w:szCs w:val="20"/>
              </w:rPr>
              <w:t> </w:t>
            </w:r>
          </w:p>
        </w:tc>
        <w:tc>
          <w:tcPr>
            <w:tcW w:w="0" w:type="auto"/>
            <w:gridSpan w:val="14"/>
            <w:vAlign w:val="bottom"/>
            <w:hideMark/>
          </w:tcPr>
          <w:p w14:paraId="762F76D8"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15EF249F" w14:textId="77777777" w:rsidR="00000000" w:rsidRDefault="009027A3">
            <w:pPr>
              <w:rPr>
                <w:rFonts w:eastAsia="Times New Roman"/>
                <w:sz w:val="20"/>
                <w:szCs w:val="20"/>
              </w:rPr>
            </w:pPr>
            <w:r>
              <w:rPr>
                <w:rFonts w:eastAsia="Times New Roman"/>
                <w:sz w:val="20"/>
                <w:szCs w:val="20"/>
              </w:rPr>
              <w:t> </w:t>
            </w:r>
          </w:p>
        </w:tc>
      </w:tr>
      <w:tr w:rsidR="00000000" w14:paraId="4449F5EC" w14:textId="77777777">
        <w:tc>
          <w:tcPr>
            <w:tcW w:w="1600" w:type="pct"/>
            <w:shd w:val="clear" w:color="auto" w:fill="CCEEFF"/>
            <w:vAlign w:val="bottom"/>
            <w:hideMark/>
          </w:tcPr>
          <w:p w14:paraId="088524C3" w14:textId="77777777" w:rsidR="00000000" w:rsidRDefault="009027A3">
            <w:pPr>
              <w:rPr>
                <w:rFonts w:eastAsia="Times New Roman"/>
                <w:sz w:val="20"/>
                <w:szCs w:val="20"/>
              </w:rPr>
            </w:pPr>
            <w:r>
              <w:rPr>
                <w:rFonts w:eastAsia="Times New Roman"/>
                <w:sz w:val="20"/>
                <w:szCs w:val="20"/>
              </w:rPr>
              <w:t>Balance as of January 1, 2021</w:t>
            </w:r>
          </w:p>
        </w:tc>
        <w:tc>
          <w:tcPr>
            <w:tcW w:w="50" w:type="pct"/>
            <w:shd w:val="clear" w:color="auto" w:fill="CCEEFF"/>
            <w:vAlign w:val="bottom"/>
            <w:hideMark/>
          </w:tcPr>
          <w:p w14:paraId="76E00DA6"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789E15"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0A553A03" w14:textId="77777777" w:rsidR="00000000" w:rsidRDefault="009027A3">
            <w:pPr>
              <w:jc w:val="right"/>
              <w:rPr>
                <w:rFonts w:eastAsia="Times New Roman"/>
                <w:sz w:val="20"/>
                <w:szCs w:val="20"/>
              </w:rPr>
            </w:pPr>
            <w:r>
              <w:rPr>
                <w:rFonts w:eastAsia="Times New Roman"/>
                <w:sz w:val="20"/>
                <w:szCs w:val="20"/>
              </w:rPr>
              <w:t>12,089</w:t>
            </w:r>
          </w:p>
        </w:tc>
        <w:tc>
          <w:tcPr>
            <w:tcW w:w="50" w:type="pct"/>
            <w:shd w:val="clear" w:color="auto" w:fill="CCEEFF"/>
            <w:vAlign w:val="bottom"/>
            <w:hideMark/>
          </w:tcPr>
          <w:p w14:paraId="029F494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CAE78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204158"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127792A8" w14:textId="77777777" w:rsidR="00000000" w:rsidRDefault="009027A3">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14:paraId="1041E7AA"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6113D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1EF19"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0A7E7870" w14:textId="77777777" w:rsidR="00000000" w:rsidRDefault="009027A3">
            <w:pPr>
              <w:jc w:val="right"/>
              <w:rPr>
                <w:rFonts w:eastAsia="Times New Roman"/>
                <w:sz w:val="20"/>
                <w:szCs w:val="20"/>
              </w:rPr>
            </w:pPr>
            <w:r>
              <w:rPr>
                <w:rFonts w:eastAsia="Times New Roman"/>
                <w:sz w:val="20"/>
                <w:szCs w:val="20"/>
              </w:rPr>
              <w:t>1,173</w:t>
            </w:r>
          </w:p>
        </w:tc>
        <w:tc>
          <w:tcPr>
            <w:tcW w:w="50" w:type="pct"/>
            <w:shd w:val="clear" w:color="auto" w:fill="CCEEFF"/>
            <w:vAlign w:val="bottom"/>
            <w:hideMark/>
          </w:tcPr>
          <w:p w14:paraId="30DF18C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C798E9"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420911"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7562DD10" w14:textId="77777777" w:rsidR="00000000" w:rsidRDefault="009027A3">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14:paraId="6CC7B3CF" w14:textId="77777777" w:rsidR="00000000" w:rsidRDefault="009027A3">
            <w:pPr>
              <w:rPr>
                <w:rFonts w:eastAsia="Times New Roman"/>
                <w:sz w:val="20"/>
                <w:szCs w:val="20"/>
              </w:rPr>
            </w:pPr>
            <w:r>
              <w:rPr>
                <w:rFonts w:eastAsia="Times New Roman"/>
                <w:sz w:val="20"/>
                <w:szCs w:val="20"/>
              </w:rPr>
              <w:t> </w:t>
            </w:r>
          </w:p>
        </w:tc>
      </w:tr>
      <w:tr w:rsidR="00000000" w14:paraId="68ACA782" w14:textId="77777777">
        <w:tc>
          <w:tcPr>
            <w:tcW w:w="0" w:type="auto"/>
            <w:shd w:val="clear" w:color="auto" w:fill="FFFFFF"/>
            <w:tcMar>
              <w:top w:w="0" w:type="dxa"/>
              <w:left w:w="0" w:type="dxa"/>
              <w:bottom w:w="30" w:type="dxa"/>
              <w:right w:w="0" w:type="dxa"/>
            </w:tcMar>
            <w:vAlign w:val="bottom"/>
            <w:hideMark/>
          </w:tcPr>
          <w:p w14:paraId="646C43F6" w14:textId="77777777" w:rsidR="00000000" w:rsidRDefault="009027A3">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14:paraId="28781D6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0D5EA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F5CD4A" w14:textId="77777777" w:rsidR="00000000" w:rsidRDefault="009027A3">
            <w:pPr>
              <w:jc w:val="right"/>
              <w:rPr>
                <w:rFonts w:eastAsia="Times New Roman"/>
                <w:sz w:val="20"/>
                <w:szCs w:val="20"/>
              </w:rPr>
            </w:pPr>
            <w:r>
              <w:rPr>
                <w:rFonts w:eastAsia="Times New Roman"/>
                <w:sz w:val="20"/>
                <w:szCs w:val="20"/>
              </w:rPr>
              <w:t>330</w:t>
            </w:r>
          </w:p>
        </w:tc>
        <w:tc>
          <w:tcPr>
            <w:tcW w:w="0" w:type="auto"/>
            <w:shd w:val="clear" w:color="auto" w:fill="FFFFFF"/>
            <w:tcMar>
              <w:top w:w="0" w:type="dxa"/>
              <w:left w:w="0" w:type="dxa"/>
              <w:bottom w:w="30" w:type="dxa"/>
              <w:right w:w="0" w:type="dxa"/>
            </w:tcMar>
            <w:vAlign w:val="bottom"/>
            <w:hideMark/>
          </w:tcPr>
          <w:p w14:paraId="3AD183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BA02E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0D161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14DAC6" w14:textId="77777777" w:rsidR="00000000" w:rsidRDefault="009027A3">
            <w:pPr>
              <w:jc w:val="right"/>
              <w:rPr>
                <w:rFonts w:eastAsia="Times New Roman"/>
                <w:sz w:val="20"/>
                <w:szCs w:val="20"/>
              </w:rPr>
            </w:pPr>
            <w:r>
              <w:rPr>
                <w:rFonts w:eastAsia="Times New Roman"/>
                <w:sz w:val="20"/>
                <w:szCs w:val="20"/>
              </w:rPr>
              <w:t>270</w:t>
            </w:r>
          </w:p>
        </w:tc>
        <w:tc>
          <w:tcPr>
            <w:tcW w:w="0" w:type="auto"/>
            <w:shd w:val="clear" w:color="auto" w:fill="FFFFFF"/>
            <w:tcMar>
              <w:top w:w="0" w:type="dxa"/>
              <w:left w:w="0" w:type="dxa"/>
              <w:bottom w:w="30" w:type="dxa"/>
              <w:right w:w="0" w:type="dxa"/>
            </w:tcMar>
            <w:vAlign w:val="bottom"/>
            <w:hideMark/>
          </w:tcPr>
          <w:p w14:paraId="5519D2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A9FA4B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7EE11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8D01D2" w14:textId="77777777" w:rsidR="00000000" w:rsidRDefault="009027A3">
            <w:pPr>
              <w:jc w:val="right"/>
              <w:rPr>
                <w:rFonts w:eastAsia="Times New Roman"/>
                <w:sz w:val="20"/>
                <w:szCs w:val="20"/>
              </w:rPr>
            </w:pPr>
            <w:r>
              <w:rPr>
                <w:rFonts w:eastAsia="Times New Roman"/>
                <w:sz w:val="20"/>
                <w:szCs w:val="20"/>
              </w:rPr>
              <w:t>52</w:t>
            </w:r>
          </w:p>
        </w:tc>
        <w:tc>
          <w:tcPr>
            <w:tcW w:w="0" w:type="auto"/>
            <w:shd w:val="clear" w:color="auto" w:fill="FFFFFF"/>
            <w:tcMar>
              <w:top w:w="0" w:type="dxa"/>
              <w:left w:w="0" w:type="dxa"/>
              <w:bottom w:w="30" w:type="dxa"/>
              <w:right w:w="0" w:type="dxa"/>
            </w:tcMar>
            <w:vAlign w:val="bottom"/>
            <w:hideMark/>
          </w:tcPr>
          <w:p w14:paraId="638BBB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2A1C17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8740D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CFD080"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FFFFFF"/>
            <w:tcMar>
              <w:top w:w="0" w:type="dxa"/>
              <w:left w:w="0" w:type="dxa"/>
              <w:bottom w:w="30" w:type="dxa"/>
              <w:right w:w="0" w:type="dxa"/>
            </w:tcMar>
            <w:vAlign w:val="bottom"/>
            <w:hideMark/>
          </w:tcPr>
          <w:p w14:paraId="647E9F28" w14:textId="77777777" w:rsidR="00000000" w:rsidRDefault="009027A3">
            <w:pPr>
              <w:rPr>
                <w:rFonts w:eastAsia="Times New Roman"/>
                <w:sz w:val="20"/>
                <w:szCs w:val="20"/>
              </w:rPr>
            </w:pPr>
            <w:r>
              <w:rPr>
                <w:rFonts w:eastAsia="Times New Roman"/>
                <w:sz w:val="20"/>
                <w:szCs w:val="20"/>
              </w:rPr>
              <w:t>)</w:t>
            </w:r>
          </w:p>
        </w:tc>
      </w:tr>
      <w:tr w:rsidR="00000000" w14:paraId="608FEEA2" w14:textId="77777777">
        <w:tc>
          <w:tcPr>
            <w:tcW w:w="0" w:type="auto"/>
            <w:shd w:val="clear" w:color="auto" w:fill="CCEEFF"/>
            <w:tcMar>
              <w:top w:w="0" w:type="dxa"/>
              <w:left w:w="0" w:type="dxa"/>
              <w:bottom w:w="50" w:type="dxa"/>
              <w:right w:w="0" w:type="dxa"/>
            </w:tcMar>
            <w:vAlign w:val="bottom"/>
            <w:hideMark/>
          </w:tcPr>
          <w:p w14:paraId="42A3083C" w14:textId="77777777" w:rsidR="00000000" w:rsidRDefault="009027A3">
            <w:pPr>
              <w:rPr>
                <w:rFonts w:eastAsia="Times New Roman"/>
                <w:sz w:val="20"/>
                <w:szCs w:val="20"/>
              </w:rPr>
            </w:pPr>
            <w:r>
              <w:rPr>
                <w:rFonts w:eastAsia="Times New Roman"/>
                <w:sz w:val="20"/>
                <w:szCs w:val="20"/>
              </w:rPr>
              <w:t>Balance as of March 31, 2021</w:t>
            </w:r>
          </w:p>
        </w:tc>
        <w:tc>
          <w:tcPr>
            <w:tcW w:w="0" w:type="auto"/>
            <w:shd w:val="clear" w:color="auto" w:fill="CCEEFF"/>
            <w:tcMar>
              <w:top w:w="0" w:type="dxa"/>
              <w:left w:w="0" w:type="dxa"/>
              <w:bottom w:w="50" w:type="dxa"/>
              <w:right w:w="0" w:type="dxa"/>
            </w:tcMar>
            <w:vAlign w:val="bottom"/>
            <w:hideMark/>
          </w:tcPr>
          <w:p w14:paraId="037FAFC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863D4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CEAAA09" w14:textId="77777777" w:rsidR="00000000" w:rsidRDefault="009027A3">
            <w:pPr>
              <w:jc w:val="right"/>
              <w:rPr>
                <w:rFonts w:eastAsia="Times New Roman"/>
                <w:sz w:val="20"/>
                <w:szCs w:val="20"/>
              </w:rPr>
            </w:pPr>
            <w:r>
              <w:rPr>
                <w:rFonts w:eastAsia="Times New Roman"/>
                <w:sz w:val="20"/>
                <w:szCs w:val="20"/>
              </w:rPr>
              <w:t>12,419</w:t>
            </w:r>
          </w:p>
        </w:tc>
        <w:tc>
          <w:tcPr>
            <w:tcW w:w="0" w:type="auto"/>
            <w:shd w:val="clear" w:color="auto" w:fill="CCEEFF"/>
            <w:tcMar>
              <w:top w:w="0" w:type="dxa"/>
              <w:left w:w="0" w:type="dxa"/>
              <w:bottom w:w="50" w:type="dxa"/>
              <w:right w:w="0" w:type="dxa"/>
            </w:tcMar>
            <w:vAlign w:val="bottom"/>
            <w:hideMark/>
          </w:tcPr>
          <w:p w14:paraId="1189E6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267FD8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A76AAB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5810E91" w14:textId="77777777" w:rsidR="00000000" w:rsidRDefault="009027A3">
            <w:pPr>
              <w:jc w:val="right"/>
              <w:rPr>
                <w:rFonts w:eastAsia="Times New Roman"/>
                <w:sz w:val="20"/>
                <w:szCs w:val="20"/>
              </w:rPr>
            </w:pPr>
            <w:r>
              <w:rPr>
                <w:rFonts w:eastAsia="Times New Roman"/>
                <w:sz w:val="20"/>
                <w:szCs w:val="20"/>
              </w:rPr>
              <w:t>4,375</w:t>
            </w:r>
          </w:p>
        </w:tc>
        <w:tc>
          <w:tcPr>
            <w:tcW w:w="0" w:type="auto"/>
            <w:shd w:val="clear" w:color="auto" w:fill="CCEEFF"/>
            <w:tcMar>
              <w:top w:w="0" w:type="dxa"/>
              <w:left w:w="0" w:type="dxa"/>
              <w:bottom w:w="50" w:type="dxa"/>
              <w:right w:w="0" w:type="dxa"/>
            </w:tcMar>
            <w:vAlign w:val="bottom"/>
            <w:hideMark/>
          </w:tcPr>
          <w:p w14:paraId="5318BED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75D589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31BFAE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3749720" w14:textId="77777777" w:rsidR="00000000" w:rsidRDefault="009027A3">
            <w:pPr>
              <w:jc w:val="right"/>
              <w:rPr>
                <w:rFonts w:eastAsia="Times New Roman"/>
                <w:sz w:val="20"/>
                <w:szCs w:val="20"/>
              </w:rPr>
            </w:pPr>
            <w:r>
              <w:rPr>
                <w:rFonts w:eastAsia="Times New Roman"/>
                <w:sz w:val="20"/>
                <w:szCs w:val="20"/>
              </w:rPr>
              <w:t>1,225</w:t>
            </w:r>
          </w:p>
        </w:tc>
        <w:tc>
          <w:tcPr>
            <w:tcW w:w="0" w:type="auto"/>
            <w:shd w:val="clear" w:color="auto" w:fill="CCEEFF"/>
            <w:tcMar>
              <w:top w:w="0" w:type="dxa"/>
              <w:left w:w="0" w:type="dxa"/>
              <w:bottom w:w="50" w:type="dxa"/>
              <w:right w:w="0" w:type="dxa"/>
            </w:tcMar>
            <w:vAlign w:val="bottom"/>
            <w:hideMark/>
          </w:tcPr>
          <w:p w14:paraId="5AD69D7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663950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55818BC"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FB9C853" w14:textId="77777777" w:rsidR="00000000" w:rsidRDefault="009027A3">
            <w:pPr>
              <w:jc w:val="right"/>
              <w:rPr>
                <w:rFonts w:eastAsia="Times New Roman"/>
                <w:sz w:val="20"/>
                <w:szCs w:val="20"/>
              </w:rPr>
            </w:pPr>
            <w:r>
              <w:rPr>
                <w:rFonts w:eastAsia="Times New Roman"/>
                <w:sz w:val="20"/>
                <w:szCs w:val="20"/>
              </w:rPr>
              <w:t>285</w:t>
            </w:r>
          </w:p>
        </w:tc>
        <w:tc>
          <w:tcPr>
            <w:tcW w:w="0" w:type="auto"/>
            <w:shd w:val="clear" w:color="auto" w:fill="CCEEFF"/>
            <w:tcMar>
              <w:top w:w="0" w:type="dxa"/>
              <w:left w:w="0" w:type="dxa"/>
              <w:bottom w:w="50" w:type="dxa"/>
              <w:right w:w="0" w:type="dxa"/>
            </w:tcMar>
            <w:vAlign w:val="bottom"/>
            <w:hideMark/>
          </w:tcPr>
          <w:p w14:paraId="154704CD" w14:textId="77777777" w:rsidR="00000000" w:rsidRDefault="009027A3">
            <w:pPr>
              <w:rPr>
                <w:rFonts w:eastAsia="Times New Roman"/>
                <w:sz w:val="20"/>
                <w:szCs w:val="20"/>
              </w:rPr>
            </w:pPr>
            <w:r>
              <w:rPr>
                <w:rFonts w:eastAsia="Times New Roman"/>
                <w:sz w:val="20"/>
                <w:szCs w:val="20"/>
              </w:rPr>
              <w:t> </w:t>
            </w:r>
          </w:p>
        </w:tc>
      </w:tr>
      <w:tr w:rsidR="00000000" w14:paraId="70E4EE16" w14:textId="77777777">
        <w:tc>
          <w:tcPr>
            <w:tcW w:w="0" w:type="auto"/>
            <w:shd w:val="clear" w:color="auto" w:fill="FFFFFF"/>
            <w:vAlign w:val="bottom"/>
            <w:hideMark/>
          </w:tcPr>
          <w:p w14:paraId="0CC2A5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57DC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8DB1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9CD6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79F6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7754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9EE4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6949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50838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1F3D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50C6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977D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CB7B50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85DF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92B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3F5F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E009CE" w14:textId="77777777" w:rsidR="00000000" w:rsidRDefault="009027A3">
            <w:pPr>
              <w:rPr>
                <w:rFonts w:eastAsia="Times New Roman"/>
                <w:sz w:val="20"/>
                <w:szCs w:val="20"/>
              </w:rPr>
            </w:pPr>
            <w:r>
              <w:rPr>
                <w:rFonts w:eastAsia="Times New Roman"/>
                <w:sz w:val="20"/>
                <w:szCs w:val="20"/>
              </w:rPr>
              <w:t> </w:t>
            </w:r>
          </w:p>
        </w:tc>
      </w:tr>
      <w:tr w:rsidR="00000000" w14:paraId="07DFBA40" w14:textId="77777777">
        <w:tc>
          <w:tcPr>
            <w:tcW w:w="0" w:type="auto"/>
            <w:shd w:val="clear" w:color="auto" w:fill="CCEEFF"/>
            <w:vAlign w:val="bottom"/>
            <w:hideMark/>
          </w:tcPr>
          <w:p w14:paraId="198EC26C" w14:textId="77777777" w:rsidR="00000000" w:rsidRDefault="009027A3">
            <w:pPr>
              <w:rPr>
                <w:rFonts w:eastAsia="Times New Roman"/>
                <w:sz w:val="20"/>
                <w:szCs w:val="20"/>
              </w:rPr>
            </w:pPr>
            <w:r>
              <w:rPr>
                <w:rFonts w:eastAsia="Times New Roman"/>
                <w:sz w:val="20"/>
                <w:szCs w:val="20"/>
              </w:rPr>
              <w:t>Balance as of January 1, 2020</w:t>
            </w:r>
          </w:p>
        </w:tc>
        <w:tc>
          <w:tcPr>
            <w:tcW w:w="0" w:type="auto"/>
            <w:shd w:val="clear" w:color="auto" w:fill="CCEEFF"/>
            <w:vAlign w:val="bottom"/>
            <w:hideMark/>
          </w:tcPr>
          <w:p w14:paraId="14C569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0ED8B"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2B55DAF8" w14:textId="77777777" w:rsidR="00000000" w:rsidRDefault="009027A3">
            <w:pPr>
              <w:jc w:val="right"/>
              <w:rPr>
                <w:rFonts w:eastAsia="Times New Roman"/>
                <w:sz w:val="20"/>
                <w:szCs w:val="20"/>
              </w:rPr>
            </w:pPr>
            <w:r>
              <w:rPr>
                <w:rFonts w:eastAsia="Times New Roman"/>
                <w:sz w:val="20"/>
                <w:szCs w:val="20"/>
              </w:rPr>
              <w:t>6,995</w:t>
            </w:r>
          </w:p>
        </w:tc>
        <w:tc>
          <w:tcPr>
            <w:tcW w:w="0" w:type="auto"/>
            <w:shd w:val="clear" w:color="auto" w:fill="CCEEFF"/>
            <w:vAlign w:val="bottom"/>
            <w:hideMark/>
          </w:tcPr>
          <w:p w14:paraId="17BE1E1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5CC9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D7CF4B"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763860DC" w14:textId="77777777" w:rsidR="00000000" w:rsidRDefault="009027A3">
            <w:pPr>
              <w:jc w:val="right"/>
              <w:rPr>
                <w:rFonts w:eastAsia="Times New Roman"/>
                <w:sz w:val="20"/>
                <w:szCs w:val="20"/>
              </w:rPr>
            </w:pPr>
            <w:r>
              <w:rPr>
                <w:rFonts w:eastAsia="Times New Roman"/>
                <w:sz w:val="20"/>
                <w:szCs w:val="20"/>
              </w:rPr>
              <w:t>2,385</w:t>
            </w:r>
          </w:p>
        </w:tc>
        <w:tc>
          <w:tcPr>
            <w:tcW w:w="0" w:type="auto"/>
            <w:shd w:val="clear" w:color="auto" w:fill="CCEEFF"/>
            <w:vAlign w:val="bottom"/>
            <w:hideMark/>
          </w:tcPr>
          <w:p w14:paraId="6BE8D8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0B5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EDB7D"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6367187C"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14:paraId="0523313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4524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5C10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5E7A9204" w14:textId="77777777" w:rsidR="00000000" w:rsidRDefault="009027A3">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14:paraId="1F407BF2" w14:textId="77777777" w:rsidR="00000000" w:rsidRDefault="009027A3">
            <w:pPr>
              <w:rPr>
                <w:rFonts w:eastAsia="Times New Roman"/>
                <w:sz w:val="20"/>
                <w:szCs w:val="20"/>
              </w:rPr>
            </w:pPr>
            <w:r>
              <w:rPr>
                <w:rFonts w:eastAsia="Times New Roman"/>
                <w:sz w:val="20"/>
                <w:szCs w:val="20"/>
              </w:rPr>
              <w:t> </w:t>
            </w:r>
          </w:p>
        </w:tc>
      </w:tr>
      <w:tr w:rsidR="00000000" w14:paraId="5E7A039C" w14:textId="77777777">
        <w:tc>
          <w:tcPr>
            <w:tcW w:w="0" w:type="auto"/>
            <w:shd w:val="clear" w:color="auto" w:fill="FFFFFF"/>
            <w:vAlign w:val="bottom"/>
            <w:hideMark/>
          </w:tcPr>
          <w:p w14:paraId="2CF8D9BB" w14:textId="77777777" w:rsidR="00000000" w:rsidRDefault="009027A3">
            <w:pPr>
              <w:rPr>
                <w:rFonts w:eastAsia="Times New Roman"/>
                <w:sz w:val="20"/>
                <w:szCs w:val="20"/>
              </w:rPr>
            </w:pPr>
            <w:r>
              <w:rPr>
                <w:rFonts w:eastAsia="Times New Roman"/>
                <w:sz w:val="20"/>
                <w:szCs w:val="20"/>
              </w:rPr>
              <w:t>CCH acquisition</w:t>
            </w:r>
          </w:p>
        </w:tc>
        <w:tc>
          <w:tcPr>
            <w:tcW w:w="0" w:type="auto"/>
            <w:shd w:val="clear" w:color="auto" w:fill="FFFFFF"/>
            <w:vAlign w:val="bottom"/>
            <w:hideMark/>
          </w:tcPr>
          <w:p w14:paraId="61C5A2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F4A1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C531F" w14:textId="77777777" w:rsidR="00000000" w:rsidRDefault="009027A3">
            <w:pPr>
              <w:jc w:val="right"/>
              <w:rPr>
                <w:rFonts w:eastAsia="Times New Roman"/>
                <w:sz w:val="20"/>
                <w:szCs w:val="20"/>
              </w:rPr>
            </w:pPr>
            <w:r>
              <w:rPr>
                <w:rFonts w:eastAsia="Times New Roman"/>
                <w:sz w:val="20"/>
                <w:szCs w:val="20"/>
              </w:rPr>
              <w:t>2,299</w:t>
            </w:r>
          </w:p>
        </w:tc>
        <w:tc>
          <w:tcPr>
            <w:tcW w:w="0" w:type="auto"/>
            <w:shd w:val="clear" w:color="auto" w:fill="FFFFFF"/>
            <w:vAlign w:val="bottom"/>
            <w:hideMark/>
          </w:tcPr>
          <w:p w14:paraId="536DB1C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4A70F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BB03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04A9BD" w14:textId="77777777" w:rsidR="00000000" w:rsidRDefault="009027A3">
            <w:pPr>
              <w:jc w:val="right"/>
              <w:rPr>
                <w:rFonts w:eastAsia="Times New Roman"/>
                <w:sz w:val="20"/>
                <w:szCs w:val="20"/>
              </w:rPr>
            </w:pPr>
            <w:r>
              <w:rPr>
                <w:rFonts w:eastAsia="Times New Roman"/>
                <w:sz w:val="20"/>
                <w:szCs w:val="20"/>
              </w:rPr>
              <w:t>538</w:t>
            </w:r>
          </w:p>
        </w:tc>
        <w:tc>
          <w:tcPr>
            <w:tcW w:w="0" w:type="auto"/>
            <w:shd w:val="clear" w:color="auto" w:fill="FFFFFF"/>
            <w:vAlign w:val="bottom"/>
            <w:hideMark/>
          </w:tcPr>
          <w:p w14:paraId="24F09D7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6987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A478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E338A"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7CC33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6799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4365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51A7E" w14:textId="77777777" w:rsidR="00000000" w:rsidRDefault="009027A3">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14:paraId="76F635C7" w14:textId="77777777" w:rsidR="00000000" w:rsidRDefault="009027A3">
            <w:pPr>
              <w:rPr>
                <w:rFonts w:eastAsia="Times New Roman"/>
                <w:sz w:val="20"/>
                <w:szCs w:val="20"/>
              </w:rPr>
            </w:pPr>
            <w:r>
              <w:rPr>
                <w:rFonts w:eastAsia="Times New Roman"/>
                <w:sz w:val="20"/>
                <w:szCs w:val="20"/>
              </w:rPr>
              <w:t> </w:t>
            </w:r>
          </w:p>
        </w:tc>
      </w:tr>
      <w:tr w:rsidR="00000000" w14:paraId="7C439540" w14:textId="77777777">
        <w:tc>
          <w:tcPr>
            <w:tcW w:w="0" w:type="auto"/>
            <w:shd w:val="clear" w:color="auto" w:fill="CCEEFF"/>
            <w:tcMar>
              <w:top w:w="0" w:type="dxa"/>
              <w:left w:w="0" w:type="dxa"/>
              <w:bottom w:w="30" w:type="dxa"/>
              <w:right w:w="0" w:type="dxa"/>
            </w:tcMar>
            <w:vAlign w:val="bottom"/>
            <w:hideMark/>
          </w:tcPr>
          <w:p w14:paraId="09E95C4E" w14:textId="77777777" w:rsidR="00000000" w:rsidRDefault="009027A3">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14:paraId="5886CDA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8BD3F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50485B" w14:textId="77777777" w:rsidR="00000000" w:rsidRDefault="009027A3">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30" w:type="dxa"/>
              <w:right w:w="0" w:type="dxa"/>
            </w:tcMar>
            <w:vAlign w:val="bottom"/>
            <w:hideMark/>
          </w:tcPr>
          <w:p w14:paraId="0BF4B4C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5C841E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94642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D2F8F9" w14:textId="77777777" w:rsidR="00000000" w:rsidRDefault="009027A3">
            <w:pPr>
              <w:jc w:val="right"/>
              <w:rPr>
                <w:rFonts w:eastAsia="Times New Roman"/>
                <w:sz w:val="20"/>
                <w:szCs w:val="20"/>
              </w:rPr>
            </w:pPr>
            <w:r>
              <w:rPr>
                <w:rFonts w:eastAsia="Times New Roman"/>
                <w:sz w:val="20"/>
                <w:szCs w:val="20"/>
              </w:rPr>
              <w:t>(38</w:t>
            </w:r>
          </w:p>
        </w:tc>
        <w:tc>
          <w:tcPr>
            <w:tcW w:w="0" w:type="auto"/>
            <w:shd w:val="clear" w:color="auto" w:fill="CCEEFF"/>
            <w:tcMar>
              <w:top w:w="0" w:type="dxa"/>
              <w:left w:w="0" w:type="dxa"/>
              <w:bottom w:w="30" w:type="dxa"/>
              <w:right w:w="0" w:type="dxa"/>
            </w:tcMar>
            <w:vAlign w:val="bottom"/>
            <w:hideMark/>
          </w:tcPr>
          <w:p w14:paraId="71A622E6"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D95C57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C5666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F781FF" w14:textId="77777777" w:rsidR="00000000" w:rsidRDefault="009027A3">
            <w:pPr>
              <w:jc w:val="right"/>
              <w:rPr>
                <w:rFonts w:eastAsia="Times New Roman"/>
                <w:sz w:val="20"/>
                <w:szCs w:val="20"/>
              </w:rPr>
            </w:pPr>
            <w:r>
              <w:rPr>
                <w:rFonts w:eastAsia="Times New Roman"/>
                <w:sz w:val="20"/>
                <w:szCs w:val="20"/>
              </w:rPr>
              <w:t>4</w:t>
            </w:r>
          </w:p>
        </w:tc>
        <w:tc>
          <w:tcPr>
            <w:tcW w:w="0" w:type="auto"/>
            <w:shd w:val="clear" w:color="auto" w:fill="CCEEFF"/>
            <w:tcMar>
              <w:top w:w="0" w:type="dxa"/>
              <w:left w:w="0" w:type="dxa"/>
              <w:bottom w:w="30" w:type="dxa"/>
              <w:right w:w="0" w:type="dxa"/>
            </w:tcMar>
            <w:vAlign w:val="bottom"/>
            <w:hideMark/>
          </w:tcPr>
          <w:p w14:paraId="7242ED0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C8BF3C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13985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C74DC4" w14:textId="77777777" w:rsidR="00000000" w:rsidRDefault="009027A3">
            <w:pPr>
              <w:jc w:val="right"/>
              <w:rPr>
                <w:rFonts w:eastAsia="Times New Roman"/>
                <w:sz w:val="20"/>
                <w:szCs w:val="20"/>
              </w:rPr>
            </w:pPr>
            <w:r>
              <w:rPr>
                <w:rFonts w:eastAsia="Times New Roman"/>
                <w:sz w:val="20"/>
                <w:szCs w:val="20"/>
              </w:rPr>
              <w:t>(92</w:t>
            </w:r>
          </w:p>
        </w:tc>
        <w:tc>
          <w:tcPr>
            <w:tcW w:w="0" w:type="auto"/>
            <w:shd w:val="clear" w:color="auto" w:fill="CCEEFF"/>
            <w:tcMar>
              <w:top w:w="0" w:type="dxa"/>
              <w:left w:w="0" w:type="dxa"/>
              <w:bottom w:w="30" w:type="dxa"/>
              <w:right w:w="0" w:type="dxa"/>
            </w:tcMar>
            <w:vAlign w:val="bottom"/>
            <w:hideMark/>
          </w:tcPr>
          <w:p w14:paraId="0AFF393D" w14:textId="77777777" w:rsidR="00000000" w:rsidRDefault="009027A3">
            <w:pPr>
              <w:rPr>
                <w:rFonts w:eastAsia="Times New Roman"/>
                <w:sz w:val="20"/>
                <w:szCs w:val="20"/>
              </w:rPr>
            </w:pPr>
            <w:r>
              <w:rPr>
                <w:rFonts w:eastAsia="Times New Roman"/>
                <w:sz w:val="20"/>
                <w:szCs w:val="20"/>
              </w:rPr>
              <w:t>)</w:t>
            </w:r>
          </w:p>
        </w:tc>
      </w:tr>
      <w:tr w:rsidR="00000000" w14:paraId="327AB56A" w14:textId="77777777">
        <w:tc>
          <w:tcPr>
            <w:tcW w:w="0" w:type="auto"/>
            <w:shd w:val="clear" w:color="auto" w:fill="FFFFFF"/>
            <w:tcMar>
              <w:top w:w="0" w:type="dxa"/>
              <w:left w:w="0" w:type="dxa"/>
              <w:bottom w:w="50" w:type="dxa"/>
              <w:right w:w="0" w:type="dxa"/>
            </w:tcMar>
            <w:vAlign w:val="bottom"/>
            <w:hideMark/>
          </w:tcPr>
          <w:p w14:paraId="47C1AC04" w14:textId="77777777" w:rsidR="00000000" w:rsidRDefault="009027A3">
            <w:pPr>
              <w:rPr>
                <w:rFonts w:eastAsia="Times New Roman"/>
                <w:sz w:val="20"/>
                <w:szCs w:val="20"/>
              </w:rPr>
            </w:pPr>
            <w:r>
              <w:rPr>
                <w:rFonts w:eastAsia="Times New Roman"/>
                <w:sz w:val="20"/>
                <w:szCs w:val="20"/>
              </w:rPr>
              <w:t>Balance as of March 31, 2020</w:t>
            </w:r>
          </w:p>
        </w:tc>
        <w:tc>
          <w:tcPr>
            <w:tcW w:w="0" w:type="auto"/>
            <w:shd w:val="clear" w:color="auto" w:fill="FFFFFF"/>
            <w:tcMar>
              <w:top w:w="0" w:type="dxa"/>
              <w:left w:w="0" w:type="dxa"/>
              <w:bottom w:w="50" w:type="dxa"/>
              <w:right w:w="0" w:type="dxa"/>
            </w:tcMar>
            <w:vAlign w:val="bottom"/>
            <w:hideMark/>
          </w:tcPr>
          <w:p w14:paraId="6BF0E15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30239FA"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776DE19" w14:textId="77777777" w:rsidR="00000000" w:rsidRDefault="009027A3">
            <w:pPr>
              <w:jc w:val="right"/>
              <w:rPr>
                <w:rFonts w:eastAsia="Times New Roman"/>
                <w:sz w:val="20"/>
                <w:szCs w:val="20"/>
              </w:rPr>
            </w:pPr>
            <w:r>
              <w:rPr>
                <w:rFonts w:eastAsia="Times New Roman"/>
                <w:sz w:val="20"/>
                <w:szCs w:val="20"/>
              </w:rPr>
              <w:t>9,315</w:t>
            </w:r>
          </w:p>
        </w:tc>
        <w:tc>
          <w:tcPr>
            <w:tcW w:w="0" w:type="auto"/>
            <w:shd w:val="clear" w:color="auto" w:fill="FFFFFF"/>
            <w:tcMar>
              <w:top w:w="0" w:type="dxa"/>
              <w:left w:w="0" w:type="dxa"/>
              <w:bottom w:w="50" w:type="dxa"/>
              <w:right w:w="0" w:type="dxa"/>
            </w:tcMar>
            <w:vAlign w:val="bottom"/>
            <w:hideMark/>
          </w:tcPr>
          <w:p w14:paraId="06333A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6525D4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D1F4D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1AAB9D8" w14:textId="77777777" w:rsidR="00000000" w:rsidRDefault="009027A3">
            <w:pPr>
              <w:jc w:val="right"/>
              <w:rPr>
                <w:rFonts w:eastAsia="Times New Roman"/>
                <w:sz w:val="20"/>
                <w:szCs w:val="20"/>
              </w:rPr>
            </w:pPr>
            <w:r>
              <w:rPr>
                <w:rFonts w:eastAsia="Times New Roman"/>
                <w:sz w:val="20"/>
                <w:szCs w:val="20"/>
              </w:rPr>
              <w:t>2,885</w:t>
            </w:r>
          </w:p>
        </w:tc>
        <w:tc>
          <w:tcPr>
            <w:tcW w:w="0" w:type="auto"/>
            <w:shd w:val="clear" w:color="auto" w:fill="FFFFFF"/>
            <w:tcMar>
              <w:top w:w="0" w:type="dxa"/>
              <w:left w:w="0" w:type="dxa"/>
              <w:bottom w:w="50" w:type="dxa"/>
              <w:right w:w="0" w:type="dxa"/>
            </w:tcMar>
            <w:vAlign w:val="bottom"/>
            <w:hideMark/>
          </w:tcPr>
          <w:p w14:paraId="2DA84FD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D0C9433"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69E23D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BD2F676" w14:textId="77777777" w:rsidR="00000000" w:rsidRDefault="009027A3">
            <w:pPr>
              <w:jc w:val="right"/>
              <w:rPr>
                <w:rFonts w:eastAsia="Times New Roman"/>
                <w:sz w:val="20"/>
                <w:szCs w:val="20"/>
              </w:rPr>
            </w:pPr>
            <w:r>
              <w:rPr>
                <w:rFonts w:eastAsia="Times New Roman"/>
                <w:sz w:val="20"/>
                <w:szCs w:val="20"/>
              </w:rPr>
              <w:t>24</w:t>
            </w:r>
          </w:p>
        </w:tc>
        <w:tc>
          <w:tcPr>
            <w:tcW w:w="0" w:type="auto"/>
            <w:shd w:val="clear" w:color="auto" w:fill="FFFFFF"/>
            <w:tcMar>
              <w:top w:w="0" w:type="dxa"/>
              <w:left w:w="0" w:type="dxa"/>
              <w:bottom w:w="50" w:type="dxa"/>
              <w:right w:w="0" w:type="dxa"/>
            </w:tcMar>
            <w:vAlign w:val="bottom"/>
            <w:hideMark/>
          </w:tcPr>
          <w:p w14:paraId="3745B5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84474EA"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545E84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EC0F1C" w14:textId="77777777" w:rsidR="00000000" w:rsidRDefault="009027A3">
            <w:pPr>
              <w:jc w:val="right"/>
              <w:rPr>
                <w:rFonts w:eastAsia="Times New Roman"/>
                <w:sz w:val="20"/>
                <w:szCs w:val="20"/>
              </w:rPr>
            </w:pPr>
            <w:r>
              <w:rPr>
                <w:rFonts w:eastAsia="Times New Roman"/>
                <w:sz w:val="20"/>
                <w:szCs w:val="20"/>
              </w:rPr>
              <w:t>196</w:t>
            </w:r>
          </w:p>
        </w:tc>
        <w:tc>
          <w:tcPr>
            <w:tcW w:w="0" w:type="auto"/>
            <w:shd w:val="clear" w:color="auto" w:fill="FFFFFF"/>
            <w:tcMar>
              <w:top w:w="0" w:type="dxa"/>
              <w:left w:w="0" w:type="dxa"/>
              <w:bottom w:w="50" w:type="dxa"/>
              <w:right w:w="0" w:type="dxa"/>
            </w:tcMar>
            <w:vAlign w:val="bottom"/>
            <w:hideMark/>
          </w:tcPr>
          <w:p w14:paraId="6C0C648F" w14:textId="77777777" w:rsidR="00000000" w:rsidRDefault="009027A3">
            <w:pPr>
              <w:rPr>
                <w:rFonts w:eastAsia="Times New Roman"/>
                <w:sz w:val="20"/>
                <w:szCs w:val="20"/>
              </w:rPr>
            </w:pPr>
            <w:r>
              <w:rPr>
                <w:rFonts w:eastAsia="Times New Roman"/>
                <w:sz w:val="20"/>
                <w:szCs w:val="20"/>
              </w:rPr>
              <w:t> </w:t>
            </w:r>
          </w:p>
        </w:tc>
      </w:tr>
    </w:tbl>
    <w:p w14:paraId="288E79E7" w14:textId="77777777" w:rsidR="00000000" w:rsidRDefault="009027A3">
      <w:pPr>
        <w:pStyle w:val="a3"/>
        <w:spacing w:before="0" w:beforeAutospacing="0" w:after="0" w:afterAutospacing="0"/>
        <w:jc w:val="both"/>
        <w:rPr>
          <w:sz w:val="20"/>
          <w:szCs w:val="20"/>
        </w:rPr>
      </w:pPr>
      <w:r>
        <w:rPr>
          <w:sz w:val="20"/>
          <w:szCs w:val="20"/>
        </w:rPr>
        <w:t> </w:t>
      </w:r>
    </w:p>
    <w:p w14:paraId="7CE756F3" w14:textId="77777777" w:rsidR="00000000" w:rsidRDefault="009027A3">
      <w:pPr>
        <w:pStyle w:val="a3"/>
        <w:spacing w:before="0" w:beforeAutospacing="0" w:after="0" w:afterAutospacing="0"/>
        <w:jc w:val="both"/>
        <w:rPr>
          <w:sz w:val="20"/>
          <w:szCs w:val="20"/>
        </w:rPr>
      </w:pPr>
      <w:r>
        <w:rPr>
          <w:i/>
          <w:iCs/>
          <w:sz w:val="20"/>
          <w:szCs w:val="20"/>
        </w:rPr>
        <w:t>Deferred commissions:</w:t>
      </w:r>
    </w:p>
    <w:p w14:paraId="51FFA5C8" w14:textId="77777777" w:rsidR="00000000" w:rsidRDefault="009027A3">
      <w:pPr>
        <w:pStyle w:val="a3"/>
        <w:spacing w:before="0" w:beforeAutospacing="0" w:after="0" w:afterAutospacing="0"/>
        <w:jc w:val="both"/>
        <w:rPr>
          <w:sz w:val="20"/>
          <w:szCs w:val="20"/>
        </w:rPr>
      </w:pPr>
      <w:r>
        <w:rPr>
          <w:i/>
          <w:iCs/>
          <w:sz w:val="20"/>
          <w:szCs w:val="20"/>
        </w:rPr>
        <w:t> </w:t>
      </w:r>
    </w:p>
    <w:p w14:paraId="5787CD16" w14:textId="77777777" w:rsidR="00000000" w:rsidRDefault="009027A3">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for contracts entered into by CCH. Deferred commissions were approximately $1.0 </w:t>
      </w:r>
      <w:r>
        <w:rPr>
          <w:sz w:val="20"/>
          <w:szCs w:val="20"/>
        </w:rPr>
        <w:t xml:space="preserve">million and $411,000 at March 31, 2021 and 2020, respectively, and are included in the other assets amounts in the condensed consolidated balance </w:t>
      </w:r>
      <w:r>
        <w:rPr>
          <w:color w:val="000000"/>
          <w:sz w:val="20"/>
          <w:szCs w:val="20"/>
        </w:rPr>
        <w:t>sheets.</w:t>
      </w:r>
    </w:p>
    <w:p w14:paraId="0FD3A042"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1D9EB19E" w14:textId="77777777">
        <w:trPr>
          <w:tblCellSpacing w:w="0" w:type="dxa"/>
        </w:trPr>
        <w:tc>
          <w:tcPr>
            <w:tcW w:w="720" w:type="dxa"/>
            <w:hideMark/>
          </w:tcPr>
          <w:p w14:paraId="44B7C098" w14:textId="77777777" w:rsidR="00000000" w:rsidRDefault="009027A3">
            <w:pPr>
              <w:rPr>
                <w:rFonts w:eastAsia="Times New Roman"/>
                <w:b/>
                <w:bCs/>
                <w:caps/>
                <w:sz w:val="20"/>
                <w:szCs w:val="20"/>
              </w:rPr>
            </w:pPr>
            <w:r>
              <w:rPr>
                <w:rFonts w:eastAsia="Times New Roman"/>
                <w:b/>
                <w:bCs/>
                <w:caps/>
                <w:sz w:val="20"/>
                <w:szCs w:val="20"/>
              </w:rPr>
              <w:t>11.</w:t>
            </w:r>
          </w:p>
        </w:tc>
        <w:tc>
          <w:tcPr>
            <w:tcW w:w="0" w:type="auto"/>
            <w:hideMark/>
          </w:tcPr>
          <w:p w14:paraId="58645F09" w14:textId="77777777" w:rsidR="00000000" w:rsidRDefault="009027A3">
            <w:pPr>
              <w:rPr>
                <w:rFonts w:eastAsia="Times New Roman"/>
                <w:b/>
                <w:bCs/>
                <w:caps/>
                <w:sz w:val="20"/>
                <w:szCs w:val="20"/>
              </w:rPr>
            </w:pPr>
            <w:r>
              <w:rPr>
                <w:rFonts w:eastAsia="Times New Roman"/>
                <w:b/>
                <w:bCs/>
                <w:caps/>
                <w:sz w:val="20"/>
                <w:szCs w:val="20"/>
              </w:rPr>
              <w:t>STOCK-BASED COMPENSATION</w:t>
            </w:r>
          </w:p>
        </w:tc>
      </w:tr>
    </w:tbl>
    <w:p w14:paraId="6C10A99A" w14:textId="77777777" w:rsidR="00000000" w:rsidRDefault="009027A3">
      <w:pPr>
        <w:pStyle w:val="a3"/>
        <w:spacing w:before="0" w:beforeAutospacing="0" w:after="0" w:afterAutospacing="0"/>
        <w:jc w:val="both"/>
        <w:rPr>
          <w:sz w:val="20"/>
          <w:szCs w:val="20"/>
        </w:rPr>
      </w:pPr>
      <w:r>
        <w:rPr>
          <w:sz w:val="20"/>
          <w:szCs w:val="20"/>
        </w:rPr>
        <w:t> </w:t>
      </w:r>
    </w:p>
    <w:p w14:paraId="5647636B" w14:textId="77777777" w:rsidR="00000000" w:rsidRDefault="009027A3">
      <w:pPr>
        <w:pStyle w:val="a3"/>
        <w:spacing w:before="0" w:beforeAutospacing="0" w:after="0" w:afterAutospacing="0"/>
        <w:jc w:val="both"/>
        <w:rPr>
          <w:sz w:val="20"/>
          <w:szCs w:val="20"/>
        </w:rPr>
      </w:pPr>
      <w:r>
        <w:rPr>
          <w:sz w:val="20"/>
          <w:szCs w:val="20"/>
        </w:rPr>
        <w:t>In April 2014, the Company adopted the Medical Transcription Billing</w:t>
      </w:r>
      <w:r>
        <w:rPr>
          <w:sz w:val="20"/>
          <w:szCs w:val="20"/>
        </w:rPr>
        <w:t>, Corp. 2014 Equity Incentive Plan (the “2014 Plan”), reserving 1,351,000 shares of common stock for grants to employees, officers, directors and consultants. During 2017, the 2014 Plan was amended and restated whereby an additional 1,500, 000 shares of co</w:t>
      </w:r>
      <w:r>
        <w:rPr>
          <w:sz w:val="20"/>
          <w:szCs w:val="20"/>
        </w:rPr>
        <w:t>mmon stock and 100,000 shares of Preferred Stock were added to the plan for future issuance. The 2014 Plan was amended and restated on April 14, 2017 (the “Amended and Restated Equity Incentive Plan”). During 2018, an additional 200,000 of preferred shares</w:t>
      </w:r>
      <w:r>
        <w:rPr>
          <w:sz w:val="20"/>
          <w:szCs w:val="20"/>
        </w:rPr>
        <w:t xml:space="preserve"> were added to the plan for future issuance. In May 2020, an additional 2,000,000 shares of common stock and 300,000 shares of Preferred Stock were added to the plan for future issuance. As of March 31, 2021, 1,327,937 shares of common stock and 332,153 sh</w:t>
      </w:r>
      <w:r>
        <w:rPr>
          <w:sz w:val="20"/>
          <w:szCs w:val="20"/>
        </w:rPr>
        <w:t>ares of Preferred Stock are available for grant. Permissible awards include incentive stock options, non-statutory stock options, stock appreciation rights, restricted stock, RSUs, performance stock and cash-settled awards and other stock-based awards in t</w:t>
      </w:r>
      <w:r>
        <w:rPr>
          <w:sz w:val="20"/>
          <w:szCs w:val="20"/>
        </w:rPr>
        <w:t>he discretion of the Compensation Committee of the Board of Directors including unrestricted stock grants.</w:t>
      </w:r>
    </w:p>
    <w:p w14:paraId="0BBDDE0F"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05DD86F" w14:textId="77777777">
        <w:trPr>
          <w:divId w:val="1608200136"/>
        </w:trPr>
        <w:tc>
          <w:tcPr>
            <w:tcW w:w="5000" w:type="pct"/>
            <w:hideMark/>
          </w:tcPr>
          <w:p w14:paraId="0DFCA54B"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3B1C11B0" w14:textId="77777777">
        <w:tc>
          <w:tcPr>
            <w:tcW w:w="5000" w:type="pct"/>
            <w:hideMark/>
          </w:tcPr>
          <w:p w14:paraId="1B44D7EB" w14:textId="77777777" w:rsidR="00000000" w:rsidRDefault="009027A3">
            <w:pPr>
              <w:rPr>
                <w:rFonts w:eastAsia="Times New Roman"/>
                <w:sz w:val="20"/>
                <w:szCs w:val="20"/>
              </w:rPr>
            </w:pPr>
            <w:r>
              <w:rPr>
                <w:rFonts w:eastAsia="Times New Roman"/>
                <w:sz w:val="20"/>
                <w:szCs w:val="20"/>
              </w:rPr>
              <w:t> </w:t>
            </w:r>
          </w:p>
        </w:tc>
      </w:tr>
    </w:tbl>
    <w:p w14:paraId="3EDF5312" w14:textId="77777777" w:rsidR="00000000" w:rsidRDefault="009027A3">
      <w:pPr>
        <w:pStyle w:val="a3"/>
        <w:spacing w:before="0" w:beforeAutospacing="0" w:after="0" w:afterAutospacing="0"/>
        <w:jc w:val="both"/>
        <w:rPr>
          <w:sz w:val="20"/>
          <w:szCs w:val="20"/>
        </w:rPr>
      </w:pPr>
      <w:r>
        <w:rPr>
          <w:sz w:val="20"/>
          <w:szCs w:val="20"/>
        </w:rPr>
        <w:t> </w:t>
      </w:r>
    </w:p>
    <w:p w14:paraId="1882B3FB"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equity-based RSUs contain a provision in which the units shall immediately vest and become converted into common shares at the rate of one share per RSU, immediately after a change in control, as defined in the award agreement. The preferred stock RSUs con</w:t>
      </w:r>
      <w:r>
        <w:rPr>
          <w:sz w:val="20"/>
          <w:szCs w:val="20"/>
        </w:rPr>
        <w:t>tain a similar provision, which vest and convert to Preferred Stock upon a change in control.</w:t>
      </w:r>
    </w:p>
    <w:p w14:paraId="693F60E0" w14:textId="77777777" w:rsidR="00000000" w:rsidRDefault="009027A3">
      <w:pPr>
        <w:pStyle w:val="a3"/>
        <w:spacing w:before="0" w:beforeAutospacing="0" w:after="0" w:afterAutospacing="0"/>
        <w:jc w:val="both"/>
        <w:rPr>
          <w:color w:val="FF0000"/>
          <w:sz w:val="20"/>
          <w:szCs w:val="20"/>
        </w:rPr>
      </w:pPr>
      <w:r>
        <w:rPr>
          <w:color w:val="FF0000"/>
          <w:sz w:val="20"/>
          <w:szCs w:val="20"/>
        </w:rPr>
        <w:t> </w:t>
      </w:r>
    </w:p>
    <w:p w14:paraId="3F745029" w14:textId="77777777" w:rsidR="00000000" w:rsidRDefault="009027A3">
      <w:pPr>
        <w:pStyle w:val="a3"/>
        <w:spacing w:before="0" w:beforeAutospacing="0" w:after="0" w:afterAutospacing="0"/>
        <w:rPr>
          <w:sz w:val="20"/>
          <w:szCs w:val="20"/>
        </w:rPr>
      </w:pPr>
      <w:r>
        <w:rPr>
          <w:b/>
          <w:bCs/>
          <w:i/>
          <w:iCs/>
          <w:sz w:val="20"/>
          <w:szCs w:val="20"/>
          <w:u w:val="single"/>
        </w:rPr>
        <w:t>Common and preferred stock RSUs</w:t>
      </w:r>
    </w:p>
    <w:p w14:paraId="6C34061D" w14:textId="77777777" w:rsidR="00000000" w:rsidRDefault="009027A3">
      <w:pPr>
        <w:pStyle w:val="a3"/>
        <w:spacing w:before="0" w:beforeAutospacing="0" w:after="0" w:afterAutospacing="0"/>
        <w:jc w:val="both"/>
        <w:rPr>
          <w:color w:val="FF0000"/>
          <w:sz w:val="20"/>
          <w:szCs w:val="20"/>
        </w:rPr>
      </w:pPr>
      <w:r>
        <w:rPr>
          <w:color w:val="FF0000"/>
          <w:sz w:val="20"/>
          <w:szCs w:val="20"/>
        </w:rPr>
        <w:t> </w:t>
      </w:r>
    </w:p>
    <w:p w14:paraId="22DB82D8" w14:textId="77777777" w:rsidR="00000000" w:rsidRDefault="009027A3">
      <w:pPr>
        <w:pStyle w:val="a3"/>
        <w:spacing w:before="0" w:beforeAutospacing="0" w:after="0" w:afterAutospacing="0"/>
        <w:jc w:val="both"/>
        <w:rPr>
          <w:sz w:val="20"/>
          <w:szCs w:val="20"/>
        </w:rPr>
      </w:pPr>
      <w:r>
        <w:rPr>
          <w:sz w:val="20"/>
          <w:szCs w:val="20"/>
        </w:rPr>
        <w:t xml:space="preserve">In </w:t>
      </w:r>
      <w:r>
        <w:rPr>
          <w:sz w:val="20"/>
          <w:szCs w:val="20"/>
        </w:rPr>
        <w:t>January 2021, the Compensation Committee approved executive bonuses to be paid in shares of Preferred Stock, with the number of shares and the amount based on specified criteria being achieved during the year 2021. The actual amount will be settled in earl</w:t>
      </w:r>
      <w:r>
        <w:rPr>
          <w:sz w:val="20"/>
          <w:szCs w:val="20"/>
        </w:rPr>
        <w:t>y 2022 based on the achievement of the specified criteria. For the three months ended March 31, 2021, an expense of approximately $154,000, was recorded for these bonuses based on the value of the shares at the grant date and recognized over the service pe</w:t>
      </w:r>
      <w:r>
        <w:rPr>
          <w:sz w:val="20"/>
          <w:szCs w:val="20"/>
        </w:rPr>
        <w:t>riod. The portion of the stock compensation expense to be used for the payment of withholding and payroll taxes is included in accrued compensation in the condensed consolidated balance sheets. The balance of the stock compensation expense has been recorde</w:t>
      </w:r>
      <w:r>
        <w:rPr>
          <w:sz w:val="20"/>
          <w:szCs w:val="20"/>
        </w:rPr>
        <w:t>d as additional paid-in capital.</w:t>
      </w:r>
    </w:p>
    <w:p w14:paraId="5A375921" w14:textId="77777777" w:rsidR="00000000" w:rsidRDefault="009027A3">
      <w:pPr>
        <w:pStyle w:val="a3"/>
        <w:spacing w:before="0" w:beforeAutospacing="0" w:after="0" w:afterAutospacing="0"/>
        <w:jc w:val="both"/>
        <w:rPr>
          <w:sz w:val="20"/>
          <w:szCs w:val="20"/>
        </w:rPr>
      </w:pPr>
      <w:r>
        <w:rPr>
          <w:sz w:val="20"/>
          <w:szCs w:val="20"/>
        </w:rPr>
        <w:t> </w:t>
      </w:r>
    </w:p>
    <w:p w14:paraId="18633DD4" w14:textId="77777777" w:rsidR="00000000" w:rsidRDefault="009027A3">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 three months ended March 31, 2021 and 2020:</w:t>
      </w:r>
    </w:p>
    <w:p w14:paraId="3247A4A4" w14:textId="77777777" w:rsidR="00000000" w:rsidRDefault="009027A3">
      <w:pPr>
        <w:pStyle w:val="a3"/>
        <w:spacing w:before="0" w:beforeAutospacing="0" w:after="0" w:afterAutospacing="0"/>
        <w:jc w:val="both"/>
        <w:rPr>
          <w:color w:val="FF0000"/>
          <w:sz w:val="20"/>
          <w:szCs w:val="20"/>
        </w:rPr>
      </w:pPr>
      <w:r>
        <w:rPr>
          <w:color w:val="FF0000"/>
          <w:sz w:val="20"/>
          <w:szCs w:val="20"/>
        </w:rPr>
        <w:t> </w:t>
      </w:r>
    </w:p>
    <w:tbl>
      <w:tblPr>
        <w:tblW w:w="4000" w:type="pct"/>
        <w:tblCellMar>
          <w:left w:w="0" w:type="dxa"/>
          <w:right w:w="0" w:type="dxa"/>
        </w:tblCellMar>
        <w:tblLook w:val="04A0" w:firstRow="1" w:lastRow="0" w:firstColumn="1" w:lastColumn="0" w:noHBand="0" w:noVBand="1"/>
      </w:tblPr>
      <w:tblGrid>
        <w:gridCol w:w="3721"/>
        <w:gridCol w:w="133"/>
        <w:gridCol w:w="66"/>
        <w:gridCol w:w="1196"/>
        <w:gridCol w:w="67"/>
        <w:gridCol w:w="133"/>
        <w:gridCol w:w="66"/>
        <w:gridCol w:w="1196"/>
        <w:gridCol w:w="67"/>
      </w:tblGrid>
      <w:tr w:rsidR="00000000" w14:paraId="59860FA1" w14:textId="77777777">
        <w:tc>
          <w:tcPr>
            <w:tcW w:w="0" w:type="auto"/>
            <w:vAlign w:val="bottom"/>
            <w:hideMark/>
          </w:tcPr>
          <w:p w14:paraId="0183EB05"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DBBE36"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1CFB94" w14:textId="77777777" w:rsidR="00000000" w:rsidRDefault="009027A3">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53EC3987"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67C4F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FAFD4F" w14:textId="77777777" w:rsidR="00000000" w:rsidRDefault="009027A3">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4AD49C89" w14:textId="77777777" w:rsidR="00000000" w:rsidRDefault="009027A3">
            <w:pPr>
              <w:rPr>
                <w:rFonts w:eastAsia="Times New Roman"/>
                <w:b/>
                <w:bCs/>
                <w:sz w:val="20"/>
                <w:szCs w:val="20"/>
              </w:rPr>
            </w:pPr>
            <w:r>
              <w:rPr>
                <w:rFonts w:eastAsia="Times New Roman"/>
                <w:b/>
                <w:bCs/>
                <w:sz w:val="20"/>
                <w:szCs w:val="20"/>
              </w:rPr>
              <w:t> </w:t>
            </w:r>
          </w:p>
        </w:tc>
      </w:tr>
      <w:tr w:rsidR="00000000" w14:paraId="16EAC5E2" w14:textId="77777777">
        <w:tc>
          <w:tcPr>
            <w:tcW w:w="2800" w:type="pct"/>
            <w:shd w:val="clear" w:color="auto" w:fill="CCEEFF"/>
            <w:vAlign w:val="bottom"/>
            <w:hideMark/>
          </w:tcPr>
          <w:p w14:paraId="071287DB" w14:textId="77777777" w:rsidR="00000000" w:rsidRDefault="009027A3">
            <w:pPr>
              <w:rPr>
                <w:rFonts w:eastAsia="Times New Roman"/>
                <w:sz w:val="20"/>
                <w:szCs w:val="20"/>
              </w:rPr>
            </w:pPr>
            <w:r>
              <w:rPr>
                <w:rFonts w:eastAsia="Times New Roman"/>
                <w:sz w:val="20"/>
                <w:szCs w:val="20"/>
              </w:rPr>
              <w:t>Outstanding and unvested shares at January 1, 2021</w:t>
            </w:r>
          </w:p>
        </w:tc>
        <w:tc>
          <w:tcPr>
            <w:tcW w:w="100" w:type="pct"/>
            <w:shd w:val="clear" w:color="auto" w:fill="CCEEFF"/>
            <w:vAlign w:val="bottom"/>
            <w:hideMark/>
          </w:tcPr>
          <w:p w14:paraId="6CF2936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0DD51F" w14:textId="77777777" w:rsidR="00000000" w:rsidRDefault="009027A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AB5E617" w14:textId="77777777" w:rsidR="00000000" w:rsidRDefault="009027A3">
            <w:pPr>
              <w:jc w:val="right"/>
              <w:rPr>
                <w:rFonts w:eastAsia="Times New Roman"/>
                <w:sz w:val="20"/>
                <w:szCs w:val="20"/>
              </w:rPr>
            </w:pPr>
            <w:r>
              <w:rPr>
                <w:rFonts w:eastAsia="Times New Roman"/>
                <w:sz w:val="20"/>
                <w:szCs w:val="20"/>
              </w:rPr>
              <w:t>382,435</w:t>
            </w:r>
          </w:p>
        </w:tc>
        <w:tc>
          <w:tcPr>
            <w:tcW w:w="50" w:type="pct"/>
            <w:shd w:val="clear" w:color="auto" w:fill="CCEEFF"/>
            <w:vAlign w:val="bottom"/>
            <w:hideMark/>
          </w:tcPr>
          <w:p w14:paraId="2F490CC6"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07BCAB1"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1BBC12" w14:textId="77777777" w:rsidR="00000000" w:rsidRDefault="009027A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B0ADB39" w14:textId="77777777" w:rsidR="00000000" w:rsidRDefault="009027A3">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14:paraId="1A890E00" w14:textId="77777777" w:rsidR="00000000" w:rsidRDefault="009027A3">
            <w:pPr>
              <w:rPr>
                <w:rFonts w:eastAsia="Times New Roman"/>
                <w:sz w:val="20"/>
                <w:szCs w:val="20"/>
              </w:rPr>
            </w:pPr>
            <w:r>
              <w:rPr>
                <w:rFonts w:eastAsia="Times New Roman"/>
                <w:sz w:val="20"/>
                <w:szCs w:val="20"/>
              </w:rPr>
              <w:t> </w:t>
            </w:r>
          </w:p>
        </w:tc>
      </w:tr>
      <w:tr w:rsidR="00000000" w14:paraId="06CC8E1B" w14:textId="77777777">
        <w:tc>
          <w:tcPr>
            <w:tcW w:w="0" w:type="auto"/>
            <w:shd w:val="clear" w:color="auto" w:fill="FFFFFF"/>
            <w:vAlign w:val="bottom"/>
            <w:hideMark/>
          </w:tcPr>
          <w:p w14:paraId="47B62533" w14:textId="77777777" w:rsidR="00000000" w:rsidRDefault="009027A3">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31BDF4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9714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A7F96" w14:textId="77777777" w:rsidR="00000000" w:rsidRDefault="009027A3">
            <w:pPr>
              <w:jc w:val="right"/>
              <w:rPr>
                <w:rFonts w:eastAsia="Times New Roman"/>
                <w:sz w:val="20"/>
                <w:szCs w:val="20"/>
              </w:rPr>
            </w:pPr>
            <w:r>
              <w:rPr>
                <w:rFonts w:eastAsia="Times New Roman"/>
                <w:sz w:val="20"/>
                <w:szCs w:val="20"/>
              </w:rPr>
              <w:t>395,100</w:t>
            </w:r>
          </w:p>
        </w:tc>
        <w:tc>
          <w:tcPr>
            <w:tcW w:w="0" w:type="auto"/>
            <w:shd w:val="clear" w:color="auto" w:fill="FFFFFF"/>
            <w:vAlign w:val="bottom"/>
            <w:hideMark/>
          </w:tcPr>
          <w:p w14:paraId="586D877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1CD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4AD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E27CA" w14:textId="77777777" w:rsidR="00000000" w:rsidRDefault="009027A3">
            <w:pPr>
              <w:jc w:val="right"/>
              <w:rPr>
                <w:rFonts w:eastAsia="Times New Roman"/>
                <w:sz w:val="20"/>
                <w:szCs w:val="20"/>
              </w:rPr>
            </w:pPr>
            <w:r>
              <w:rPr>
                <w:rFonts w:eastAsia="Times New Roman"/>
                <w:sz w:val="20"/>
                <w:szCs w:val="20"/>
              </w:rPr>
              <w:t>37,922</w:t>
            </w:r>
          </w:p>
        </w:tc>
        <w:tc>
          <w:tcPr>
            <w:tcW w:w="0" w:type="auto"/>
            <w:shd w:val="clear" w:color="auto" w:fill="FFFFFF"/>
            <w:vAlign w:val="bottom"/>
            <w:hideMark/>
          </w:tcPr>
          <w:p w14:paraId="01892E94" w14:textId="77777777" w:rsidR="00000000" w:rsidRDefault="009027A3">
            <w:pPr>
              <w:rPr>
                <w:rFonts w:eastAsia="Times New Roman"/>
                <w:sz w:val="20"/>
                <w:szCs w:val="20"/>
              </w:rPr>
            </w:pPr>
            <w:r>
              <w:rPr>
                <w:rFonts w:eastAsia="Times New Roman"/>
                <w:sz w:val="20"/>
                <w:szCs w:val="20"/>
              </w:rPr>
              <w:t> </w:t>
            </w:r>
          </w:p>
        </w:tc>
      </w:tr>
      <w:tr w:rsidR="00000000" w14:paraId="16C00FDF" w14:textId="77777777">
        <w:tc>
          <w:tcPr>
            <w:tcW w:w="0" w:type="auto"/>
            <w:shd w:val="clear" w:color="auto" w:fill="CCEEFF"/>
            <w:vAlign w:val="bottom"/>
            <w:hideMark/>
          </w:tcPr>
          <w:p w14:paraId="707446F9" w14:textId="77777777" w:rsidR="00000000" w:rsidRDefault="009027A3">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37D3A7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C9A3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BE552" w14:textId="77777777" w:rsidR="00000000" w:rsidRDefault="009027A3">
            <w:pPr>
              <w:jc w:val="right"/>
              <w:rPr>
                <w:rFonts w:eastAsia="Times New Roman"/>
                <w:sz w:val="20"/>
                <w:szCs w:val="20"/>
              </w:rPr>
            </w:pPr>
            <w:r>
              <w:rPr>
                <w:rFonts w:eastAsia="Times New Roman"/>
                <w:sz w:val="20"/>
                <w:szCs w:val="20"/>
              </w:rPr>
              <w:t>(226,525</w:t>
            </w:r>
          </w:p>
        </w:tc>
        <w:tc>
          <w:tcPr>
            <w:tcW w:w="0" w:type="auto"/>
            <w:shd w:val="clear" w:color="auto" w:fill="CCEEFF"/>
            <w:vAlign w:val="bottom"/>
            <w:hideMark/>
          </w:tcPr>
          <w:p w14:paraId="50E954C7"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226635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EB0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254B27" w14:textId="77777777" w:rsidR="00000000" w:rsidRDefault="009027A3">
            <w:pPr>
              <w:jc w:val="right"/>
              <w:rPr>
                <w:rFonts w:eastAsia="Times New Roman"/>
                <w:sz w:val="20"/>
                <w:szCs w:val="20"/>
              </w:rPr>
            </w:pPr>
            <w:r>
              <w:rPr>
                <w:rFonts w:eastAsia="Times New Roman"/>
                <w:sz w:val="20"/>
                <w:szCs w:val="20"/>
              </w:rPr>
              <w:t>(47,922</w:t>
            </w:r>
          </w:p>
        </w:tc>
        <w:tc>
          <w:tcPr>
            <w:tcW w:w="0" w:type="auto"/>
            <w:shd w:val="clear" w:color="auto" w:fill="CCEEFF"/>
            <w:vAlign w:val="bottom"/>
            <w:hideMark/>
          </w:tcPr>
          <w:p w14:paraId="19C0DBE1" w14:textId="77777777" w:rsidR="00000000" w:rsidRDefault="009027A3">
            <w:pPr>
              <w:rPr>
                <w:rFonts w:eastAsia="Times New Roman"/>
                <w:sz w:val="20"/>
                <w:szCs w:val="20"/>
              </w:rPr>
            </w:pPr>
            <w:r>
              <w:rPr>
                <w:rFonts w:eastAsia="Times New Roman"/>
                <w:sz w:val="20"/>
                <w:szCs w:val="20"/>
              </w:rPr>
              <w:t>)</w:t>
            </w:r>
          </w:p>
        </w:tc>
      </w:tr>
      <w:tr w:rsidR="00000000" w14:paraId="1523728B" w14:textId="77777777">
        <w:tc>
          <w:tcPr>
            <w:tcW w:w="0" w:type="auto"/>
            <w:shd w:val="clear" w:color="auto" w:fill="FFFFFF"/>
            <w:tcMar>
              <w:top w:w="0" w:type="dxa"/>
              <w:left w:w="0" w:type="dxa"/>
              <w:bottom w:w="30" w:type="dxa"/>
              <w:right w:w="0" w:type="dxa"/>
            </w:tcMar>
            <w:vAlign w:val="bottom"/>
            <w:hideMark/>
          </w:tcPr>
          <w:p w14:paraId="612D9C47" w14:textId="77777777" w:rsidR="00000000" w:rsidRDefault="009027A3">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2DD1277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E3A14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AED83D" w14:textId="77777777" w:rsidR="00000000" w:rsidRDefault="009027A3">
            <w:pPr>
              <w:jc w:val="right"/>
              <w:rPr>
                <w:rFonts w:eastAsia="Times New Roman"/>
                <w:sz w:val="20"/>
                <w:szCs w:val="20"/>
              </w:rPr>
            </w:pPr>
            <w:r>
              <w:rPr>
                <w:rFonts w:eastAsia="Times New Roman"/>
                <w:sz w:val="20"/>
                <w:szCs w:val="20"/>
              </w:rPr>
              <w:t>(5,023</w:t>
            </w:r>
          </w:p>
        </w:tc>
        <w:tc>
          <w:tcPr>
            <w:tcW w:w="0" w:type="auto"/>
            <w:shd w:val="clear" w:color="auto" w:fill="FFFFFF"/>
            <w:tcMar>
              <w:top w:w="0" w:type="dxa"/>
              <w:left w:w="0" w:type="dxa"/>
              <w:bottom w:w="30" w:type="dxa"/>
              <w:right w:w="0" w:type="dxa"/>
            </w:tcMar>
            <w:vAlign w:val="bottom"/>
            <w:hideMark/>
          </w:tcPr>
          <w:p w14:paraId="2CAA85E3"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4DF145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1BC39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2A5E7A"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774F20" w14:textId="77777777" w:rsidR="00000000" w:rsidRDefault="009027A3">
            <w:pPr>
              <w:rPr>
                <w:rFonts w:eastAsia="Times New Roman"/>
                <w:sz w:val="20"/>
                <w:szCs w:val="20"/>
              </w:rPr>
            </w:pPr>
            <w:r>
              <w:rPr>
                <w:rFonts w:eastAsia="Times New Roman"/>
                <w:sz w:val="20"/>
                <w:szCs w:val="20"/>
              </w:rPr>
              <w:t> </w:t>
            </w:r>
          </w:p>
        </w:tc>
      </w:tr>
      <w:tr w:rsidR="00000000" w14:paraId="1A6C5343" w14:textId="77777777">
        <w:tc>
          <w:tcPr>
            <w:tcW w:w="0" w:type="auto"/>
            <w:shd w:val="clear" w:color="auto" w:fill="CCEEFF"/>
            <w:tcMar>
              <w:top w:w="0" w:type="dxa"/>
              <w:left w:w="0" w:type="dxa"/>
              <w:bottom w:w="50" w:type="dxa"/>
              <w:right w:w="0" w:type="dxa"/>
            </w:tcMar>
            <w:vAlign w:val="bottom"/>
            <w:hideMark/>
          </w:tcPr>
          <w:p w14:paraId="0BEDF1FA" w14:textId="77777777" w:rsidR="00000000" w:rsidRDefault="009027A3">
            <w:pPr>
              <w:rPr>
                <w:rFonts w:eastAsia="Times New Roman"/>
                <w:sz w:val="20"/>
                <w:szCs w:val="20"/>
              </w:rPr>
            </w:pPr>
            <w:r>
              <w:rPr>
                <w:rFonts w:eastAsia="Times New Roman"/>
                <w:sz w:val="20"/>
                <w:szCs w:val="20"/>
              </w:rPr>
              <w:t>Outstanding and unvested shares at March 31, 2021</w:t>
            </w:r>
          </w:p>
        </w:tc>
        <w:tc>
          <w:tcPr>
            <w:tcW w:w="0" w:type="auto"/>
            <w:shd w:val="clear" w:color="auto" w:fill="CCEEFF"/>
            <w:tcMar>
              <w:top w:w="0" w:type="dxa"/>
              <w:left w:w="0" w:type="dxa"/>
              <w:bottom w:w="50" w:type="dxa"/>
              <w:right w:w="0" w:type="dxa"/>
            </w:tcMar>
            <w:vAlign w:val="bottom"/>
            <w:hideMark/>
          </w:tcPr>
          <w:p w14:paraId="4268AF2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135E6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187D77" w14:textId="77777777" w:rsidR="00000000" w:rsidRDefault="009027A3">
            <w:pPr>
              <w:jc w:val="right"/>
              <w:rPr>
                <w:rFonts w:eastAsia="Times New Roman"/>
                <w:sz w:val="20"/>
                <w:szCs w:val="20"/>
              </w:rPr>
            </w:pPr>
            <w:r>
              <w:rPr>
                <w:rFonts w:eastAsia="Times New Roman"/>
                <w:sz w:val="20"/>
                <w:szCs w:val="20"/>
              </w:rPr>
              <w:t>545,987</w:t>
            </w:r>
          </w:p>
        </w:tc>
        <w:tc>
          <w:tcPr>
            <w:tcW w:w="0" w:type="auto"/>
            <w:shd w:val="clear" w:color="auto" w:fill="CCEEFF"/>
            <w:tcMar>
              <w:top w:w="0" w:type="dxa"/>
              <w:left w:w="0" w:type="dxa"/>
              <w:bottom w:w="50" w:type="dxa"/>
              <w:right w:w="0" w:type="dxa"/>
            </w:tcMar>
            <w:vAlign w:val="bottom"/>
            <w:hideMark/>
          </w:tcPr>
          <w:p w14:paraId="2D9209F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695D48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06F99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A0DDD5" w14:textId="77777777" w:rsidR="00000000" w:rsidRDefault="009027A3">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14:paraId="796B0A05" w14:textId="77777777" w:rsidR="00000000" w:rsidRDefault="009027A3">
            <w:pPr>
              <w:rPr>
                <w:rFonts w:eastAsia="Times New Roman"/>
                <w:sz w:val="20"/>
                <w:szCs w:val="20"/>
              </w:rPr>
            </w:pPr>
            <w:r>
              <w:rPr>
                <w:rFonts w:eastAsia="Times New Roman"/>
                <w:sz w:val="20"/>
                <w:szCs w:val="20"/>
              </w:rPr>
              <w:t> </w:t>
            </w:r>
          </w:p>
        </w:tc>
      </w:tr>
      <w:tr w:rsidR="00000000" w14:paraId="7420A4BC" w14:textId="77777777">
        <w:tc>
          <w:tcPr>
            <w:tcW w:w="0" w:type="auto"/>
            <w:shd w:val="clear" w:color="auto" w:fill="FFFFFF"/>
            <w:vAlign w:val="bottom"/>
            <w:hideMark/>
          </w:tcPr>
          <w:p w14:paraId="48C2E5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C77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129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33C9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A771A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0BC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9817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E8FC9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2FE994" w14:textId="77777777" w:rsidR="00000000" w:rsidRDefault="009027A3">
            <w:pPr>
              <w:rPr>
                <w:rFonts w:eastAsia="Times New Roman"/>
                <w:sz w:val="20"/>
                <w:szCs w:val="20"/>
              </w:rPr>
            </w:pPr>
            <w:r>
              <w:rPr>
                <w:rFonts w:eastAsia="Times New Roman"/>
                <w:sz w:val="20"/>
                <w:szCs w:val="20"/>
              </w:rPr>
              <w:t> </w:t>
            </w:r>
          </w:p>
        </w:tc>
      </w:tr>
      <w:tr w:rsidR="00000000" w14:paraId="4F369B90" w14:textId="77777777">
        <w:tc>
          <w:tcPr>
            <w:tcW w:w="0" w:type="auto"/>
            <w:shd w:val="clear" w:color="auto" w:fill="CCEEFF"/>
            <w:vAlign w:val="bottom"/>
            <w:hideMark/>
          </w:tcPr>
          <w:p w14:paraId="235CB590" w14:textId="77777777" w:rsidR="00000000" w:rsidRDefault="009027A3">
            <w:pPr>
              <w:rPr>
                <w:rFonts w:eastAsia="Times New Roman"/>
                <w:sz w:val="20"/>
                <w:szCs w:val="20"/>
              </w:rPr>
            </w:pPr>
            <w:r>
              <w:rPr>
                <w:rFonts w:eastAsia="Times New Roman"/>
                <w:sz w:val="20"/>
                <w:szCs w:val="20"/>
              </w:rPr>
              <w:t>Outstanding and unvested shares at January 1, 2020</w:t>
            </w:r>
          </w:p>
        </w:tc>
        <w:tc>
          <w:tcPr>
            <w:tcW w:w="0" w:type="auto"/>
            <w:shd w:val="clear" w:color="auto" w:fill="CCEEFF"/>
            <w:vAlign w:val="bottom"/>
            <w:hideMark/>
          </w:tcPr>
          <w:p w14:paraId="36AE13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0AD3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1AA63" w14:textId="77777777" w:rsidR="00000000" w:rsidRDefault="009027A3">
            <w:pPr>
              <w:jc w:val="right"/>
              <w:rPr>
                <w:rFonts w:eastAsia="Times New Roman"/>
                <w:sz w:val="20"/>
                <w:szCs w:val="20"/>
              </w:rPr>
            </w:pPr>
            <w:r>
              <w:rPr>
                <w:rFonts w:eastAsia="Times New Roman"/>
                <w:sz w:val="20"/>
                <w:szCs w:val="20"/>
              </w:rPr>
              <w:t>451,085</w:t>
            </w:r>
          </w:p>
        </w:tc>
        <w:tc>
          <w:tcPr>
            <w:tcW w:w="0" w:type="auto"/>
            <w:shd w:val="clear" w:color="auto" w:fill="CCEEFF"/>
            <w:vAlign w:val="bottom"/>
            <w:hideMark/>
          </w:tcPr>
          <w:p w14:paraId="5C1273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E6DA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A811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79949" w14:textId="77777777" w:rsidR="00000000" w:rsidRDefault="009027A3">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4060735D" w14:textId="77777777" w:rsidR="00000000" w:rsidRDefault="009027A3">
            <w:pPr>
              <w:rPr>
                <w:rFonts w:eastAsia="Times New Roman"/>
                <w:sz w:val="20"/>
                <w:szCs w:val="20"/>
              </w:rPr>
            </w:pPr>
            <w:r>
              <w:rPr>
                <w:rFonts w:eastAsia="Times New Roman"/>
                <w:sz w:val="20"/>
                <w:szCs w:val="20"/>
              </w:rPr>
              <w:t> </w:t>
            </w:r>
          </w:p>
        </w:tc>
      </w:tr>
      <w:tr w:rsidR="00000000" w14:paraId="1148A386" w14:textId="77777777">
        <w:tc>
          <w:tcPr>
            <w:tcW w:w="0" w:type="auto"/>
            <w:shd w:val="clear" w:color="auto" w:fill="FFFFFF"/>
            <w:vAlign w:val="bottom"/>
            <w:hideMark/>
          </w:tcPr>
          <w:p w14:paraId="7CFAC8E9" w14:textId="77777777" w:rsidR="00000000" w:rsidRDefault="009027A3">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3BFA9E8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0CC6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E7511" w14:textId="77777777" w:rsidR="00000000" w:rsidRDefault="009027A3">
            <w:pPr>
              <w:jc w:val="right"/>
              <w:rPr>
                <w:rFonts w:eastAsia="Times New Roman"/>
                <w:sz w:val="20"/>
                <w:szCs w:val="20"/>
              </w:rPr>
            </w:pPr>
            <w:r>
              <w:rPr>
                <w:rFonts w:eastAsia="Times New Roman"/>
                <w:sz w:val="20"/>
                <w:szCs w:val="20"/>
              </w:rPr>
              <w:t>326,175</w:t>
            </w:r>
          </w:p>
        </w:tc>
        <w:tc>
          <w:tcPr>
            <w:tcW w:w="0" w:type="auto"/>
            <w:shd w:val="clear" w:color="auto" w:fill="FFFFFF"/>
            <w:vAlign w:val="bottom"/>
            <w:hideMark/>
          </w:tcPr>
          <w:p w14:paraId="6A6DEB5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EB0EB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FC0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A7455" w14:textId="77777777" w:rsidR="00000000" w:rsidRDefault="009027A3">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023DA0A6" w14:textId="77777777" w:rsidR="00000000" w:rsidRDefault="009027A3">
            <w:pPr>
              <w:rPr>
                <w:rFonts w:eastAsia="Times New Roman"/>
                <w:sz w:val="20"/>
                <w:szCs w:val="20"/>
              </w:rPr>
            </w:pPr>
            <w:r>
              <w:rPr>
                <w:rFonts w:eastAsia="Times New Roman"/>
                <w:sz w:val="20"/>
                <w:szCs w:val="20"/>
              </w:rPr>
              <w:t> </w:t>
            </w:r>
          </w:p>
        </w:tc>
      </w:tr>
      <w:tr w:rsidR="00000000" w14:paraId="29BD0178" w14:textId="77777777">
        <w:tc>
          <w:tcPr>
            <w:tcW w:w="0" w:type="auto"/>
            <w:shd w:val="clear" w:color="auto" w:fill="CCEEFF"/>
            <w:vAlign w:val="bottom"/>
            <w:hideMark/>
          </w:tcPr>
          <w:p w14:paraId="2AB60D65" w14:textId="77777777" w:rsidR="00000000" w:rsidRDefault="009027A3">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252CB1A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77A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EFA57" w14:textId="77777777" w:rsidR="00000000" w:rsidRDefault="009027A3">
            <w:pPr>
              <w:jc w:val="right"/>
              <w:rPr>
                <w:rFonts w:eastAsia="Times New Roman"/>
                <w:sz w:val="20"/>
                <w:szCs w:val="20"/>
              </w:rPr>
            </w:pPr>
            <w:r>
              <w:rPr>
                <w:rFonts w:eastAsia="Times New Roman"/>
                <w:sz w:val="20"/>
                <w:szCs w:val="20"/>
              </w:rPr>
              <w:t>(176,334</w:t>
            </w:r>
          </w:p>
        </w:tc>
        <w:tc>
          <w:tcPr>
            <w:tcW w:w="0" w:type="auto"/>
            <w:shd w:val="clear" w:color="auto" w:fill="CCEEFF"/>
            <w:vAlign w:val="bottom"/>
            <w:hideMark/>
          </w:tcPr>
          <w:p w14:paraId="5176BCB6"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53327B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A4C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03A7F" w14:textId="77777777" w:rsidR="00000000" w:rsidRDefault="009027A3">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7F70E98F" w14:textId="77777777" w:rsidR="00000000" w:rsidRDefault="009027A3">
            <w:pPr>
              <w:rPr>
                <w:rFonts w:eastAsia="Times New Roman"/>
                <w:sz w:val="20"/>
                <w:szCs w:val="20"/>
              </w:rPr>
            </w:pPr>
            <w:r>
              <w:rPr>
                <w:rFonts w:eastAsia="Times New Roman"/>
                <w:sz w:val="20"/>
                <w:szCs w:val="20"/>
              </w:rPr>
              <w:t>)</w:t>
            </w:r>
          </w:p>
        </w:tc>
      </w:tr>
      <w:tr w:rsidR="00000000" w14:paraId="350BE9EF" w14:textId="77777777">
        <w:tc>
          <w:tcPr>
            <w:tcW w:w="0" w:type="auto"/>
            <w:shd w:val="clear" w:color="auto" w:fill="FFFFFF"/>
            <w:tcMar>
              <w:top w:w="0" w:type="dxa"/>
              <w:left w:w="0" w:type="dxa"/>
              <w:bottom w:w="30" w:type="dxa"/>
              <w:right w:w="0" w:type="dxa"/>
            </w:tcMar>
            <w:vAlign w:val="bottom"/>
            <w:hideMark/>
          </w:tcPr>
          <w:p w14:paraId="52EE2F6F" w14:textId="77777777" w:rsidR="00000000" w:rsidRDefault="009027A3">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169EA32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E68D6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CB67A8" w14:textId="77777777" w:rsidR="00000000" w:rsidRDefault="009027A3">
            <w:pPr>
              <w:jc w:val="right"/>
              <w:rPr>
                <w:rFonts w:eastAsia="Times New Roman"/>
                <w:sz w:val="20"/>
                <w:szCs w:val="20"/>
              </w:rPr>
            </w:pPr>
            <w:r>
              <w:rPr>
                <w:rFonts w:eastAsia="Times New Roman"/>
                <w:sz w:val="20"/>
                <w:szCs w:val="20"/>
              </w:rPr>
              <w:t>(18,958</w:t>
            </w:r>
          </w:p>
        </w:tc>
        <w:tc>
          <w:tcPr>
            <w:tcW w:w="0" w:type="auto"/>
            <w:shd w:val="clear" w:color="auto" w:fill="FFFFFF"/>
            <w:tcMar>
              <w:top w:w="0" w:type="dxa"/>
              <w:left w:w="0" w:type="dxa"/>
              <w:bottom w:w="30" w:type="dxa"/>
              <w:right w:w="0" w:type="dxa"/>
            </w:tcMar>
            <w:vAlign w:val="bottom"/>
            <w:hideMark/>
          </w:tcPr>
          <w:p w14:paraId="0F547D90"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761B58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7D1EE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178C96"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B793C52" w14:textId="77777777" w:rsidR="00000000" w:rsidRDefault="009027A3">
            <w:pPr>
              <w:rPr>
                <w:rFonts w:eastAsia="Times New Roman"/>
                <w:sz w:val="20"/>
                <w:szCs w:val="20"/>
              </w:rPr>
            </w:pPr>
            <w:r>
              <w:rPr>
                <w:rFonts w:eastAsia="Times New Roman"/>
                <w:sz w:val="20"/>
                <w:szCs w:val="20"/>
              </w:rPr>
              <w:t> </w:t>
            </w:r>
          </w:p>
        </w:tc>
      </w:tr>
      <w:tr w:rsidR="00000000" w14:paraId="31A44AAF" w14:textId="77777777">
        <w:tc>
          <w:tcPr>
            <w:tcW w:w="0" w:type="auto"/>
            <w:shd w:val="clear" w:color="auto" w:fill="CCEEFF"/>
            <w:tcMar>
              <w:top w:w="0" w:type="dxa"/>
              <w:left w:w="0" w:type="dxa"/>
              <w:bottom w:w="50" w:type="dxa"/>
              <w:right w:w="0" w:type="dxa"/>
            </w:tcMar>
            <w:vAlign w:val="bottom"/>
            <w:hideMark/>
          </w:tcPr>
          <w:p w14:paraId="251A4EFE" w14:textId="77777777" w:rsidR="00000000" w:rsidRDefault="009027A3">
            <w:pPr>
              <w:rPr>
                <w:rFonts w:eastAsia="Times New Roman"/>
                <w:sz w:val="20"/>
                <w:szCs w:val="20"/>
              </w:rPr>
            </w:pPr>
            <w:r>
              <w:rPr>
                <w:rFonts w:eastAsia="Times New Roman"/>
                <w:sz w:val="20"/>
                <w:szCs w:val="20"/>
              </w:rPr>
              <w:t>Outstanding and unvested shares at March 31, 2020</w:t>
            </w:r>
          </w:p>
        </w:tc>
        <w:tc>
          <w:tcPr>
            <w:tcW w:w="0" w:type="auto"/>
            <w:shd w:val="clear" w:color="auto" w:fill="CCEEFF"/>
            <w:tcMar>
              <w:top w:w="0" w:type="dxa"/>
              <w:left w:w="0" w:type="dxa"/>
              <w:bottom w:w="50" w:type="dxa"/>
              <w:right w:w="0" w:type="dxa"/>
            </w:tcMar>
            <w:vAlign w:val="bottom"/>
            <w:hideMark/>
          </w:tcPr>
          <w:p w14:paraId="7D551F9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A9E25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5CC819" w14:textId="77777777" w:rsidR="00000000" w:rsidRDefault="009027A3">
            <w:pPr>
              <w:jc w:val="right"/>
              <w:rPr>
                <w:rFonts w:eastAsia="Times New Roman"/>
                <w:sz w:val="20"/>
                <w:szCs w:val="20"/>
              </w:rPr>
            </w:pPr>
            <w:r>
              <w:rPr>
                <w:rFonts w:eastAsia="Times New Roman"/>
                <w:sz w:val="20"/>
                <w:szCs w:val="20"/>
              </w:rPr>
              <w:t>581,968</w:t>
            </w:r>
          </w:p>
        </w:tc>
        <w:tc>
          <w:tcPr>
            <w:tcW w:w="0" w:type="auto"/>
            <w:shd w:val="clear" w:color="auto" w:fill="CCEEFF"/>
            <w:tcMar>
              <w:top w:w="0" w:type="dxa"/>
              <w:left w:w="0" w:type="dxa"/>
              <w:bottom w:w="50" w:type="dxa"/>
              <w:right w:w="0" w:type="dxa"/>
            </w:tcMar>
            <w:vAlign w:val="bottom"/>
            <w:hideMark/>
          </w:tcPr>
          <w:p w14:paraId="7F752C2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D2C333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3B62E88"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23F7E9" w14:textId="77777777" w:rsidR="00000000" w:rsidRDefault="009027A3">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51EAA40C" w14:textId="77777777" w:rsidR="00000000" w:rsidRDefault="009027A3">
            <w:pPr>
              <w:rPr>
                <w:rFonts w:eastAsia="Times New Roman"/>
                <w:sz w:val="20"/>
                <w:szCs w:val="20"/>
              </w:rPr>
            </w:pPr>
            <w:r>
              <w:rPr>
                <w:rFonts w:eastAsia="Times New Roman"/>
                <w:sz w:val="20"/>
                <w:szCs w:val="20"/>
              </w:rPr>
              <w:t> </w:t>
            </w:r>
          </w:p>
        </w:tc>
      </w:tr>
    </w:tbl>
    <w:p w14:paraId="06D1EBC0" w14:textId="77777777" w:rsidR="00000000" w:rsidRDefault="009027A3">
      <w:pPr>
        <w:pStyle w:val="a3"/>
        <w:spacing w:before="0" w:beforeAutospacing="0" w:after="0" w:afterAutospacing="0"/>
        <w:jc w:val="both"/>
        <w:rPr>
          <w:color w:val="FF0000"/>
          <w:sz w:val="20"/>
          <w:szCs w:val="20"/>
        </w:rPr>
      </w:pPr>
      <w:r>
        <w:rPr>
          <w:color w:val="FF0000"/>
          <w:sz w:val="20"/>
          <w:szCs w:val="20"/>
        </w:rPr>
        <w:t> </w:t>
      </w:r>
    </w:p>
    <w:p w14:paraId="3E4DE5DD" w14:textId="77777777" w:rsidR="00000000" w:rsidRDefault="009027A3">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March 31, 2021, 532,987 RSUs are classified as equity and 13,000 RSUs are classified as a liability. All of the preferred stock RSUs are classified as equity.</w:t>
      </w:r>
    </w:p>
    <w:p w14:paraId="4D782334" w14:textId="77777777" w:rsidR="00000000" w:rsidRDefault="009027A3">
      <w:pPr>
        <w:pStyle w:val="a3"/>
        <w:spacing w:before="0" w:beforeAutospacing="0" w:after="0" w:afterAutospacing="0"/>
        <w:rPr>
          <w:sz w:val="20"/>
          <w:szCs w:val="20"/>
        </w:rPr>
      </w:pPr>
      <w:r>
        <w:rPr>
          <w:b/>
          <w:bCs/>
          <w:i/>
          <w:iCs/>
          <w:sz w:val="20"/>
          <w:szCs w:val="20"/>
        </w:rPr>
        <w:t> </w:t>
      </w:r>
    </w:p>
    <w:p w14:paraId="14EB6C84" w14:textId="77777777" w:rsidR="00000000" w:rsidRDefault="009027A3">
      <w:pPr>
        <w:pStyle w:val="a3"/>
        <w:spacing w:before="0" w:beforeAutospacing="0" w:after="0" w:afterAutospacing="0"/>
        <w:rPr>
          <w:sz w:val="20"/>
          <w:szCs w:val="20"/>
        </w:rPr>
      </w:pPr>
      <w:r>
        <w:rPr>
          <w:b/>
          <w:bCs/>
          <w:i/>
          <w:iCs/>
          <w:sz w:val="20"/>
          <w:szCs w:val="20"/>
          <w:u w:val="single"/>
        </w:rPr>
        <w:t xml:space="preserve">Stock-based </w:t>
      </w:r>
      <w:r>
        <w:rPr>
          <w:b/>
          <w:bCs/>
          <w:i/>
          <w:iCs/>
          <w:sz w:val="20"/>
          <w:szCs w:val="20"/>
          <w:u w:val="single"/>
        </w:rPr>
        <w:t>compensation expense</w:t>
      </w:r>
    </w:p>
    <w:p w14:paraId="26AEC9A3" w14:textId="77777777" w:rsidR="00000000" w:rsidRDefault="009027A3">
      <w:pPr>
        <w:pStyle w:val="a3"/>
        <w:spacing w:before="0" w:beforeAutospacing="0" w:after="0" w:afterAutospacing="0"/>
        <w:rPr>
          <w:color w:val="FF0000"/>
          <w:sz w:val="20"/>
          <w:szCs w:val="20"/>
        </w:rPr>
      </w:pPr>
      <w:r>
        <w:rPr>
          <w:b/>
          <w:bCs/>
          <w:i/>
          <w:iCs/>
          <w:color w:val="FF0000"/>
          <w:sz w:val="20"/>
          <w:szCs w:val="20"/>
        </w:rPr>
        <w:t> </w:t>
      </w:r>
    </w:p>
    <w:p w14:paraId="1A7A4936" w14:textId="77777777" w:rsidR="00000000" w:rsidRDefault="009027A3">
      <w:pPr>
        <w:pStyle w:val="a3"/>
        <w:spacing w:before="0" w:beforeAutospacing="0" w:after="0" w:afterAutospacing="0"/>
        <w:jc w:val="both"/>
        <w:rPr>
          <w:sz w:val="20"/>
          <w:szCs w:val="20"/>
        </w:rPr>
      </w:pPr>
      <w:r>
        <w:rPr>
          <w:sz w:val="20"/>
          <w:szCs w:val="20"/>
        </w:rPr>
        <w:t xml:space="preserve">The Company recognizes compensation expense on a straight-line basis over the total requisite service period for the entire award. For stock awards classified as equity, the market price of our common stock or preferred stock on the </w:t>
      </w:r>
      <w:r>
        <w:rPr>
          <w:sz w:val="20"/>
          <w:szCs w:val="20"/>
        </w:rPr>
        <w:t>date of grant is used in recording the fair value of the award and includes the related taxes. For stock awards classified as a liability, the earned amount is marked to market based on the end of period common stock price. The liability for the cash-settl</w:t>
      </w:r>
      <w:r>
        <w:rPr>
          <w:sz w:val="20"/>
          <w:szCs w:val="20"/>
        </w:rPr>
        <w:t>ed awards was approximately $320,000 and $976,000 at March 31, 2021 and December 31, 2020, respectively, and is included in accrued compensation in the condensed consolidated balance sheets.</w:t>
      </w:r>
    </w:p>
    <w:p w14:paraId="60574BAC"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31C02B" w14:textId="77777777">
        <w:trPr>
          <w:divId w:val="1158958285"/>
        </w:trPr>
        <w:tc>
          <w:tcPr>
            <w:tcW w:w="5000" w:type="pct"/>
            <w:hideMark/>
          </w:tcPr>
          <w:p w14:paraId="0FFEE206"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0C4B786" w14:textId="77777777">
        <w:tc>
          <w:tcPr>
            <w:tcW w:w="5000" w:type="pct"/>
            <w:hideMark/>
          </w:tcPr>
          <w:p w14:paraId="4FA6101B" w14:textId="77777777" w:rsidR="00000000" w:rsidRDefault="009027A3">
            <w:pPr>
              <w:rPr>
                <w:rFonts w:eastAsia="Times New Roman"/>
                <w:sz w:val="20"/>
                <w:szCs w:val="20"/>
              </w:rPr>
            </w:pPr>
            <w:r>
              <w:rPr>
                <w:rFonts w:eastAsia="Times New Roman"/>
                <w:sz w:val="20"/>
                <w:szCs w:val="20"/>
              </w:rPr>
              <w:t> </w:t>
            </w:r>
          </w:p>
        </w:tc>
      </w:tr>
    </w:tbl>
    <w:p w14:paraId="05C14FBF" w14:textId="77777777" w:rsidR="00000000" w:rsidRDefault="009027A3">
      <w:pPr>
        <w:pStyle w:val="a3"/>
        <w:spacing w:before="0" w:beforeAutospacing="0" w:after="0" w:afterAutospacing="0"/>
        <w:jc w:val="both"/>
        <w:rPr>
          <w:sz w:val="20"/>
          <w:szCs w:val="20"/>
        </w:rPr>
      </w:pPr>
      <w:r>
        <w:rPr>
          <w:sz w:val="20"/>
          <w:szCs w:val="20"/>
        </w:rPr>
        <w:t> </w:t>
      </w:r>
    </w:p>
    <w:p w14:paraId="641D1179" w14:textId="77777777" w:rsidR="00000000" w:rsidRDefault="009027A3">
      <w:pPr>
        <w:pStyle w:val="a3"/>
        <w:spacing w:before="0" w:beforeAutospacing="0" w:after="0" w:afterAutospacing="0"/>
        <w:jc w:val="both"/>
        <w:rPr>
          <w:sz w:val="20"/>
          <w:szCs w:val="20"/>
        </w:rPr>
      </w:pPr>
      <w:r>
        <w:rPr>
          <w:sz w:val="20"/>
          <w:szCs w:val="20"/>
        </w:rPr>
        <w:t>The following table summarizes the components of shar</w:t>
      </w:r>
      <w:r>
        <w:rPr>
          <w:sz w:val="20"/>
          <w:szCs w:val="20"/>
        </w:rPr>
        <w:t>e-based compensation expense for the three months ended March 31, 2021 and 2020:</w:t>
      </w:r>
    </w:p>
    <w:p w14:paraId="4A344CE9"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4CD82D8" w14:textId="77777777">
        <w:tc>
          <w:tcPr>
            <w:tcW w:w="0" w:type="auto"/>
            <w:tcMar>
              <w:top w:w="0" w:type="dxa"/>
              <w:left w:w="0" w:type="dxa"/>
              <w:bottom w:w="30" w:type="dxa"/>
              <w:right w:w="0" w:type="dxa"/>
            </w:tcMar>
            <w:vAlign w:val="bottom"/>
            <w:hideMark/>
          </w:tcPr>
          <w:p w14:paraId="53776D72" w14:textId="77777777" w:rsidR="00000000" w:rsidRDefault="009027A3">
            <w:pPr>
              <w:rPr>
                <w:rFonts w:eastAsia="Times New Roman"/>
                <w:b/>
                <w:bCs/>
                <w:sz w:val="20"/>
                <w:szCs w:val="20"/>
              </w:rPr>
            </w:pPr>
            <w:r>
              <w:rPr>
                <w:rFonts w:eastAsia="Times New Roman"/>
                <w:b/>
                <w:bCs/>
                <w:sz w:val="20"/>
                <w:szCs w:val="20"/>
              </w:rPr>
              <w:t>Stock-based compensation included in the condensed consolidated statements of operations:</w:t>
            </w:r>
          </w:p>
        </w:tc>
        <w:tc>
          <w:tcPr>
            <w:tcW w:w="0" w:type="auto"/>
            <w:tcMar>
              <w:top w:w="0" w:type="dxa"/>
              <w:left w:w="0" w:type="dxa"/>
              <w:bottom w:w="30" w:type="dxa"/>
              <w:right w:w="0" w:type="dxa"/>
            </w:tcMar>
            <w:vAlign w:val="bottom"/>
            <w:hideMark/>
          </w:tcPr>
          <w:p w14:paraId="27AE9059"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EE46951"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4BA9311A" w14:textId="77777777" w:rsidR="00000000" w:rsidRDefault="009027A3">
            <w:pPr>
              <w:rPr>
                <w:rFonts w:eastAsia="Times New Roman"/>
                <w:b/>
                <w:bCs/>
                <w:sz w:val="20"/>
                <w:szCs w:val="20"/>
              </w:rPr>
            </w:pPr>
            <w:r>
              <w:rPr>
                <w:rFonts w:eastAsia="Times New Roman"/>
                <w:b/>
                <w:bCs/>
                <w:sz w:val="20"/>
                <w:szCs w:val="20"/>
              </w:rPr>
              <w:t> </w:t>
            </w:r>
          </w:p>
        </w:tc>
      </w:tr>
      <w:tr w:rsidR="00000000" w14:paraId="30585BAE" w14:textId="77777777">
        <w:tc>
          <w:tcPr>
            <w:tcW w:w="0" w:type="auto"/>
            <w:vAlign w:val="bottom"/>
            <w:hideMark/>
          </w:tcPr>
          <w:p w14:paraId="4B216E7C"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C9878F7"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065877A"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20B34CE"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2F5825F"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9777EA"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0E01A2A" w14:textId="77777777" w:rsidR="00000000" w:rsidRDefault="009027A3">
            <w:pPr>
              <w:rPr>
                <w:rFonts w:eastAsia="Times New Roman"/>
                <w:b/>
                <w:bCs/>
                <w:sz w:val="20"/>
                <w:szCs w:val="20"/>
              </w:rPr>
            </w:pPr>
            <w:r>
              <w:rPr>
                <w:rFonts w:eastAsia="Times New Roman"/>
                <w:b/>
                <w:bCs/>
                <w:sz w:val="20"/>
                <w:szCs w:val="20"/>
              </w:rPr>
              <w:t> </w:t>
            </w:r>
          </w:p>
        </w:tc>
      </w:tr>
      <w:tr w:rsidR="00000000" w14:paraId="78ADD498" w14:textId="77777777">
        <w:tc>
          <w:tcPr>
            <w:tcW w:w="0" w:type="auto"/>
            <w:vAlign w:val="bottom"/>
            <w:hideMark/>
          </w:tcPr>
          <w:p w14:paraId="48C1F24F"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79ACB5" w14:textId="77777777" w:rsidR="00000000" w:rsidRDefault="009027A3">
            <w:pPr>
              <w:rPr>
                <w:rFonts w:eastAsia="Times New Roman"/>
                <w:sz w:val="20"/>
                <w:szCs w:val="20"/>
              </w:rPr>
            </w:pPr>
            <w:r>
              <w:rPr>
                <w:rFonts w:eastAsia="Times New Roman"/>
                <w:sz w:val="20"/>
                <w:szCs w:val="20"/>
              </w:rPr>
              <w:t> </w:t>
            </w:r>
          </w:p>
        </w:tc>
        <w:tc>
          <w:tcPr>
            <w:tcW w:w="0" w:type="auto"/>
            <w:gridSpan w:val="6"/>
            <w:tcMar>
              <w:top w:w="0" w:type="dxa"/>
              <w:left w:w="0" w:type="dxa"/>
              <w:bottom w:w="30" w:type="dxa"/>
              <w:right w:w="0" w:type="dxa"/>
            </w:tcMar>
            <w:vAlign w:val="bottom"/>
            <w:hideMark/>
          </w:tcPr>
          <w:p w14:paraId="7DE38267" w14:textId="77777777" w:rsidR="00000000" w:rsidRDefault="009027A3">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1C0EA3C7" w14:textId="77777777" w:rsidR="00000000" w:rsidRDefault="009027A3">
            <w:pPr>
              <w:rPr>
                <w:rFonts w:eastAsia="Times New Roman"/>
                <w:sz w:val="20"/>
                <w:szCs w:val="20"/>
              </w:rPr>
            </w:pPr>
            <w:r>
              <w:rPr>
                <w:rFonts w:eastAsia="Times New Roman"/>
                <w:sz w:val="20"/>
                <w:szCs w:val="20"/>
              </w:rPr>
              <w:t> </w:t>
            </w:r>
          </w:p>
        </w:tc>
      </w:tr>
      <w:tr w:rsidR="00000000" w14:paraId="632196CB" w14:textId="77777777">
        <w:tc>
          <w:tcPr>
            <w:tcW w:w="3000" w:type="pct"/>
            <w:shd w:val="clear" w:color="auto" w:fill="CCEEFF"/>
            <w:vAlign w:val="bottom"/>
            <w:hideMark/>
          </w:tcPr>
          <w:p w14:paraId="3FC1BA1D" w14:textId="77777777" w:rsidR="00000000" w:rsidRDefault="009027A3">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060DBDC9"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3673ED"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3C0A35DF" w14:textId="77777777" w:rsidR="00000000" w:rsidRDefault="009027A3">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14:paraId="6EC17FA1"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04A389B"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6A4231" w14:textId="77777777" w:rsidR="00000000" w:rsidRDefault="009027A3">
            <w:pPr>
              <w:rPr>
                <w:rFonts w:eastAsia="Times New Roman"/>
                <w:sz w:val="20"/>
                <w:szCs w:val="20"/>
              </w:rPr>
            </w:pPr>
            <w:r>
              <w:rPr>
                <w:rFonts w:eastAsia="Times New Roman"/>
                <w:sz w:val="20"/>
                <w:szCs w:val="20"/>
              </w:rPr>
              <w:t>$</w:t>
            </w:r>
          </w:p>
        </w:tc>
        <w:tc>
          <w:tcPr>
            <w:tcW w:w="800" w:type="pct"/>
            <w:shd w:val="clear" w:color="auto" w:fill="CCEEFF"/>
            <w:vAlign w:val="bottom"/>
            <w:hideMark/>
          </w:tcPr>
          <w:p w14:paraId="297A07E7" w14:textId="77777777" w:rsidR="00000000" w:rsidRDefault="009027A3">
            <w:pPr>
              <w:jc w:val="right"/>
              <w:rPr>
                <w:rFonts w:eastAsia="Times New Roman"/>
                <w:sz w:val="20"/>
                <w:szCs w:val="20"/>
              </w:rPr>
            </w:pPr>
            <w:r>
              <w:rPr>
                <w:rFonts w:eastAsia="Times New Roman"/>
                <w:sz w:val="20"/>
                <w:szCs w:val="20"/>
              </w:rPr>
              <w:t>171</w:t>
            </w:r>
          </w:p>
        </w:tc>
        <w:tc>
          <w:tcPr>
            <w:tcW w:w="50" w:type="pct"/>
            <w:shd w:val="clear" w:color="auto" w:fill="CCEEFF"/>
            <w:vAlign w:val="bottom"/>
            <w:hideMark/>
          </w:tcPr>
          <w:p w14:paraId="498DE1F0" w14:textId="77777777" w:rsidR="00000000" w:rsidRDefault="009027A3">
            <w:pPr>
              <w:rPr>
                <w:rFonts w:eastAsia="Times New Roman"/>
                <w:sz w:val="20"/>
                <w:szCs w:val="20"/>
              </w:rPr>
            </w:pPr>
            <w:r>
              <w:rPr>
                <w:rFonts w:eastAsia="Times New Roman"/>
                <w:sz w:val="20"/>
                <w:szCs w:val="20"/>
              </w:rPr>
              <w:t> </w:t>
            </w:r>
          </w:p>
        </w:tc>
      </w:tr>
      <w:tr w:rsidR="00000000" w14:paraId="0E6FCCE9" w14:textId="77777777">
        <w:tc>
          <w:tcPr>
            <w:tcW w:w="0" w:type="auto"/>
            <w:shd w:val="clear" w:color="auto" w:fill="FFFFFF"/>
            <w:vAlign w:val="bottom"/>
            <w:hideMark/>
          </w:tcPr>
          <w:p w14:paraId="1AA2C516"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716FA09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0217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081AA" w14:textId="77777777" w:rsidR="00000000" w:rsidRDefault="009027A3">
            <w:pPr>
              <w:jc w:val="right"/>
              <w:rPr>
                <w:rFonts w:eastAsia="Times New Roman"/>
                <w:sz w:val="20"/>
                <w:szCs w:val="20"/>
              </w:rPr>
            </w:pPr>
            <w:r>
              <w:rPr>
                <w:rFonts w:eastAsia="Times New Roman"/>
                <w:sz w:val="20"/>
                <w:szCs w:val="20"/>
              </w:rPr>
              <w:t>624</w:t>
            </w:r>
          </w:p>
        </w:tc>
        <w:tc>
          <w:tcPr>
            <w:tcW w:w="0" w:type="auto"/>
            <w:shd w:val="clear" w:color="auto" w:fill="FFFFFF"/>
            <w:vAlign w:val="bottom"/>
            <w:hideMark/>
          </w:tcPr>
          <w:p w14:paraId="2E3B096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E4D2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B6C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254D6" w14:textId="77777777" w:rsidR="00000000" w:rsidRDefault="009027A3">
            <w:pPr>
              <w:jc w:val="right"/>
              <w:rPr>
                <w:rFonts w:eastAsia="Times New Roman"/>
                <w:sz w:val="20"/>
                <w:szCs w:val="20"/>
              </w:rPr>
            </w:pPr>
            <w:r>
              <w:rPr>
                <w:rFonts w:eastAsia="Times New Roman"/>
                <w:sz w:val="20"/>
                <w:szCs w:val="20"/>
              </w:rPr>
              <w:t>851</w:t>
            </w:r>
          </w:p>
        </w:tc>
        <w:tc>
          <w:tcPr>
            <w:tcW w:w="0" w:type="auto"/>
            <w:shd w:val="clear" w:color="auto" w:fill="FFFFFF"/>
            <w:vAlign w:val="bottom"/>
            <w:hideMark/>
          </w:tcPr>
          <w:p w14:paraId="1AAD890F" w14:textId="77777777" w:rsidR="00000000" w:rsidRDefault="009027A3">
            <w:pPr>
              <w:rPr>
                <w:rFonts w:eastAsia="Times New Roman"/>
                <w:sz w:val="20"/>
                <w:szCs w:val="20"/>
              </w:rPr>
            </w:pPr>
            <w:r>
              <w:rPr>
                <w:rFonts w:eastAsia="Times New Roman"/>
                <w:sz w:val="20"/>
                <w:szCs w:val="20"/>
              </w:rPr>
              <w:t> </w:t>
            </w:r>
          </w:p>
        </w:tc>
      </w:tr>
      <w:tr w:rsidR="00000000" w14:paraId="1EFCB8B0" w14:textId="77777777">
        <w:tc>
          <w:tcPr>
            <w:tcW w:w="0" w:type="auto"/>
            <w:shd w:val="clear" w:color="auto" w:fill="CCEEFF"/>
            <w:vAlign w:val="bottom"/>
            <w:hideMark/>
          </w:tcPr>
          <w:p w14:paraId="7214AC8E"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1E2CC0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BB41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84160" w14:textId="77777777" w:rsidR="00000000" w:rsidRDefault="009027A3">
            <w:pPr>
              <w:jc w:val="right"/>
              <w:rPr>
                <w:rFonts w:eastAsia="Times New Roman"/>
                <w:sz w:val="20"/>
                <w:szCs w:val="20"/>
              </w:rPr>
            </w:pPr>
            <w:r>
              <w:rPr>
                <w:rFonts w:eastAsia="Times New Roman"/>
                <w:sz w:val="20"/>
                <w:szCs w:val="20"/>
              </w:rPr>
              <w:t>137</w:t>
            </w:r>
          </w:p>
        </w:tc>
        <w:tc>
          <w:tcPr>
            <w:tcW w:w="0" w:type="auto"/>
            <w:shd w:val="clear" w:color="auto" w:fill="CCEEFF"/>
            <w:vAlign w:val="bottom"/>
            <w:hideMark/>
          </w:tcPr>
          <w:p w14:paraId="1410DF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C09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260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402C6" w14:textId="77777777" w:rsidR="00000000" w:rsidRDefault="009027A3">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14:paraId="614B40AB" w14:textId="77777777" w:rsidR="00000000" w:rsidRDefault="009027A3">
            <w:pPr>
              <w:rPr>
                <w:rFonts w:eastAsia="Times New Roman"/>
                <w:sz w:val="20"/>
                <w:szCs w:val="20"/>
              </w:rPr>
            </w:pPr>
            <w:r>
              <w:rPr>
                <w:rFonts w:eastAsia="Times New Roman"/>
                <w:sz w:val="20"/>
                <w:szCs w:val="20"/>
              </w:rPr>
              <w:t> </w:t>
            </w:r>
          </w:p>
        </w:tc>
      </w:tr>
      <w:tr w:rsidR="00000000" w14:paraId="471FD7FE" w14:textId="77777777">
        <w:tc>
          <w:tcPr>
            <w:tcW w:w="0" w:type="auto"/>
            <w:shd w:val="clear" w:color="auto" w:fill="FFFFFF"/>
            <w:tcMar>
              <w:top w:w="0" w:type="dxa"/>
              <w:left w:w="0" w:type="dxa"/>
              <w:bottom w:w="30" w:type="dxa"/>
              <w:right w:w="0" w:type="dxa"/>
            </w:tcMar>
            <w:vAlign w:val="bottom"/>
            <w:hideMark/>
          </w:tcPr>
          <w:p w14:paraId="6046063C"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796A24E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15B9F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8BCD55" w14:textId="77777777" w:rsidR="00000000" w:rsidRDefault="009027A3">
            <w:pPr>
              <w:jc w:val="right"/>
              <w:rPr>
                <w:rFonts w:eastAsia="Times New Roman"/>
                <w:sz w:val="20"/>
                <w:szCs w:val="20"/>
              </w:rPr>
            </w:pPr>
            <w:r>
              <w:rPr>
                <w:rFonts w:eastAsia="Times New Roman"/>
                <w:sz w:val="20"/>
                <w:szCs w:val="20"/>
              </w:rPr>
              <w:t>201</w:t>
            </w:r>
          </w:p>
        </w:tc>
        <w:tc>
          <w:tcPr>
            <w:tcW w:w="0" w:type="auto"/>
            <w:shd w:val="clear" w:color="auto" w:fill="FFFFFF"/>
            <w:tcMar>
              <w:top w:w="0" w:type="dxa"/>
              <w:left w:w="0" w:type="dxa"/>
              <w:bottom w:w="30" w:type="dxa"/>
              <w:right w:w="0" w:type="dxa"/>
            </w:tcMar>
            <w:vAlign w:val="bottom"/>
            <w:hideMark/>
          </w:tcPr>
          <w:p w14:paraId="325134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4F987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9976D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71972F" w14:textId="77777777" w:rsidR="00000000" w:rsidRDefault="009027A3">
            <w:pPr>
              <w:jc w:val="right"/>
              <w:rPr>
                <w:rFonts w:eastAsia="Times New Roman"/>
                <w:sz w:val="20"/>
                <w:szCs w:val="20"/>
              </w:rPr>
            </w:pPr>
            <w:r>
              <w:rPr>
                <w:rFonts w:eastAsia="Times New Roman"/>
                <w:sz w:val="20"/>
                <w:szCs w:val="20"/>
              </w:rPr>
              <w:t>209</w:t>
            </w:r>
          </w:p>
        </w:tc>
        <w:tc>
          <w:tcPr>
            <w:tcW w:w="0" w:type="auto"/>
            <w:shd w:val="clear" w:color="auto" w:fill="FFFFFF"/>
            <w:tcMar>
              <w:top w:w="0" w:type="dxa"/>
              <w:left w:w="0" w:type="dxa"/>
              <w:bottom w:w="30" w:type="dxa"/>
              <w:right w:w="0" w:type="dxa"/>
            </w:tcMar>
            <w:vAlign w:val="bottom"/>
            <w:hideMark/>
          </w:tcPr>
          <w:p w14:paraId="0AC1C7EF" w14:textId="77777777" w:rsidR="00000000" w:rsidRDefault="009027A3">
            <w:pPr>
              <w:rPr>
                <w:rFonts w:eastAsia="Times New Roman"/>
                <w:sz w:val="20"/>
                <w:szCs w:val="20"/>
              </w:rPr>
            </w:pPr>
            <w:r>
              <w:rPr>
                <w:rFonts w:eastAsia="Times New Roman"/>
                <w:sz w:val="20"/>
                <w:szCs w:val="20"/>
              </w:rPr>
              <w:t> </w:t>
            </w:r>
          </w:p>
        </w:tc>
      </w:tr>
      <w:tr w:rsidR="00000000" w14:paraId="1E749D14" w14:textId="77777777">
        <w:tc>
          <w:tcPr>
            <w:tcW w:w="0" w:type="auto"/>
            <w:shd w:val="clear" w:color="auto" w:fill="CCEEFF"/>
            <w:tcMar>
              <w:top w:w="0" w:type="dxa"/>
              <w:left w:w="400" w:type="dxa"/>
              <w:bottom w:w="50" w:type="dxa"/>
              <w:right w:w="0" w:type="dxa"/>
            </w:tcMar>
            <w:vAlign w:val="bottom"/>
            <w:hideMark/>
          </w:tcPr>
          <w:p w14:paraId="2BADFFA5" w14:textId="77777777" w:rsidR="00000000" w:rsidRDefault="009027A3">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14:paraId="4D3524A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CBC7A1"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B61E5D" w14:textId="77777777" w:rsidR="00000000" w:rsidRDefault="009027A3">
            <w:pPr>
              <w:jc w:val="right"/>
              <w:rPr>
                <w:rFonts w:eastAsia="Times New Roman"/>
                <w:sz w:val="20"/>
                <w:szCs w:val="20"/>
              </w:rPr>
            </w:pPr>
            <w:r>
              <w:rPr>
                <w:rFonts w:eastAsia="Times New Roman"/>
                <w:sz w:val="20"/>
                <w:szCs w:val="20"/>
              </w:rPr>
              <w:t>1,267</w:t>
            </w:r>
          </w:p>
        </w:tc>
        <w:tc>
          <w:tcPr>
            <w:tcW w:w="0" w:type="auto"/>
            <w:shd w:val="clear" w:color="auto" w:fill="CCEEFF"/>
            <w:tcMar>
              <w:top w:w="0" w:type="dxa"/>
              <w:left w:w="0" w:type="dxa"/>
              <w:bottom w:w="50" w:type="dxa"/>
              <w:right w:w="0" w:type="dxa"/>
            </w:tcMar>
            <w:vAlign w:val="bottom"/>
            <w:hideMark/>
          </w:tcPr>
          <w:p w14:paraId="53B7BC7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AC4E8A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F1F4CCC"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D23C65" w14:textId="77777777" w:rsidR="00000000" w:rsidRDefault="009027A3">
            <w:pPr>
              <w:jc w:val="right"/>
              <w:rPr>
                <w:rFonts w:eastAsia="Times New Roman"/>
                <w:sz w:val="20"/>
                <w:szCs w:val="20"/>
              </w:rPr>
            </w:pPr>
            <w:r>
              <w:rPr>
                <w:rFonts w:eastAsia="Times New Roman"/>
                <w:sz w:val="20"/>
                <w:szCs w:val="20"/>
              </w:rPr>
              <w:t>1,307</w:t>
            </w:r>
          </w:p>
        </w:tc>
        <w:tc>
          <w:tcPr>
            <w:tcW w:w="0" w:type="auto"/>
            <w:shd w:val="clear" w:color="auto" w:fill="CCEEFF"/>
            <w:tcMar>
              <w:top w:w="0" w:type="dxa"/>
              <w:left w:w="0" w:type="dxa"/>
              <w:bottom w:w="50" w:type="dxa"/>
              <w:right w:w="0" w:type="dxa"/>
            </w:tcMar>
            <w:vAlign w:val="bottom"/>
            <w:hideMark/>
          </w:tcPr>
          <w:p w14:paraId="1263EC80" w14:textId="77777777" w:rsidR="00000000" w:rsidRDefault="009027A3">
            <w:pPr>
              <w:rPr>
                <w:rFonts w:eastAsia="Times New Roman"/>
                <w:sz w:val="20"/>
                <w:szCs w:val="20"/>
              </w:rPr>
            </w:pPr>
            <w:r>
              <w:rPr>
                <w:rFonts w:eastAsia="Times New Roman"/>
                <w:sz w:val="20"/>
                <w:szCs w:val="20"/>
              </w:rPr>
              <w:t> </w:t>
            </w:r>
          </w:p>
        </w:tc>
      </w:tr>
    </w:tbl>
    <w:p w14:paraId="7ABAD30A"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45D1A551" w14:textId="77777777">
        <w:trPr>
          <w:tblCellSpacing w:w="0" w:type="dxa"/>
        </w:trPr>
        <w:tc>
          <w:tcPr>
            <w:tcW w:w="720" w:type="dxa"/>
            <w:hideMark/>
          </w:tcPr>
          <w:p w14:paraId="6C3F3179" w14:textId="77777777" w:rsidR="00000000" w:rsidRDefault="009027A3">
            <w:pPr>
              <w:rPr>
                <w:rFonts w:eastAsia="Times New Roman"/>
                <w:b/>
                <w:bCs/>
                <w:caps/>
                <w:sz w:val="20"/>
                <w:szCs w:val="20"/>
              </w:rPr>
            </w:pPr>
            <w:r>
              <w:rPr>
                <w:rFonts w:eastAsia="Times New Roman"/>
                <w:b/>
                <w:bCs/>
                <w:caps/>
                <w:sz w:val="20"/>
                <w:szCs w:val="20"/>
              </w:rPr>
              <w:t>12.</w:t>
            </w:r>
          </w:p>
        </w:tc>
        <w:tc>
          <w:tcPr>
            <w:tcW w:w="0" w:type="auto"/>
            <w:hideMark/>
          </w:tcPr>
          <w:p w14:paraId="4F59DF20" w14:textId="77777777" w:rsidR="00000000" w:rsidRDefault="009027A3">
            <w:pPr>
              <w:rPr>
                <w:rFonts w:eastAsia="Times New Roman"/>
                <w:b/>
                <w:bCs/>
                <w:caps/>
                <w:sz w:val="20"/>
                <w:szCs w:val="20"/>
              </w:rPr>
            </w:pPr>
            <w:r>
              <w:rPr>
                <w:rFonts w:eastAsia="Times New Roman"/>
                <w:b/>
                <w:bCs/>
                <w:caps/>
                <w:sz w:val="20"/>
                <w:szCs w:val="20"/>
              </w:rPr>
              <w:t>INCOME TAXES</w:t>
            </w:r>
          </w:p>
        </w:tc>
      </w:tr>
    </w:tbl>
    <w:p w14:paraId="16BFF456" w14:textId="77777777" w:rsidR="00000000" w:rsidRDefault="009027A3">
      <w:pPr>
        <w:pStyle w:val="a3"/>
        <w:spacing w:before="0" w:beforeAutospacing="0" w:after="0" w:afterAutospacing="0"/>
        <w:jc w:val="both"/>
        <w:rPr>
          <w:sz w:val="20"/>
          <w:szCs w:val="20"/>
        </w:rPr>
      </w:pPr>
      <w:r>
        <w:rPr>
          <w:sz w:val="20"/>
          <w:szCs w:val="20"/>
        </w:rPr>
        <w:t> </w:t>
      </w:r>
    </w:p>
    <w:p w14:paraId="5D0D4DE6"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income tax benefit for the three months ended March 31, 2021 was approximately $1,000, comprised of a current tax expense of $35,000 and a deferred tax benefit of $36,000.</w:t>
      </w:r>
    </w:p>
    <w:p w14:paraId="62725568" w14:textId="77777777" w:rsidR="00000000" w:rsidRDefault="009027A3">
      <w:pPr>
        <w:pStyle w:val="a3"/>
        <w:spacing w:before="0" w:beforeAutospacing="0" w:after="0" w:afterAutospacing="0"/>
        <w:jc w:val="both"/>
        <w:rPr>
          <w:sz w:val="20"/>
          <w:szCs w:val="20"/>
        </w:rPr>
      </w:pPr>
      <w:r>
        <w:rPr>
          <w:sz w:val="20"/>
          <w:szCs w:val="20"/>
        </w:rPr>
        <w:t> </w:t>
      </w:r>
    </w:p>
    <w:p w14:paraId="5743635A" w14:textId="77777777" w:rsidR="00000000" w:rsidRDefault="009027A3">
      <w:pPr>
        <w:pStyle w:val="a3"/>
        <w:spacing w:before="0" w:beforeAutospacing="0" w:after="0" w:afterAutospacing="0"/>
        <w:jc w:val="both"/>
        <w:rPr>
          <w:sz w:val="20"/>
          <w:szCs w:val="20"/>
        </w:rPr>
      </w:pPr>
      <w:r>
        <w:rPr>
          <w:sz w:val="20"/>
          <w:szCs w:val="20"/>
        </w:rPr>
        <w:t>The current income tax provision for the three months ended March 31, 2021 and 202</w:t>
      </w:r>
      <w:r>
        <w:rPr>
          <w:sz w:val="20"/>
          <w:szCs w:val="20"/>
        </w:rPr>
        <w:t>0 primarily relates to state minimum taxes and foreign income taxes. The deferred tax (benefit) provision for the three months ended March 31, 2021 and 2020 relates to the book and tax difference of amortization on indefinite-lived intangibles, primarily g</w:t>
      </w:r>
      <w:r>
        <w:rPr>
          <w:sz w:val="20"/>
          <w:szCs w:val="20"/>
        </w:rPr>
        <w:t>oodwill. To the extent allowable, the federal tax provision has been offset by the indefinite life net operating loss.</w:t>
      </w:r>
    </w:p>
    <w:p w14:paraId="4F47551A" w14:textId="77777777" w:rsidR="00000000" w:rsidRDefault="009027A3">
      <w:pPr>
        <w:pStyle w:val="a3"/>
        <w:spacing w:before="0" w:beforeAutospacing="0" w:after="0" w:afterAutospacing="0"/>
        <w:jc w:val="both"/>
        <w:rPr>
          <w:sz w:val="20"/>
          <w:szCs w:val="20"/>
        </w:rPr>
      </w:pPr>
      <w:r>
        <w:rPr>
          <w:sz w:val="20"/>
          <w:szCs w:val="20"/>
        </w:rPr>
        <w:t> </w:t>
      </w:r>
    </w:p>
    <w:p w14:paraId="7E98A560" w14:textId="77777777" w:rsidR="00000000" w:rsidRDefault="009027A3">
      <w:pPr>
        <w:pStyle w:val="a3"/>
        <w:spacing w:before="0" w:beforeAutospacing="0" w:after="0" w:afterAutospacing="0"/>
        <w:jc w:val="both"/>
        <w:rPr>
          <w:sz w:val="20"/>
          <w:szCs w:val="20"/>
        </w:rPr>
      </w:pPr>
      <w:r>
        <w:rPr>
          <w:sz w:val="20"/>
          <w:szCs w:val="20"/>
        </w:rPr>
        <w:t>On March 27, 2020, the Coronavirus Aid, Relief and Economic Security (CARES) Act was signed into law. Several new corporate tax provisi</w:t>
      </w:r>
      <w:r>
        <w:rPr>
          <w:sz w:val="20"/>
          <w:szCs w:val="20"/>
        </w:rPr>
        <w:t>ons were included in the CARES Act, including, but not limited to, the following: increasing the limitation threshold for determining deductible interest expense, class life changes to qualified improvements (in general - from 39 years to 15 years), and th</w:t>
      </w:r>
      <w:r>
        <w:rPr>
          <w:sz w:val="20"/>
          <w:szCs w:val="20"/>
        </w:rPr>
        <w:t>e ability to carry back net operating losses incurred from tax years 2018 through 2020 up to the five preceding tax years. The Company has evaluated the income tax provisions of the CARES Act and determined the impact to be either immaterial or not applica</w:t>
      </w:r>
      <w:r>
        <w:rPr>
          <w:sz w:val="20"/>
          <w:szCs w:val="20"/>
        </w:rPr>
        <w:t>ble. Under the CARES Act, the Company took advantage of the payroll tax deferral provision. As of both March 31, 2021 and December 31, 2020, the Company has deferred approximately $1.9 million of payroll taxes.</w:t>
      </w:r>
    </w:p>
    <w:p w14:paraId="410D5966" w14:textId="77777777" w:rsidR="00000000" w:rsidRDefault="009027A3">
      <w:pPr>
        <w:pStyle w:val="a3"/>
        <w:spacing w:before="0" w:beforeAutospacing="0" w:after="0" w:afterAutospacing="0"/>
        <w:jc w:val="both"/>
        <w:rPr>
          <w:sz w:val="20"/>
          <w:szCs w:val="20"/>
        </w:rPr>
      </w:pPr>
      <w:r>
        <w:rPr>
          <w:sz w:val="20"/>
          <w:szCs w:val="20"/>
        </w:rPr>
        <w:t> </w:t>
      </w:r>
    </w:p>
    <w:p w14:paraId="382B6BE8" w14:textId="77777777" w:rsidR="00000000" w:rsidRDefault="009027A3">
      <w:pPr>
        <w:pStyle w:val="a3"/>
        <w:spacing w:before="0" w:beforeAutospacing="0" w:after="0" w:afterAutospacing="0"/>
        <w:jc w:val="both"/>
        <w:rPr>
          <w:sz w:val="20"/>
          <w:szCs w:val="20"/>
        </w:rPr>
      </w:pPr>
      <w:r>
        <w:rPr>
          <w:sz w:val="20"/>
          <w:szCs w:val="20"/>
        </w:rPr>
        <w:t xml:space="preserve">The Company has incurred cumulative losses </w:t>
      </w:r>
      <w:r>
        <w:rPr>
          <w:sz w:val="20"/>
          <w:szCs w:val="20"/>
        </w:rPr>
        <w:t>which make realization of a deferred tax asset difficult to support in accordance with ASC 740. Accordingly, a valuation allowance has been recorded against the Federal and state deferred tax assets as of March 31, 2021 and December 31, 2020.</w:t>
      </w:r>
    </w:p>
    <w:p w14:paraId="74D7728D"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3BAA987D" w14:textId="77777777">
        <w:trPr>
          <w:tblCellSpacing w:w="0" w:type="dxa"/>
        </w:trPr>
        <w:tc>
          <w:tcPr>
            <w:tcW w:w="720" w:type="dxa"/>
            <w:hideMark/>
          </w:tcPr>
          <w:p w14:paraId="0852922C" w14:textId="77777777" w:rsidR="00000000" w:rsidRDefault="009027A3">
            <w:pPr>
              <w:rPr>
                <w:rFonts w:eastAsia="Times New Roman"/>
                <w:b/>
                <w:bCs/>
                <w:caps/>
                <w:sz w:val="20"/>
                <w:szCs w:val="20"/>
              </w:rPr>
            </w:pPr>
            <w:r>
              <w:rPr>
                <w:rFonts w:eastAsia="Times New Roman"/>
                <w:b/>
                <w:bCs/>
                <w:caps/>
                <w:sz w:val="20"/>
                <w:szCs w:val="20"/>
              </w:rPr>
              <w:t>13.</w:t>
            </w:r>
          </w:p>
        </w:tc>
        <w:tc>
          <w:tcPr>
            <w:tcW w:w="0" w:type="auto"/>
            <w:hideMark/>
          </w:tcPr>
          <w:p w14:paraId="62BE5AB4" w14:textId="77777777" w:rsidR="00000000" w:rsidRDefault="009027A3">
            <w:pPr>
              <w:rPr>
                <w:rFonts w:eastAsia="Times New Roman"/>
                <w:b/>
                <w:bCs/>
                <w:caps/>
                <w:sz w:val="20"/>
                <w:szCs w:val="20"/>
              </w:rPr>
            </w:pPr>
            <w:r>
              <w:rPr>
                <w:rFonts w:eastAsia="Times New Roman"/>
                <w:b/>
                <w:bCs/>
                <w:caps/>
                <w:sz w:val="20"/>
                <w:szCs w:val="20"/>
              </w:rPr>
              <w:t>FAIR VA</w:t>
            </w:r>
            <w:r>
              <w:rPr>
                <w:rFonts w:eastAsia="Times New Roman"/>
                <w:b/>
                <w:bCs/>
                <w:caps/>
                <w:sz w:val="20"/>
                <w:szCs w:val="20"/>
              </w:rPr>
              <w:t>LUE OF FINANCIAL INSTRUMENTS</w:t>
            </w:r>
          </w:p>
        </w:tc>
      </w:tr>
    </w:tbl>
    <w:p w14:paraId="1AA8B8DF" w14:textId="77777777" w:rsidR="00000000" w:rsidRDefault="009027A3">
      <w:pPr>
        <w:pStyle w:val="a3"/>
        <w:spacing w:before="0" w:beforeAutospacing="0" w:after="0" w:afterAutospacing="0"/>
        <w:jc w:val="both"/>
        <w:rPr>
          <w:sz w:val="20"/>
          <w:szCs w:val="20"/>
        </w:rPr>
      </w:pPr>
      <w:r>
        <w:rPr>
          <w:sz w:val="20"/>
          <w:szCs w:val="20"/>
        </w:rPr>
        <w:t> </w:t>
      </w:r>
    </w:p>
    <w:p w14:paraId="55C90519" w14:textId="77777777" w:rsidR="00000000" w:rsidRDefault="009027A3">
      <w:pPr>
        <w:pStyle w:val="a3"/>
        <w:spacing w:before="0" w:beforeAutospacing="0" w:after="0" w:afterAutospacing="0"/>
        <w:jc w:val="both"/>
        <w:rPr>
          <w:sz w:val="20"/>
          <w:szCs w:val="20"/>
        </w:rPr>
      </w:pPr>
      <w:r>
        <w:rPr>
          <w:sz w:val="20"/>
          <w:szCs w:val="20"/>
        </w:rPr>
        <w:t xml:space="preserve">As </w:t>
      </w:r>
      <w:r>
        <w:rPr>
          <w:sz w:val="20"/>
          <w:szCs w:val="20"/>
        </w:rPr>
        <w:t>of March 31, 2021, and December 31, 2020, the carrying amounts of accounts receivable, accounts payable and accrued expenses approximated their estimated fair values because of the short-term nature of these financial instruments.</w:t>
      </w:r>
    </w:p>
    <w:p w14:paraId="1BD571DE" w14:textId="77777777" w:rsidR="00000000" w:rsidRDefault="009027A3">
      <w:pPr>
        <w:pStyle w:val="a3"/>
        <w:spacing w:before="0" w:beforeAutospacing="0" w:after="0" w:afterAutospacing="0"/>
        <w:rPr>
          <w:sz w:val="20"/>
          <w:szCs w:val="20"/>
        </w:rPr>
      </w:pPr>
      <w:r>
        <w:rPr>
          <w:i/>
          <w:iCs/>
          <w:sz w:val="20"/>
          <w:szCs w:val="20"/>
        </w:rPr>
        <w:t> </w:t>
      </w:r>
    </w:p>
    <w:p w14:paraId="667E06B2" w14:textId="77777777" w:rsidR="00000000" w:rsidRDefault="009027A3">
      <w:pPr>
        <w:pStyle w:val="a3"/>
        <w:spacing w:before="0" w:beforeAutospacing="0" w:after="0" w:afterAutospacing="0"/>
        <w:rPr>
          <w:sz w:val="20"/>
          <w:szCs w:val="20"/>
        </w:rPr>
      </w:pPr>
      <w:r>
        <w:rPr>
          <w:i/>
          <w:iCs/>
          <w:sz w:val="20"/>
          <w:szCs w:val="20"/>
        </w:rPr>
        <w:t>Fair value measurements</w:t>
      </w:r>
      <w:r>
        <w:rPr>
          <w:i/>
          <w:iCs/>
          <w:sz w:val="20"/>
          <w:szCs w:val="20"/>
        </w:rPr>
        <w:t>-Level 2</w:t>
      </w:r>
    </w:p>
    <w:p w14:paraId="0BD3CB96" w14:textId="77777777" w:rsidR="00000000" w:rsidRDefault="009027A3">
      <w:pPr>
        <w:pStyle w:val="a3"/>
        <w:spacing w:before="0" w:beforeAutospacing="0" w:after="0" w:afterAutospacing="0"/>
        <w:rPr>
          <w:sz w:val="20"/>
          <w:szCs w:val="20"/>
        </w:rPr>
      </w:pPr>
      <w:r>
        <w:rPr>
          <w:i/>
          <w:iCs/>
          <w:sz w:val="20"/>
          <w:szCs w:val="20"/>
        </w:rPr>
        <w:t> </w:t>
      </w:r>
    </w:p>
    <w:p w14:paraId="5735E2B4" w14:textId="77777777" w:rsidR="00000000" w:rsidRDefault="009027A3">
      <w:pPr>
        <w:pStyle w:val="a3"/>
        <w:spacing w:before="0" w:beforeAutospacing="0" w:after="0" w:afterAutospacing="0"/>
        <w:jc w:val="both"/>
        <w:rPr>
          <w:sz w:val="20"/>
          <w:szCs w:val="20"/>
        </w:rPr>
      </w:pPr>
      <w:r>
        <w:rPr>
          <w:sz w:val="20"/>
          <w:szCs w:val="20"/>
        </w:rPr>
        <w:t>Our notes payable are carried at cost and approximate fair value since the interest rates being charged approximate market rates. As a result, the Company categorizes these borrowings as Level 2 in the fair value hierarchy.</w:t>
      </w:r>
    </w:p>
    <w:p w14:paraId="4946E97C" w14:textId="77777777" w:rsidR="00000000" w:rsidRDefault="009027A3">
      <w:pPr>
        <w:pStyle w:val="a3"/>
        <w:spacing w:before="0" w:beforeAutospacing="0" w:after="0" w:afterAutospacing="0"/>
        <w:rPr>
          <w:sz w:val="20"/>
          <w:szCs w:val="20"/>
        </w:rPr>
      </w:pPr>
      <w:r>
        <w:rPr>
          <w:i/>
          <w:iCs/>
          <w:sz w:val="20"/>
          <w:szCs w:val="20"/>
        </w:rPr>
        <w:t> </w:t>
      </w:r>
    </w:p>
    <w:p w14:paraId="40780892" w14:textId="77777777" w:rsidR="00000000" w:rsidRDefault="009027A3">
      <w:pPr>
        <w:pStyle w:val="a3"/>
        <w:spacing w:before="0" w:beforeAutospacing="0" w:after="0" w:afterAutospacing="0"/>
        <w:rPr>
          <w:sz w:val="20"/>
          <w:szCs w:val="20"/>
        </w:rPr>
      </w:pPr>
      <w:r>
        <w:rPr>
          <w:i/>
          <w:iCs/>
          <w:sz w:val="20"/>
          <w:szCs w:val="20"/>
        </w:rPr>
        <w:t>Contingent Consider</w:t>
      </w:r>
      <w:r>
        <w:rPr>
          <w:i/>
          <w:iCs/>
          <w:sz w:val="20"/>
          <w:szCs w:val="20"/>
        </w:rPr>
        <w:t>ation</w:t>
      </w:r>
    </w:p>
    <w:p w14:paraId="57EDB0AA" w14:textId="77777777" w:rsidR="00000000" w:rsidRDefault="009027A3">
      <w:pPr>
        <w:pStyle w:val="a3"/>
        <w:spacing w:before="0" w:beforeAutospacing="0" w:after="0" w:afterAutospacing="0"/>
        <w:rPr>
          <w:sz w:val="20"/>
          <w:szCs w:val="20"/>
        </w:rPr>
      </w:pPr>
      <w:r>
        <w:rPr>
          <w:i/>
          <w:iCs/>
          <w:sz w:val="20"/>
          <w:szCs w:val="20"/>
        </w:rPr>
        <w:t> </w:t>
      </w:r>
    </w:p>
    <w:p w14:paraId="549F4B9D" w14:textId="77777777" w:rsidR="00000000" w:rsidRDefault="009027A3">
      <w:pPr>
        <w:pStyle w:val="a3"/>
        <w:spacing w:before="0" w:beforeAutospacing="0" w:after="0" w:afterAutospacing="0"/>
        <w:jc w:val="both"/>
        <w:rPr>
          <w:sz w:val="20"/>
          <w:szCs w:val="20"/>
        </w:rPr>
      </w:pPr>
      <w:r>
        <w:rPr>
          <w:sz w:val="20"/>
          <w:szCs w:val="20"/>
        </w:rPr>
        <w:t>The Company’s contingent consideration is a Level 3 liability. The fair value of the contingent consideration is primarily driven by changes in revenue estimates related to acquisitions, the passage of time and the associated discount rate. As of D</w:t>
      </w:r>
      <w:r>
        <w:rPr>
          <w:sz w:val="20"/>
          <w:szCs w:val="20"/>
        </w:rPr>
        <w:t>ecember 31, 2020, the contingent consideration liability was fully settled and there was no additional contingent consideration during the three months ended March 31, 2021.</w:t>
      </w:r>
    </w:p>
    <w:p w14:paraId="7E24A86A"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E199B49" w14:textId="77777777">
        <w:trPr>
          <w:divId w:val="951017784"/>
        </w:trPr>
        <w:tc>
          <w:tcPr>
            <w:tcW w:w="5000" w:type="pct"/>
            <w:hideMark/>
          </w:tcPr>
          <w:p w14:paraId="5F5DD74D"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82DDCA4" w14:textId="77777777">
        <w:tc>
          <w:tcPr>
            <w:tcW w:w="5000" w:type="pct"/>
            <w:hideMark/>
          </w:tcPr>
          <w:p w14:paraId="27671218" w14:textId="77777777" w:rsidR="00000000" w:rsidRDefault="009027A3">
            <w:pPr>
              <w:rPr>
                <w:rFonts w:eastAsia="Times New Roman"/>
                <w:sz w:val="20"/>
                <w:szCs w:val="20"/>
              </w:rPr>
            </w:pPr>
            <w:r>
              <w:rPr>
                <w:rFonts w:eastAsia="Times New Roman"/>
                <w:sz w:val="20"/>
                <w:szCs w:val="20"/>
              </w:rPr>
              <w:t> </w:t>
            </w:r>
          </w:p>
        </w:tc>
      </w:tr>
    </w:tbl>
    <w:p w14:paraId="527642B7" w14:textId="77777777" w:rsidR="00000000" w:rsidRDefault="009027A3">
      <w:pPr>
        <w:pStyle w:val="a3"/>
        <w:spacing w:before="0" w:beforeAutospacing="0" w:after="0" w:afterAutospacing="0"/>
        <w:jc w:val="both"/>
        <w:rPr>
          <w:sz w:val="20"/>
          <w:szCs w:val="20"/>
        </w:rPr>
      </w:pPr>
      <w:r>
        <w:rPr>
          <w:sz w:val="20"/>
          <w:szCs w:val="20"/>
        </w:rPr>
        <w:t> </w:t>
      </w:r>
    </w:p>
    <w:p w14:paraId="1DEA36BB" w14:textId="77777777" w:rsidR="00000000" w:rsidRDefault="009027A3">
      <w:pPr>
        <w:pStyle w:val="a3"/>
        <w:spacing w:before="0" w:beforeAutospacing="0" w:after="0" w:afterAutospacing="0"/>
        <w:jc w:val="both"/>
        <w:rPr>
          <w:sz w:val="20"/>
          <w:szCs w:val="20"/>
        </w:rPr>
      </w:pPr>
      <w:r>
        <w:rPr>
          <w:sz w:val="20"/>
          <w:szCs w:val="20"/>
        </w:rPr>
        <w:t>The following table provides a reconciliation of the beginning and end</w:t>
      </w:r>
      <w:r>
        <w:rPr>
          <w:sz w:val="20"/>
          <w:szCs w:val="20"/>
        </w:rPr>
        <w:t>ing balances for the contingent consideration measured at fair value using significant unobservable inputs (Level 3):</w:t>
      </w:r>
    </w:p>
    <w:p w14:paraId="3D426C04" w14:textId="77777777" w:rsidR="00000000" w:rsidRDefault="009027A3">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25"/>
        <w:gridCol w:w="105"/>
        <w:gridCol w:w="100"/>
        <w:gridCol w:w="1734"/>
        <w:gridCol w:w="50"/>
      </w:tblGrid>
      <w:tr w:rsidR="00000000" w14:paraId="242FDC7C" w14:textId="77777777">
        <w:tc>
          <w:tcPr>
            <w:tcW w:w="0" w:type="auto"/>
            <w:vAlign w:val="bottom"/>
            <w:hideMark/>
          </w:tcPr>
          <w:p w14:paraId="3836A541"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36E7340"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vAlign w:val="bottom"/>
            <w:hideMark/>
          </w:tcPr>
          <w:p w14:paraId="5F482069" w14:textId="77777777" w:rsidR="00000000" w:rsidRDefault="009027A3">
            <w:pPr>
              <w:jc w:val="center"/>
              <w:rPr>
                <w:rFonts w:eastAsia="Times New Roman"/>
                <w:b/>
                <w:bCs/>
                <w:sz w:val="20"/>
                <w:szCs w:val="20"/>
              </w:rPr>
            </w:pPr>
            <w:r>
              <w:rPr>
                <w:rFonts w:eastAsia="Times New Roman"/>
                <w:b/>
                <w:bCs/>
                <w:sz w:val="20"/>
                <w:szCs w:val="20"/>
              </w:rPr>
              <w:t>Fair Value Measurement at Reporting Date Using Significant Unobservable Inputs, Level 3</w:t>
            </w:r>
          </w:p>
        </w:tc>
        <w:tc>
          <w:tcPr>
            <w:tcW w:w="0" w:type="auto"/>
            <w:vAlign w:val="bottom"/>
            <w:hideMark/>
          </w:tcPr>
          <w:p w14:paraId="6D1044E4" w14:textId="77777777" w:rsidR="00000000" w:rsidRDefault="009027A3">
            <w:pPr>
              <w:rPr>
                <w:rFonts w:eastAsia="Times New Roman"/>
                <w:b/>
                <w:bCs/>
                <w:sz w:val="20"/>
                <w:szCs w:val="20"/>
              </w:rPr>
            </w:pPr>
            <w:r>
              <w:rPr>
                <w:rFonts w:eastAsia="Times New Roman"/>
                <w:b/>
                <w:bCs/>
                <w:sz w:val="20"/>
                <w:szCs w:val="20"/>
              </w:rPr>
              <w:t> </w:t>
            </w:r>
          </w:p>
        </w:tc>
      </w:tr>
      <w:tr w:rsidR="00000000" w14:paraId="0DF34F77" w14:textId="77777777">
        <w:tc>
          <w:tcPr>
            <w:tcW w:w="0" w:type="auto"/>
            <w:vAlign w:val="bottom"/>
            <w:hideMark/>
          </w:tcPr>
          <w:p w14:paraId="5B2A4C0C"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B461BF"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1699C1" w14:textId="77777777" w:rsidR="00000000" w:rsidRDefault="009027A3">
            <w:pPr>
              <w:jc w:val="center"/>
              <w:rPr>
                <w:rFonts w:eastAsia="Times New Roman"/>
                <w:b/>
                <w:bCs/>
                <w:sz w:val="20"/>
                <w:szCs w:val="20"/>
              </w:rPr>
            </w:pPr>
            <w:r>
              <w:rPr>
                <w:rFonts w:eastAsia="Times New Roman"/>
                <w:b/>
                <w:bCs/>
                <w:sz w:val="20"/>
                <w:szCs w:val="20"/>
              </w:rPr>
              <w:t>Three Months Ended March 31, 2020</w:t>
            </w:r>
          </w:p>
        </w:tc>
        <w:tc>
          <w:tcPr>
            <w:tcW w:w="0" w:type="auto"/>
            <w:tcMar>
              <w:top w:w="0" w:type="dxa"/>
              <w:left w:w="0" w:type="dxa"/>
              <w:bottom w:w="30" w:type="dxa"/>
              <w:right w:w="0" w:type="dxa"/>
            </w:tcMar>
            <w:vAlign w:val="bottom"/>
            <w:hideMark/>
          </w:tcPr>
          <w:p w14:paraId="351551E3" w14:textId="77777777" w:rsidR="00000000" w:rsidRDefault="009027A3">
            <w:pPr>
              <w:rPr>
                <w:rFonts w:eastAsia="Times New Roman"/>
                <w:b/>
                <w:bCs/>
                <w:sz w:val="20"/>
                <w:szCs w:val="20"/>
              </w:rPr>
            </w:pPr>
            <w:r>
              <w:rPr>
                <w:rFonts w:eastAsia="Times New Roman"/>
                <w:b/>
                <w:bCs/>
                <w:sz w:val="20"/>
                <w:szCs w:val="20"/>
              </w:rPr>
              <w:t> </w:t>
            </w:r>
          </w:p>
        </w:tc>
      </w:tr>
      <w:tr w:rsidR="00000000" w14:paraId="6DF09389" w14:textId="77777777">
        <w:tc>
          <w:tcPr>
            <w:tcW w:w="0" w:type="auto"/>
            <w:shd w:val="clear" w:color="auto" w:fill="FFFFFF"/>
            <w:vAlign w:val="bottom"/>
            <w:hideMark/>
          </w:tcPr>
          <w:p w14:paraId="4A3C49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9380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1807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E14C4B" w14:textId="77777777" w:rsidR="00000000" w:rsidRDefault="009027A3">
            <w:pPr>
              <w:jc w:val="center"/>
              <w:rPr>
                <w:rFonts w:eastAsia="Times New Roman"/>
                <w:sz w:val="20"/>
                <w:szCs w:val="20"/>
              </w:rPr>
            </w:pPr>
            <w:r>
              <w:rPr>
                <w:rFonts w:eastAsia="Times New Roman"/>
                <w:sz w:val="20"/>
                <w:szCs w:val="20"/>
              </w:rPr>
              <w:t>($ in thousands)</w:t>
            </w:r>
          </w:p>
        </w:tc>
        <w:tc>
          <w:tcPr>
            <w:tcW w:w="0" w:type="auto"/>
            <w:shd w:val="clear" w:color="auto" w:fill="FFFFFF"/>
            <w:vAlign w:val="bottom"/>
            <w:hideMark/>
          </w:tcPr>
          <w:p w14:paraId="5938AA78" w14:textId="77777777" w:rsidR="00000000" w:rsidRDefault="009027A3">
            <w:pPr>
              <w:rPr>
                <w:rFonts w:eastAsia="Times New Roman"/>
                <w:sz w:val="20"/>
                <w:szCs w:val="20"/>
              </w:rPr>
            </w:pPr>
            <w:r>
              <w:rPr>
                <w:rFonts w:eastAsia="Times New Roman"/>
                <w:sz w:val="20"/>
                <w:szCs w:val="20"/>
              </w:rPr>
              <w:t> </w:t>
            </w:r>
          </w:p>
        </w:tc>
      </w:tr>
      <w:tr w:rsidR="00000000" w14:paraId="1111A8CB" w14:textId="77777777">
        <w:tc>
          <w:tcPr>
            <w:tcW w:w="0" w:type="auto"/>
            <w:shd w:val="clear" w:color="auto" w:fill="CCEEFF"/>
            <w:vAlign w:val="bottom"/>
            <w:hideMark/>
          </w:tcPr>
          <w:p w14:paraId="4158D5B9" w14:textId="77777777" w:rsidR="00000000" w:rsidRDefault="009027A3">
            <w:pPr>
              <w:rPr>
                <w:rFonts w:eastAsia="Times New Roman"/>
                <w:sz w:val="20"/>
                <w:szCs w:val="20"/>
              </w:rPr>
            </w:pPr>
            <w:r>
              <w:rPr>
                <w:rFonts w:eastAsia="Times New Roman"/>
                <w:sz w:val="20"/>
                <w:szCs w:val="20"/>
              </w:rPr>
              <w:t>Balance - January 1,</w:t>
            </w:r>
          </w:p>
        </w:tc>
        <w:tc>
          <w:tcPr>
            <w:tcW w:w="0" w:type="auto"/>
            <w:shd w:val="clear" w:color="auto" w:fill="CCEEFF"/>
            <w:vAlign w:val="bottom"/>
            <w:hideMark/>
          </w:tcPr>
          <w:p w14:paraId="080BE3D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15DF7"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3FEEADEA"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292B40A" w14:textId="77777777" w:rsidR="00000000" w:rsidRDefault="009027A3">
            <w:pPr>
              <w:rPr>
                <w:rFonts w:eastAsia="Times New Roman"/>
                <w:sz w:val="20"/>
                <w:szCs w:val="20"/>
              </w:rPr>
            </w:pPr>
            <w:r>
              <w:rPr>
                <w:rFonts w:eastAsia="Times New Roman"/>
                <w:sz w:val="20"/>
                <w:szCs w:val="20"/>
              </w:rPr>
              <w:t> </w:t>
            </w:r>
          </w:p>
        </w:tc>
      </w:tr>
      <w:tr w:rsidR="00000000" w14:paraId="6D4AFEA2" w14:textId="77777777">
        <w:tc>
          <w:tcPr>
            <w:tcW w:w="3300" w:type="pct"/>
            <w:shd w:val="clear" w:color="auto" w:fill="FFFFFF"/>
            <w:vAlign w:val="bottom"/>
            <w:hideMark/>
          </w:tcPr>
          <w:p w14:paraId="6D854052" w14:textId="77777777" w:rsidR="00000000" w:rsidRDefault="009027A3">
            <w:pPr>
              <w:rPr>
                <w:rFonts w:eastAsia="Times New Roman"/>
                <w:sz w:val="20"/>
                <w:szCs w:val="20"/>
              </w:rPr>
            </w:pPr>
            <w:r>
              <w:rPr>
                <w:rFonts w:eastAsia="Times New Roman"/>
                <w:sz w:val="20"/>
                <w:szCs w:val="20"/>
              </w:rPr>
              <w:t>Acquisition</w:t>
            </w:r>
          </w:p>
        </w:tc>
        <w:tc>
          <w:tcPr>
            <w:tcW w:w="100" w:type="pct"/>
            <w:shd w:val="clear" w:color="auto" w:fill="FFFFFF"/>
            <w:vAlign w:val="bottom"/>
            <w:hideMark/>
          </w:tcPr>
          <w:p w14:paraId="2C017C0E" w14:textId="77777777" w:rsidR="00000000" w:rsidRDefault="009027A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00FF13" w14:textId="77777777" w:rsidR="00000000" w:rsidRDefault="009027A3">
            <w:pPr>
              <w:rPr>
                <w:rFonts w:eastAsia="Times New Roman"/>
                <w:sz w:val="20"/>
                <w:szCs w:val="20"/>
              </w:rPr>
            </w:pPr>
            <w:r>
              <w:rPr>
                <w:rFonts w:eastAsia="Times New Roman"/>
                <w:sz w:val="20"/>
                <w:szCs w:val="20"/>
              </w:rPr>
              <w:t> </w:t>
            </w:r>
          </w:p>
        </w:tc>
        <w:tc>
          <w:tcPr>
            <w:tcW w:w="1500" w:type="pct"/>
            <w:shd w:val="clear" w:color="auto" w:fill="FFFFFF"/>
            <w:vAlign w:val="bottom"/>
            <w:hideMark/>
          </w:tcPr>
          <w:p w14:paraId="51465B83" w14:textId="77777777" w:rsidR="00000000" w:rsidRDefault="009027A3">
            <w:pPr>
              <w:jc w:val="right"/>
              <w:rPr>
                <w:rFonts w:eastAsia="Times New Roman"/>
                <w:sz w:val="20"/>
                <w:szCs w:val="20"/>
              </w:rPr>
            </w:pPr>
            <w:r>
              <w:rPr>
                <w:rFonts w:eastAsia="Times New Roman"/>
                <w:sz w:val="20"/>
                <w:szCs w:val="20"/>
              </w:rPr>
              <w:t>1,050</w:t>
            </w:r>
          </w:p>
        </w:tc>
        <w:tc>
          <w:tcPr>
            <w:tcW w:w="50" w:type="pct"/>
            <w:shd w:val="clear" w:color="auto" w:fill="FFFFFF"/>
            <w:vAlign w:val="bottom"/>
            <w:hideMark/>
          </w:tcPr>
          <w:p w14:paraId="133181BE" w14:textId="77777777" w:rsidR="00000000" w:rsidRDefault="009027A3">
            <w:pPr>
              <w:rPr>
                <w:rFonts w:eastAsia="Times New Roman"/>
                <w:sz w:val="20"/>
                <w:szCs w:val="20"/>
              </w:rPr>
            </w:pPr>
            <w:r>
              <w:rPr>
                <w:rFonts w:eastAsia="Times New Roman"/>
                <w:sz w:val="20"/>
                <w:szCs w:val="20"/>
              </w:rPr>
              <w:t> </w:t>
            </w:r>
          </w:p>
        </w:tc>
      </w:tr>
      <w:tr w:rsidR="00000000" w14:paraId="128B46ED" w14:textId="77777777">
        <w:tc>
          <w:tcPr>
            <w:tcW w:w="0" w:type="auto"/>
            <w:shd w:val="clear" w:color="auto" w:fill="CCEEFF"/>
            <w:vAlign w:val="bottom"/>
            <w:hideMark/>
          </w:tcPr>
          <w:p w14:paraId="711777EC" w14:textId="77777777" w:rsidR="00000000" w:rsidRDefault="009027A3">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2C60884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9DDA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8DD75"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B74952B" w14:textId="77777777" w:rsidR="00000000" w:rsidRDefault="009027A3">
            <w:pPr>
              <w:rPr>
                <w:rFonts w:eastAsia="Times New Roman"/>
                <w:sz w:val="20"/>
                <w:szCs w:val="20"/>
              </w:rPr>
            </w:pPr>
            <w:r>
              <w:rPr>
                <w:rFonts w:eastAsia="Times New Roman"/>
                <w:sz w:val="20"/>
                <w:szCs w:val="20"/>
              </w:rPr>
              <w:t> </w:t>
            </w:r>
          </w:p>
        </w:tc>
      </w:tr>
      <w:tr w:rsidR="00000000" w14:paraId="45427263" w14:textId="77777777">
        <w:tc>
          <w:tcPr>
            <w:tcW w:w="0" w:type="auto"/>
            <w:shd w:val="clear" w:color="auto" w:fill="FFFFFF"/>
            <w:tcMar>
              <w:top w:w="0" w:type="dxa"/>
              <w:left w:w="0" w:type="dxa"/>
              <w:bottom w:w="30" w:type="dxa"/>
              <w:right w:w="0" w:type="dxa"/>
            </w:tcMar>
            <w:vAlign w:val="bottom"/>
            <w:hideMark/>
          </w:tcPr>
          <w:p w14:paraId="042C9D56" w14:textId="77777777" w:rsidR="00000000" w:rsidRDefault="009027A3">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14:paraId="3E9C984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8B945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C5D92B"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A29161E" w14:textId="77777777" w:rsidR="00000000" w:rsidRDefault="009027A3">
            <w:pPr>
              <w:rPr>
                <w:rFonts w:eastAsia="Times New Roman"/>
                <w:sz w:val="20"/>
                <w:szCs w:val="20"/>
              </w:rPr>
            </w:pPr>
            <w:r>
              <w:rPr>
                <w:rFonts w:eastAsia="Times New Roman"/>
                <w:sz w:val="20"/>
                <w:szCs w:val="20"/>
              </w:rPr>
              <w:t> </w:t>
            </w:r>
          </w:p>
        </w:tc>
      </w:tr>
      <w:tr w:rsidR="00000000" w14:paraId="6AE109B2" w14:textId="77777777">
        <w:tc>
          <w:tcPr>
            <w:tcW w:w="0" w:type="auto"/>
            <w:shd w:val="clear" w:color="auto" w:fill="CCEEFF"/>
            <w:tcMar>
              <w:top w:w="0" w:type="dxa"/>
              <w:left w:w="0" w:type="dxa"/>
              <w:bottom w:w="50" w:type="dxa"/>
              <w:right w:w="0" w:type="dxa"/>
            </w:tcMar>
            <w:vAlign w:val="bottom"/>
            <w:hideMark/>
          </w:tcPr>
          <w:p w14:paraId="212B129D" w14:textId="77777777" w:rsidR="00000000" w:rsidRDefault="009027A3">
            <w:pPr>
              <w:rPr>
                <w:rFonts w:eastAsia="Times New Roman"/>
                <w:sz w:val="20"/>
                <w:szCs w:val="20"/>
              </w:rPr>
            </w:pPr>
            <w:r>
              <w:rPr>
                <w:rFonts w:eastAsia="Times New Roman"/>
                <w:sz w:val="20"/>
                <w:szCs w:val="20"/>
              </w:rPr>
              <w:t>Balance - March 31,</w:t>
            </w:r>
          </w:p>
        </w:tc>
        <w:tc>
          <w:tcPr>
            <w:tcW w:w="0" w:type="auto"/>
            <w:shd w:val="clear" w:color="auto" w:fill="CCEEFF"/>
            <w:tcMar>
              <w:top w:w="0" w:type="dxa"/>
              <w:left w:w="0" w:type="dxa"/>
              <w:bottom w:w="50" w:type="dxa"/>
              <w:right w:w="0" w:type="dxa"/>
            </w:tcMar>
            <w:vAlign w:val="bottom"/>
            <w:hideMark/>
          </w:tcPr>
          <w:p w14:paraId="0C75D1E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03301D"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8599928" w14:textId="77777777" w:rsidR="00000000" w:rsidRDefault="009027A3">
            <w:pPr>
              <w:jc w:val="right"/>
              <w:rPr>
                <w:rFonts w:eastAsia="Times New Roman"/>
                <w:sz w:val="20"/>
                <w:szCs w:val="20"/>
              </w:rPr>
            </w:pPr>
            <w:r>
              <w:rPr>
                <w:rFonts w:eastAsia="Times New Roman"/>
                <w:sz w:val="20"/>
                <w:szCs w:val="20"/>
              </w:rPr>
              <w:t>1,050</w:t>
            </w:r>
          </w:p>
        </w:tc>
        <w:tc>
          <w:tcPr>
            <w:tcW w:w="0" w:type="auto"/>
            <w:shd w:val="clear" w:color="auto" w:fill="CCEEFF"/>
            <w:tcMar>
              <w:top w:w="0" w:type="dxa"/>
              <w:left w:w="0" w:type="dxa"/>
              <w:bottom w:w="50" w:type="dxa"/>
              <w:right w:w="0" w:type="dxa"/>
            </w:tcMar>
            <w:vAlign w:val="bottom"/>
            <w:hideMark/>
          </w:tcPr>
          <w:p w14:paraId="00557E75" w14:textId="77777777" w:rsidR="00000000" w:rsidRDefault="009027A3">
            <w:pPr>
              <w:rPr>
                <w:rFonts w:eastAsia="Times New Roman"/>
                <w:sz w:val="20"/>
                <w:szCs w:val="20"/>
              </w:rPr>
            </w:pPr>
            <w:r>
              <w:rPr>
                <w:rFonts w:eastAsia="Times New Roman"/>
                <w:sz w:val="20"/>
                <w:szCs w:val="20"/>
              </w:rPr>
              <w:t> </w:t>
            </w:r>
          </w:p>
        </w:tc>
      </w:tr>
    </w:tbl>
    <w:p w14:paraId="563DDE89" w14:textId="77777777" w:rsidR="00000000" w:rsidRDefault="009027A3">
      <w:pPr>
        <w:pStyle w:val="a3"/>
        <w:spacing w:before="0" w:beforeAutospacing="0" w:after="0" w:afterAutospacing="0"/>
        <w:jc w:val="both"/>
        <w:rPr>
          <w:color w:val="FF0000"/>
          <w:sz w:val="20"/>
          <w:szCs w:val="20"/>
        </w:rPr>
      </w:pPr>
      <w:r>
        <w:rPr>
          <w:color w:val="FF000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7C7F6584" w14:textId="77777777">
        <w:trPr>
          <w:tblCellSpacing w:w="0" w:type="dxa"/>
        </w:trPr>
        <w:tc>
          <w:tcPr>
            <w:tcW w:w="720" w:type="dxa"/>
            <w:hideMark/>
          </w:tcPr>
          <w:p w14:paraId="1E8F1326" w14:textId="77777777" w:rsidR="00000000" w:rsidRDefault="009027A3">
            <w:pPr>
              <w:rPr>
                <w:rFonts w:eastAsia="Times New Roman"/>
                <w:sz w:val="20"/>
                <w:szCs w:val="20"/>
              </w:rPr>
            </w:pPr>
            <w:r>
              <w:rPr>
                <w:rFonts w:eastAsia="Times New Roman"/>
                <w:b/>
                <w:bCs/>
                <w:sz w:val="20"/>
                <w:szCs w:val="20"/>
              </w:rPr>
              <w:t>14.</w:t>
            </w:r>
          </w:p>
        </w:tc>
        <w:tc>
          <w:tcPr>
            <w:tcW w:w="0" w:type="auto"/>
            <w:hideMark/>
          </w:tcPr>
          <w:p w14:paraId="71DE696D" w14:textId="77777777" w:rsidR="00000000" w:rsidRDefault="009027A3">
            <w:pPr>
              <w:rPr>
                <w:rFonts w:eastAsia="Times New Roman"/>
                <w:sz w:val="20"/>
                <w:szCs w:val="20"/>
              </w:rPr>
            </w:pPr>
            <w:r>
              <w:rPr>
                <w:rFonts w:eastAsia="Times New Roman"/>
                <w:b/>
                <w:bCs/>
                <w:sz w:val="20"/>
                <w:szCs w:val="20"/>
              </w:rPr>
              <w:t xml:space="preserve">SEGMENT REPORTING </w:t>
            </w:r>
          </w:p>
        </w:tc>
      </w:tr>
    </w:tbl>
    <w:p w14:paraId="3E6680F3" w14:textId="77777777" w:rsidR="00000000" w:rsidRDefault="009027A3">
      <w:pPr>
        <w:pStyle w:val="a3"/>
        <w:spacing w:before="0" w:beforeAutospacing="0" w:after="0" w:afterAutospacing="0"/>
        <w:ind w:left="475"/>
        <w:rPr>
          <w:sz w:val="20"/>
          <w:szCs w:val="20"/>
        </w:rPr>
      </w:pPr>
      <w:r>
        <w:rPr>
          <w:b/>
          <w:bCs/>
          <w:sz w:val="20"/>
          <w:szCs w:val="20"/>
        </w:rPr>
        <w:t> </w:t>
      </w:r>
    </w:p>
    <w:p w14:paraId="7D6DB7D3" w14:textId="77777777" w:rsidR="00000000" w:rsidRDefault="009027A3">
      <w:pPr>
        <w:pStyle w:val="a3"/>
        <w:spacing w:before="0" w:beforeAutospacing="0" w:after="0" w:afterAutospacing="0"/>
        <w:jc w:val="both"/>
        <w:rPr>
          <w:sz w:val="20"/>
          <w:szCs w:val="20"/>
        </w:rPr>
      </w:pPr>
      <w:r>
        <w:rPr>
          <w:sz w:val="20"/>
          <w:szCs w:val="20"/>
        </w:rPr>
        <w:t xml:space="preserve">Both </w:t>
      </w:r>
      <w:r>
        <w:rPr>
          <w:sz w:val="20"/>
          <w:szCs w:val="20"/>
        </w:rPr>
        <w:t>our Chief Executive Officer and Executive Chairman serve as the Chief Operating Decision Maker (“CODM”), organize the Company, manage resource allocations and measure performance among two operating and reportable segments: (i) Healthcare IT and (ii) Pract</w:t>
      </w:r>
      <w:r>
        <w:rPr>
          <w:sz w:val="20"/>
          <w:szCs w:val="20"/>
        </w:rPr>
        <w:t>ice Management.</w:t>
      </w:r>
    </w:p>
    <w:p w14:paraId="753219C7" w14:textId="77777777" w:rsidR="00000000" w:rsidRDefault="009027A3">
      <w:pPr>
        <w:pStyle w:val="a3"/>
        <w:spacing w:before="0" w:beforeAutospacing="0" w:after="0" w:afterAutospacing="0"/>
        <w:jc w:val="both"/>
        <w:rPr>
          <w:sz w:val="20"/>
          <w:szCs w:val="20"/>
        </w:rPr>
      </w:pPr>
      <w:r>
        <w:rPr>
          <w:sz w:val="20"/>
          <w:szCs w:val="20"/>
        </w:rPr>
        <w:t> </w:t>
      </w:r>
    </w:p>
    <w:p w14:paraId="1E13D883" w14:textId="77777777" w:rsidR="00000000" w:rsidRDefault="009027A3">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Practice Management segment includes the management of three medical practices. Each segment is considered a reporting unit. The CODM eval</w:t>
      </w:r>
      <w:r>
        <w:rPr>
          <w:sz w:val="20"/>
          <w:szCs w:val="20"/>
        </w:rPr>
        <w:t>uates financial performance of the business units on the basis of revenue and direct operating costs excluding unallocated amounts, which are mainly corporate overhead costs. Our CODM does not evaluate operating segments using asset or liability informatio</w:t>
      </w:r>
      <w:r>
        <w:rPr>
          <w:sz w:val="20"/>
          <w:szCs w:val="20"/>
        </w:rPr>
        <w:t>n. The accounting policies of the segments are the same as those disclosed in the Company’s Annual Report on Form 10-K for the year ended December 31, 2020 filed with the SEC on February 25, 2021. The following tables present revenues, operating expenses a</w:t>
      </w:r>
      <w:r>
        <w:rPr>
          <w:sz w:val="20"/>
          <w:szCs w:val="20"/>
        </w:rPr>
        <w:t>nd operating (loss) income by reportable segment:</w:t>
      </w:r>
    </w:p>
    <w:p w14:paraId="7A65DEB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2"/>
        <w:gridCol w:w="74"/>
        <w:gridCol w:w="101"/>
        <w:gridCol w:w="988"/>
        <w:gridCol w:w="74"/>
        <w:gridCol w:w="74"/>
        <w:gridCol w:w="101"/>
        <w:gridCol w:w="1035"/>
        <w:gridCol w:w="74"/>
        <w:gridCol w:w="74"/>
        <w:gridCol w:w="101"/>
        <w:gridCol w:w="988"/>
        <w:gridCol w:w="74"/>
        <w:gridCol w:w="74"/>
        <w:gridCol w:w="100"/>
        <w:gridCol w:w="988"/>
        <w:gridCol w:w="74"/>
      </w:tblGrid>
      <w:tr w:rsidR="00000000" w14:paraId="679F9811" w14:textId="77777777">
        <w:tc>
          <w:tcPr>
            <w:tcW w:w="0" w:type="auto"/>
            <w:vAlign w:val="bottom"/>
            <w:hideMark/>
          </w:tcPr>
          <w:p w14:paraId="311F3854"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5C0BA92" w14:textId="77777777" w:rsidR="00000000" w:rsidRDefault="009027A3">
            <w:pPr>
              <w:rPr>
                <w:rFonts w:eastAsia="Times New Roman"/>
                <w:b/>
                <w:bCs/>
                <w:sz w:val="20"/>
                <w:szCs w:val="20"/>
              </w:rPr>
            </w:pPr>
            <w:r>
              <w:rPr>
                <w:rFonts w:eastAsia="Times New Roman"/>
                <w:b/>
                <w:bCs/>
                <w:sz w:val="20"/>
                <w:szCs w:val="20"/>
              </w:rPr>
              <w:t> </w:t>
            </w:r>
          </w:p>
        </w:tc>
        <w:tc>
          <w:tcPr>
            <w:tcW w:w="0" w:type="auto"/>
            <w:gridSpan w:val="14"/>
            <w:vAlign w:val="bottom"/>
            <w:hideMark/>
          </w:tcPr>
          <w:p w14:paraId="1DC23487" w14:textId="77777777" w:rsidR="00000000" w:rsidRDefault="009027A3">
            <w:pPr>
              <w:jc w:val="center"/>
              <w:rPr>
                <w:rFonts w:eastAsia="Times New Roman"/>
                <w:b/>
                <w:bCs/>
                <w:sz w:val="20"/>
                <w:szCs w:val="20"/>
              </w:rPr>
            </w:pPr>
            <w:r>
              <w:rPr>
                <w:rFonts w:eastAsia="Times New Roman"/>
                <w:b/>
                <w:bCs/>
                <w:sz w:val="20"/>
                <w:szCs w:val="20"/>
              </w:rPr>
              <w:t>Three Months Ended March 31, 2021</w:t>
            </w:r>
          </w:p>
        </w:tc>
        <w:tc>
          <w:tcPr>
            <w:tcW w:w="0" w:type="auto"/>
            <w:vAlign w:val="bottom"/>
            <w:hideMark/>
          </w:tcPr>
          <w:p w14:paraId="3E65EF71" w14:textId="77777777" w:rsidR="00000000" w:rsidRDefault="009027A3">
            <w:pPr>
              <w:rPr>
                <w:rFonts w:eastAsia="Times New Roman"/>
                <w:b/>
                <w:bCs/>
                <w:sz w:val="20"/>
                <w:szCs w:val="20"/>
              </w:rPr>
            </w:pPr>
            <w:r>
              <w:rPr>
                <w:rFonts w:eastAsia="Times New Roman"/>
                <w:b/>
                <w:bCs/>
                <w:sz w:val="20"/>
                <w:szCs w:val="20"/>
              </w:rPr>
              <w:t> </w:t>
            </w:r>
          </w:p>
        </w:tc>
      </w:tr>
      <w:tr w:rsidR="00000000" w14:paraId="4BC036A3" w14:textId="77777777">
        <w:tc>
          <w:tcPr>
            <w:tcW w:w="0" w:type="auto"/>
            <w:vAlign w:val="bottom"/>
            <w:hideMark/>
          </w:tcPr>
          <w:p w14:paraId="7099B218"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522E77" w14:textId="77777777" w:rsidR="00000000" w:rsidRDefault="009027A3">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14:paraId="12CD6CDD" w14:textId="77777777" w:rsidR="00000000" w:rsidRDefault="009027A3">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6DD627C2" w14:textId="77777777" w:rsidR="00000000" w:rsidRDefault="009027A3">
            <w:pPr>
              <w:rPr>
                <w:rFonts w:eastAsia="Times New Roman"/>
                <w:sz w:val="20"/>
                <w:szCs w:val="20"/>
              </w:rPr>
            </w:pPr>
            <w:r>
              <w:rPr>
                <w:rFonts w:eastAsia="Times New Roman"/>
                <w:sz w:val="20"/>
                <w:szCs w:val="20"/>
              </w:rPr>
              <w:t> </w:t>
            </w:r>
          </w:p>
        </w:tc>
      </w:tr>
      <w:tr w:rsidR="00000000" w14:paraId="66360AE2" w14:textId="77777777">
        <w:tc>
          <w:tcPr>
            <w:tcW w:w="0" w:type="auto"/>
            <w:vAlign w:val="bottom"/>
            <w:hideMark/>
          </w:tcPr>
          <w:p w14:paraId="27FCDA1E"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486EA4"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C956D4" w14:textId="77777777" w:rsidR="00000000" w:rsidRDefault="009027A3">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4214E745"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F91D41"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DE422A1" w14:textId="77777777" w:rsidR="00000000" w:rsidRDefault="009027A3">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04113011"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26DAAC9"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3D93BE" w14:textId="77777777" w:rsidR="00000000" w:rsidRDefault="009027A3">
            <w:pPr>
              <w:pStyle w:val="a3"/>
              <w:spacing w:before="0" w:beforeAutospacing="0" w:after="0" w:afterAutospacing="0"/>
              <w:jc w:val="center"/>
              <w:rPr>
                <w:b/>
                <w:bCs/>
                <w:sz w:val="20"/>
                <w:szCs w:val="20"/>
              </w:rPr>
            </w:pPr>
            <w:r>
              <w:rPr>
                <w:b/>
                <w:bCs/>
                <w:sz w:val="20"/>
                <w:szCs w:val="20"/>
              </w:rPr>
              <w:t xml:space="preserve">Unallocated Corporate </w:t>
            </w:r>
          </w:p>
          <w:p w14:paraId="2959DF1B" w14:textId="77777777" w:rsidR="00000000" w:rsidRDefault="009027A3">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14:paraId="77D0C4AE"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16380E"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27139D8" w14:textId="77777777" w:rsidR="00000000" w:rsidRDefault="009027A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3CC4D542" w14:textId="77777777" w:rsidR="00000000" w:rsidRDefault="009027A3">
            <w:pPr>
              <w:rPr>
                <w:rFonts w:eastAsia="Times New Roman"/>
                <w:b/>
                <w:bCs/>
                <w:sz w:val="20"/>
                <w:szCs w:val="20"/>
              </w:rPr>
            </w:pPr>
            <w:r>
              <w:rPr>
                <w:rFonts w:eastAsia="Times New Roman"/>
                <w:b/>
                <w:bCs/>
                <w:sz w:val="20"/>
                <w:szCs w:val="20"/>
              </w:rPr>
              <w:t> </w:t>
            </w:r>
          </w:p>
        </w:tc>
      </w:tr>
      <w:tr w:rsidR="00000000" w14:paraId="2F426D62" w14:textId="77777777">
        <w:tc>
          <w:tcPr>
            <w:tcW w:w="2000" w:type="pct"/>
            <w:shd w:val="clear" w:color="auto" w:fill="CCEEFF"/>
            <w:vAlign w:val="bottom"/>
            <w:hideMark/>
          </w:tcPr>
          <w:p w14:paraId="424C6C00" w14:textId="77777777" w:rsidR="00000000" w:rsidRDefault="009027A3">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08D8050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46C7BF"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5069C62C" w14:textId="77777777" w:rsidR="00000000" w:rsidRDefault="009027A3">
            <w:pPr>
              <w:jc w:val="right"/>
              <w:rPr>
                <w:rFonts w:eastAsia="Times New Roman"/>
                <w:sz w:val="20"/>
                <w:szCs w:val="20"/>
              </w:rPr>
            </w:pPr>
            <w:r>
              <w:rPr>
                <w:rFonts w:eastAsia="Times New Roman"/>
                <w:sz w:val="20"/>
                <w:szCs w:val="20"/>
              </w:rPr>
              <w:t>27,033</w:t>
            </w:r>
          </w:p>
        </w:tc>
        <w:tc>
          <w:tcPr>
            <w:tcW w:w="50" w:type="pct"/>
            <w:shd w:val="clear" w:color="auto" w:fill="CCEEFF"/>
            <w:vAlign w:val="bottom"/>
            <w:hideMark/>
          </w:tcPr>
          <w:p w14:paraId="04E4736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2B319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198601"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536B7A5" w14:textId="77777777" w:rsidR="00000000" w:rsidRDefault="009027A3">
            <w:pPr>
              <w:jc w:val="right"/>
              <w:rPr>
                <w:rFonts w:eastAsia="Times New Roman"/>
                <w:sz w:val="20"/>
                <w:szCs w:val="20"/>
              </w:rPr>
            </w:pPr>
            <w:r>
              <w:rPr>
                <w:rFonts w:eastAsia="Times New Roman"/>
                <w:sz w:val="20"/>
                <w:szCs w:val="20"/>
              </w:rPr>
              <w:t>2,735</w:t>
            </w:r>
          </w:p>
        </w:tc>
        <w:tc>
          <w:tcPr>
            <w:tcW w:w="50" w:type="pct"/>
            <w:shd w:val="clear" w:color="auto" w:fill="CCEEFF"/>
            <w:vAlign w:val="bottom"/>
            <w:hideMark/>
          </w:tcPr>
          <w:p w14:paraId="6F300244"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D3D5EE"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C2BC3E"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75BC5383" w14:textId="77777777" w:rsidR="00000000" w:rsidRDefault="009027A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4DCC33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B2F1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895738"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78E3FA73" w14:textId="77777777" w:rsidR="00000000" w:rsidRDefault="009027A3">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14:paraId="5D0BF853" w14:textId="77777777" w:rsidR="00000000" w:rsidRDefault="009027A3">
            <w:pPr>
              <w:rPr>
                <w:rFonts w:eastAsia="Times New Roman"/>
                <w:sz w:val="20"/>
                <w:szCs w:val="20"/>
              </w:rPr>
            </w:pPr>
            <w:r>
              <w:rPr>
                <w:rFonts w:eastAsia="Times New Roman"/>
                <w:sz w:val="20"/>
                <w:szCs w:val="20"/>
              </w:rPr>
              <w:t> </w:t>
            </w:r>
          </w:p>
        </w:tc>
      </w:tr>
      <w:tr w:rsidR="00000000" w14:paraId="477746AD" w14:textId="77777777">
        <w:tc>
          <w:tcPr>
            <w:tcW w:w="0" w:type="auto"/>
            <w:shd w:val="clear" w:color="auto" w:fill="FFFFFF"/>
            <w:vAlign w:val="bottom"/>
            <w:hideMark/>
          </w:tcPr>
          <w:p w14:paraId="226B0B4A" w14:textId="77777777" w:rsidR="00000000" w:rsidRDefault="009027A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F9CE2A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1346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336126"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22EE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511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EE45A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F2064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E8CFD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ABF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6F6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C667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62EF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0F07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608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CB5FF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2CE5C4" w14:textId="77777777" w:rsidR="00000000" w:rsidRDefault="009027A3">
            <w:pPr>
              <w:rPr>
                <w:rFonts w:eastAsia="Times New Roman"/>
                <w:sz w:val="20"/>
                <w:szCs w:val="20"/>
              </w:rPr>
            </w:pPr>
            <w:r>
              <w:rPr>
                <w:rFonts w:eastAsia="Times New Roman"/>
                <w:sz w:val="20"/>
                <w:szCs w:val="20"/>
              </w:rPr>
              <w:t> </w:t>
            </w:r>
          </w:p>
        </w:tc>
      </w:tr>
      <w:tr w:rsidR="00000000" w14:paraId="5ED6303A" w14:textId="77777777">
        <w:tc>
          <w:tcPr>
            <w:tcW w:w="0" w:type="auto"/>
            <w:shd w:val="clear" w:color="auto" w:fill="CCEEFF"/>
            <w:tcMar>
              <w:top w:w="0" w:type="dxa"/>
              <w:left w:w="200" w:type="dxa"/>
              <w:bottom w:w="0" w:type="dxa"/>
              <w:right w:w="0" w:type="dxa"/>
            </w:tcMar>
            <w:vAlign w:val="bottom"/>
            <w:hideMark/>
          </w:tcPr>
          <w:p w14:paraId="45DF36B6" w14:textId="77777777" w:rsidR="00000000" w:rsidRDefault="009027A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1F42B21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8061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CF3884" w14:textId="77777777" w:rsidR="00000000" w:rsidRDefault="009027A3">
            <w:pPr>
              <w:jc w:val="right"/>
              <w:rPr>
                <w:rFonts w:eastAsia="Times New Roman"/>
                <w:sz w:val="20"/>
                <w:szCs w:val="20"/>
              </w:rPr>
            </w:pPr>
            <w:r>
              <w:rPr>
                <w:rFonts w:eastAsia="Times New Roman"/>
                <w:sz w:val="20"/>
                <w:szCs w:val="20"/>
              </w:rPr>
              <w:t>15,987</w:t>
            </w:r>
          </w:p>
        </w:tc>
        <w:tc>
          <w:tcPr>
            <w:tcW w:w="0" w:type="auto"/>
            <w:shd w:val="clear" w:color="auto" w:fill="CCEEFF"/>
            <w:vAlign w:val="bottom"/>
            <w:hideMark/>
          </w:tcPr>
          <w:p w14:paraId="1AB7D9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A0A6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E71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90CC4" w14:textId="77777777" w:rsidR="00000000" w:rsidRDefault="009027A3">
            <w:pPr>
              <w:jc w:val="right"/>
              <w:rPr>
                <w:rFonts w:eastAsia="Times New Roman"/>
                <w:sz w:val="20"/>
                <w:szCs w:val="20"/>
              </w:rPr>
            </w:pPr>
            <w:r>
              <w:rPr>
                <w:rFonts w:eastAsia="Times New Roman"/>
                <w:sz w:val="20"/>
                <w:szCs w:val="20"/>
              </w:rPr>
              <w:t>2,073</w:t>
            </w:r>
          </w:p>
        </w:tc>
        <w:tc>
          <w:tcPr>
            <w:tcW w:w="0" w:type="auto"/>
            <w:shd w:val="clear" w:color="auto" w:fill="CCEEFF"/>
            <w:vAlign w:val="bottom"/>
            <w:hideMark/>
          </w:tcPr>
          <w:p w14:paraId="66DBA3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4FF5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3C4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6248F"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4954E0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E3DD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7A49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2313C" w14:textId="77777777" w:rsidR="00000000" w:rsidRDefault="009027A3">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14:paraId="30D7B8B8" w14:textId="77777777" w:rsidR="00000000" w:rsidRDefault="009027A3">
            <w:pPr>
              <w:rPr>
                <w:rFonts w:eastAsia="Times New Roman"/>
                <w:sz w:val="20"/>
                <w:szCs w:val="20"/>
              </w:rPr>
            </w:pPr>
            <w:r>
              <w:rPr>
                <w:rFonts w:eastAsia="Times New Roman"/>
                <w:sz w:val="20"/>
                <w:szCs w:val="20"/>
              </w:rPr>
              <w:t> </w:t>
            </w:r>
          </w:p>
        </w:tc>
      </w:tr>
      <w:tr w:rsidR="00000000" w14:paraId="570304DA" w14:textId="77777777">
        <w:tc>
          <w:tcPr>
            <w:tcW w:w="0" w:type="auto"/>
            <w:shd w:val="clear" w:color="auto" w:fill="FFFFFF"/>
            <w:tcMar>
              <w:top w:w="0" w:type="dxa"/>
              <w:left w:w="200" w:type="dxa"/>
              <w:bottom w:w="0" w:type="dxa"/>
              <w:right w:w="0" w:type="dxa"/>
            </w:tcMar>
            <w:vAlign w:val="bottom"/>
            <w:hideMark/>
          </w:tcPr>
          <w:p w14:paraId="5A05028D"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0D3FC1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E0C3A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BF1ED6" w14:textId="77777777" w:rsidR="00000000" w:rsidRDefault="009027A3">
            <w:pPr>
              <w:jc w:val="right"/>
              <w:rPr>
                <w:rFonts w:eastAsia="Times New Roman"/>
                <w:sz w:val="20"/>
                <w:szCs w:val="20"/>
              </w:rPr>
            </w:pPr>
            <w:r>
              <w:rPr>
                <w:rFonts w:eastAsia="Times New Roman"/>
                <w:sz w:val="20"/>
                <w:szCs w:val="20"/>
              </w:rPr>
              <w:t>1,882</w:t>
            </w:r>
          </w:p>
        </w:tc>
        <w:tc>
          <w:tcPr>
            <w:tcW w:w="0" w:type="auto"/>
            <w:shd w:val="clear" w:color="auto" w:fill="FFFFFF"/>
            <w:vAlign w:val="bottom"/>
            <w:hideMark/>
          </w:tcPr>
          <w:p w14:paraId="6D0EB5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8032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E68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858FAC" w14:textId="77777777" w:rsidR="00000000" w:rsidRDefault="009027A3">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14:paraId="65E5B8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DDA9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9B5E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B42247"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93E2F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763F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81EA9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05062" w14:textId="77777777" w:rsidR="00000000" w:rsidRDefault="009027A3">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14:paraId="4AE890AC" w14:textId="77777777" w:rsidR="00000000" w:rsidRDefault="009027A3">
            <w:pPr>
              <w:rPr>
                <w:rFonts w:eastAsia="Times New Roman"/>
                <w:sz w:val="20"/>
                <w:szCs w:val="20"/>
              </w:rPr>
            </w:pPr>
            <w:r>
              <w:rPr>
                <w:rFonts w:eastAsia="Times New Roman"/>
                <w:sz w:val="20"/>
                <w:szCs w:val="20"/>
              </w:rPr>
              <w:t> </w:t>
            </w:r>
          </w:p>
        </w:tc>
      </w:tr>
      <w:tr w:rsidR="00000000" w14:paraId="7D1AE0BB" w14:textId="77777777">
        <w:tc>
          <w:tcPr>
            <w:tcW w:w="0" w:type="auto"/>
            <w:shd w:val="clear" w:color="auto" w:fill="CCEEFF"/>
            <w:tcMar>
              <w:top w:w="0" w:type="dxa"/>
              <w:left w:w="200" w:type="dxa"/>
              <w:bottom w:w="0" w:type="dxa"/>
              <w:right w:w="0" w:type="dxa"/>
            </w:tcMar>
            <w:vAlign w:val="bottom"/>
            <w:hideMark/>
          </w:tcPr>
          <w:p w14:paraId="29DE0E64"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46DADB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139C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26A90" w14:textId="77777777" w:rsidR="00000000" w:rsidRDefault="009027A3">
            <w:pPr>
              <w:jc w:val="right"/>
              <w:rPr>
                <w:rFonts w:eastAsia="Times New Roman"/>
                <w:sz w:val="20"/>
                <w:szCs w:val="20"/>
              </w:rPr>
            </w:pPr>
            <w:r>
              <w:rPr>
                <w:rFonts w:eastAsia="Times New Roman"/>
                <w:sz w:val="20"/>
                <w:szCs w:val="20"/>
              </w:rPr>
              <w:t>3,426</w:t>
            </w:r>
          </w:p>
        </w:tc>
        <w:tc>
          <w:tcPr>
            <w:tcW w:w="0" w:type="auto"/>
            <w:shd w:val="clear" w:color="auto" w:fill="CCEEFF"/>
            <w:vAlign w:val="bottom"/>
            <w:hideMark/>
          </w:tcPr>
          <w:p w14:paraId="7C6F023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B49AA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9E963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5C519" w14:textId="77777777" w:rsidR="00000000" w:rsidRDefault="009027A3">
            <w:pPr>
              <w:jc w:val="right"/>
              <w:rPr>
                <w:rFonts w:eastAsia="Times New Roman"/>
                <w:sz w:val="20"/>
                <w:szCs w:val="20"/>
              </w:rPr>
            </w:pPr>
            <w:r>
              <w:rPr>
                <w:rFonts w:eastAsia="Times New Roman"/>
                <w:sz w:val="20"/>
                <w:szCs w:val="20"/>
              </w:rPr>
              <w:t>520</w:t>
            </w:r>
          </w:p>
        </w:tc>
        <w:tc>
          <w:tcPr>
            <w:tcW w:w="0" w:type="auto"/>
            <w:shd w:val="clear" w:color="auto" w:fill="CCEEFF"/>
            <w:vAlign w:val="bottom"/>
            <w:hideMark/>
          </w:tcPr>
          <w:p w14:paraId="459739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039C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4E8A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DF6FC" w14:textId="77777777" w:rsidR="00000000" w:rsidRDefault="009027A3">
            <w:pPr>
              <w:jc w:val="right"/>
              <w:rPr>
                <w:rFonts w:eastAsia="Times New Roman"/>
                <w:sz w:val="20"/>
                <w:szCs w:val="20"/>
              </w:rPr>
            </w:pPr>
            <w:r>
              <w:rPr>
                <w:rFonts w:eastAsia="Times New Roman"/>
                <w:sz w:val="20"/>
                <w:szCs w:val="20"/>
              </w:rPr>
              <w:t>1,678</w:t>
            </w:r>
          </w:p>
        </w:tc>
        <w:tc>
          <w:tcPr>
            <w:tcW w:w="0" w:type="auto"/>
            <w:shd w:val="clear" w:color="auto" w:fill="CCEEFF"/>
            <w:vAlign w:val="bottom"/>
            <w:hideMark/>
          </w:tcPr>
          <w:p w14:paraId="6B88CA6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8EB3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F480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397FF" w14:textId="77777777" w:rsidR="00000000" w:rsidRDefault="009027A3">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14:paraId="7F4B0C11" w14:textId="77777777" w:rsidR="00000000" w:rsidRDefault="009027A3">
            <w:pPr>
              <w:rPr>
                <w:rFonts w:eastAsia="Times New Roman"/>
                <w:sz w:val="20"/>
                <w:szCs w:val="20"/>
              </w:rPr>
            </w:pPr>
            <w:r>
              <w:rPr>
                <w:rFonts w:eastAsia="Times New Roman"/>
                <w:sz w:val="20"/>
                <w:szCs w:val="20"/>
              </w:rPr>
              <w:t> </w:t>
            </w:r>
          </w:p>
        </w:tc>
      </w:tr>
      <w:tr w:rsidR="00000000" w14:paraId="588E6A16" w14:textId="77777777">
        <w:tc>
          <w:tcPr>
            <w:tcW w:w="0" w:type="auto"/>
            <w:shd w:val="clear" w:color="auto" w:fill="FFFFFF"/>
            <w:tcMar>
              <w:top w:w="0" w:type="dxa"/>
              <w:left w:w="200" w:type="dxa"/>
              <w:bottom w:w="0" w:type="dxa"/>
              <w:right w:w="0" w:type="dxa"/>
            </w:tcMar>
            <w:vAlign w:val="bottom"/>
            <w:hideMark/>
          </w:tcPr>
          <w:p w14:paraId="0B2C702E"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42D84D2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3E2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7F759" w14:textId="77777777" w:rsidR="00000000" w:rsidRDefault="009027A3">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14:paraId="3608D1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6CF4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DB32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EEF54"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A055A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22C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86B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F17FE5"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C43EF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094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095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60901" w14:textId="77777777" w:rsidR="00000000" w:rsidRDefault="009027A3">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14:paraId="4BB42223" w14:textId="77777777" w:rsidR="00000000" w:rsidRDefault="009027A3">
            <w:pPr>
              <w:rPr>
                <w:rFonts w:eastAsia="Times New Roman"/>
                <w:sz w:val="20"/>
                <w:szCs w:val="20"/>
              </w:rPr>
            </w:pPr>
            <w:r>
              <w:rPr>
                <w:rFonts w:eastAsia="Times New Roman"/>
                <w:sz w:val="20"/>
                <w:szCs w:val="20"/>
              </w:rPr>
              <w:t> </w:t>
            </w:r>
          </w:p>
        </w:tc>
      </w:tr>
      <w:tr w:rsidR="00000000" w14:paraId="305FB5D8" w14:textId="77777777">
        <w:tc>
          <w:tcPr>
            <w:tcW w:w="0" w:type="auto"/>
            <w:shd w:val="clear" w:color="auto" w:fill="CCEEFF"/>
            <w:tcMar>
              <w:top w:w="0" w:type="dxa"/>
              <w:left w:w="200" w:type="dxa"/>
              <w:bottom w:w="0" w:type="dxa"/>
              <w:right w:w="0" w:type="dxa"/>
            </w:tcMar>
            <w:vAlign w:val="bottom"/>
            <w:hideMark/>
          </w:tcPr>
          <w:p w14:paraId="6A88B1DF"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191C96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F017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7E5EF" w14:textId="77777777" w:rsidR="00000000" w:rsidRDefault="009027A3">
            <w:pPr>
              <w:jc w:val="right"/>
              <w:rPr>
                <w:rFonts w:eastAsia="Times New Roman"/>
                <w:sz w:val="20"/>
                <w:szCs w:val="20"/>
              </w:rPr>
            </w:pPr>
            <w:r>
              <w:rPr>
                <w:rFonts w:eastAsia="Times New Roman"/>
                <w:sz w:val="20"/>
                <w:szCs w:val="20"/>
              </w:rPr>
              <w:t>2,749</w:t>
            </w:r>
          </w:p>
        </w:tc>
        <w:tc>
          <w:tcPr>
            <w:tcW w:w="0" w:type="auto"/>
            <w:shd w:val="clear" w:color="auto" w:fill="CCEEFF"/>
            <w:vAlign w:val="bottom"/>
            <w:hideMark/>
          </w:tcPr>
          <w:p w14:paraId="6ABCC22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2866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AE4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DD0FC" w14:textId="77777777" w:rsidR="00000000" w:rsidRDefault="009027A3">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14:paraId="2D8701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F4D3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167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5FE7F"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E1271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4F50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98B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89C84" w14:textId="77777777" w:rsidR="00000000" w:rsidRDefault="009027A3">
            <w:pPr>
              <w:jc w:val="right"/>
              <w:rPr>
                <w:rFonts w:eastAsia="Times New Roman"/>
                <w:sz w:val="20"/>
                <w:szCs w:val="20"/>
              </w:rPr>
            </w:pPr>
            <w:r>
              <w:rPr>
                <w:rFonts w:eastAsia="Times New Roman"/>
                <w:sz w:val="20"/>
                <w:szCs w:val="20"/>
              </w:rPr>
              <w:t>2,831</w:t>
            </w:r>
          </w:p>
        </w:tc>
        <w:tc>
          <w:tcPr>
            <w:tcW w:w="0" w:type="auto"/>
            <w:shd w:val="clear" w:color="auto" w:fill="CCEEFF"/>
            <w:vAlign w:val="bottom"/>
            <w:hideMark/>
          </w:tcPr>
          <w:p w14:paraId="0DA93B97" w14:textId="77777777" w:rsidR="00000000" w:rsidRDefault="009027A3">
            <w:pPr>
              <w:rPr>
                <w:rFonts w:eastAsia="Times New Roman"/>
                <w:sz w:val="20"/>
                <w:szCs w:val="20"/>
              </w:rPr>
            </w:pPr>
            <w:r>
              <w:rPr>
                <w:rFonts w:eastAsia="Times New Roman"/>
                <w:sz w:val="20"/>
                <w:szCs w:val="20"/>
              </w:rPr>
              <w:t> </w:t>
            </w:r>
          </w:p>
        </w:tc>
      </w:tr>
      <w:tr w:rsidR="00000000" w14:paraId="3F4158EE" w14:textId="77777777">
        <w:tc>
          <w:tcPr>
            <w:tcW w:w="0" w:type="auto"/>
            <w:shd w:val="clear" w:color="auto" w:fill="FFFFFF"/>
            <w:tcMar>
              <w:top w:w="0" w:type="dxa"/>
              <w:left w:w="200" w:type="dxa"/>
              <w:bottom w:w="30" w:type="dxa"/>
              <w:right w:w="0" w:type="dxa"/>
            </w:tcMar>
            <w:vAlign w:val="bottom"/>
            <w:hideMark/>
          </w:tcPr>
          <w:p w14:paraId="62CFFCD4"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6023374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0D0FC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228BAD"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14:paraId="6A552B8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0740FB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8CD83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4FC146"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3B667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7B1829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EBE08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1176AF"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402D0B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B0EF99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8902C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3C2A43"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14:paraId="2E2E3F5B" w14:textId="77777777" w:rsidR="00000000" w:rsidRDefault="009027A3">
            <w:pPr>
              <w:rPr>
                <w:rFonts w:eastAsia="Times New Roman"/>
                <w:sz w:val="20"/>
                <w:szCs w:val="20"/>
              </w:rPr>
            </w:pPr>
            <w:r>
              <w:rPr>
                <w:rFonts w:eastAsia="Times New Roman"/>
                <w:sz w:val="20"/>
                <w:szCs w:val="20"/>
              </w:rPr>
              <w:t> </w:t>
            </w:r>
          </w:p>
        </w:tc>
      </w:tr>
      <w:tr w:rsidR="00000000" w14:paraId="0295ED9E" w14:textId="77777777">
        <w:tc>
          <w:tcPr>
            <w:tcW w:w="0" w:type="auto"/>
            <w:shd w:val="clear" w:color="auto" w:fill="CCEEFF"/>
            <w:tcMar>
              <w:top w:w="0" w:type="dxa"/>
              <w:left w:w="400" w:type="dxa"/>
              <w:bottom w:w="30" w:type="dxa"/>
              <w:right w:w="0" w:type="dxa"/>
            </w:tcMar>
            <w:vAlign w:val="bottom"/>
            <w:hideMark/>
          </w:tcPr>
          <w:p w14:paraId="48FD7841" w14:textId="77777777" w:rsidR="00000000" w:rsidRDefault="009027A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3EFB2EA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38A83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9AE628" w14:textId="77777777" w:rsidR="00000000" w:rsidRDefault="009027A3">
            <w:pPr>
              <w:jc w:val="right"/>
              <w:rPr>
                <w:rFonts w:eastAsia="Times New Roman"/>
                <w:sz w:val="20"/>
                <w:szCs w:val="20"/>
              </w:rPr>
            </w:pPr>
            <w:r>
              <w:rPr>
                <w:rFonts w:eastAsia="Times New Roman"/>
                <w:sz w:val="20"/>
                <w:szCs w:val="20"/>
              </w:rPr>
              <w:t>27,088</w:t>
            </w:r>
          </w:p>
        </w:tc>
        <w:tc>
          <w:tcPr>
            <w:tcW w:w="0" w:type="auto"/>
            <w:shd w:val="clear" w:color="auto" w:fill="CCEEFF"/>
            <w:tcMar>
              <w:top w:w="0" w:type="dxa"/>
              <w:left w:w="0" w:type="dxa"/>
              <w:bottom w:w="30" w:type="dxa"/>
              <w:right w:w="0" w:type="dxa"/>
            </w:tcMar>
            <w:vAlign w:val="bottom"/>
            <w:hideMark/>
          </w:tcPr>
          <w:p w14:paraId="367C56A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B14775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33336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48A8E0" w14:textId="77777777" w:rsidR="00000000" w:rsidRDefault="009027A3">
            <w:pPr>
              <w:jc w:val="right"/>
              <w:rPr>
                <w:rFonts w:eastAsia="Times New Roman"/>
                <w:sz w:val="20"/>
                <w:szCs w:val="20"/>
              </w:rPr>
            </w:pPr>
            <w:r>
              <w:rPr>
                <w:rFonts w:eastAsia="Times New Roman"/>
                <w:sz w:val="20"/>
                <w:szCs w:val="20"/>
              </w:rPr>
              <w:t>2,683</w:t>
            </w:r>
          </w:p>
        </w:tc>
        <w:tc>
          <w:tcPr>
            <w:tcW w:w="0" w:type="auto"/>
            <w:shd w:val="clear" w:color="auto" w:fill="CCEEFF"/>
            <w:tcMar>
              <w:top w:w="0" w:type="dxa"/>
              <w:left w:w="0" w:type="dxa"/>
              <w:bottom w:w="30" w:type="dxa"/>
              <w:right w:w="0" w:type="dxa"/>
            </w:tcMar>
            <w:vAlign w:val="bottom"/>
            <w:hideMark/>
          </w:tcPr>
          <w:p w14:paraId="1C836F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9639C9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7B971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600A6D" w14:textId="77777777" w:rsidR="00000000" w:rsidRDefault="009027A3">
            <w:pPr>
              <w:jc w:val="right"/>
              <w:rPr>
                <w:rFonts w:eastAsia="Times New Roman"/>
                <w:sz w:val="20"/>
                <w:szCs w:val="20"/>
              </w:rPr>
            </w:pPr>
            <w:r>
              <w:rPr>
                <w:rFonts w:eastAsia="Times New Roman"/>
                <w:sz w:val="20"/>
                <w:szCs w:val="20"/>
              </w:rPr>
              <w:t>1,678</w:t>
            </w:r>
          </w:p>
        </w:tc>
        <w:tc>
          <w:tcPr>
            <w:tcW w:w="0" w:type="auto"/>
            <w:shd w:val="clear" w:color="auto" w:fill="CCEEFF"/>
            <w:tcMar>
              <w:top w:w="0" w:type="dxa"/>
              <w:left w:w="0" w:type="dxa"/>
              <w:bottom w:w="30" w:type="dxa"/>
              <w:right w:w="0" w:type="dxa"/>
            </w:tcMar>
            <w:vAlign w:val="bottom"/>
            <w:hideMark/>
          </w:tcPr>
          <w:p w14:paraId="447CAC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F546F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B12B9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E2AF1A" w14:textId="77777777" w:rsidR="00000000" w:rsidRDefault="009027A3">
            <w:pPr>
              <w:jc w:val="right"/>
              <w:rPr>
                <w:rFonts w:eastAsia="Times New Roman"/>
                <w:sz w:val="20"/>
                <w:szCs w:val="20"/>
              </w:rPr>
            </w:pPr>
            <w:r>
              <w:rPr>
                <w:rFonts w:eastAsia="Times New Roman"/>
                <w:sz w:val="20"/>
                <w:szCs w:val="20"/>
              </w:rPr>
              <w:t>31,449</w:t>
            </w:r>
          </w:p>
        </w:tc>
        <w:tc>
          <w:tcPr>
            <w:tcW w:w="0" w:type="auto"/>
            <w:shd w:val="clear" w:color="auto" w:fill="CCEEFF"/>
            <w:tcMar>
              <w:top w:w="0" w:type="dxa"/>
              <w:left w:w="0" w:type="dxa"/>
              <w:bottom w:w="30" w:type="dxa"/>
              <w:right w:w="0" w:type="dxa"/>
            </w:tcMar>
            <w:vAlign w:val="bottom"/>
            <w:hideMark/>
          </w:tcPr>
          <w:p w14:paraId="6B645175" w14:textId="77777777" w:rsidR="00000000" w:rsidRDefault="009027A3">
            <w:pPr>
              <w:rPr>
                <w:rFonts w:eastAsia="Times New Roman"/>
                <w:sz w:val="20"/>
                <w:szCs w:val="20"/>
              </w:rPr>
            </w:pPr>
            <w:r>
              <w:rPr>
                <w:rFonts w:eastAsia="Times New Roman"/>
                <w:sz w:val="20"/>
                <w:szCs w:val="20"/>
              </w:rPr>
              <w:t> </w:t>
            </w:r>
          </w:p>
        </w:tc>
      </w:tr>
      <w:tr w:rsidR="00000000" w14:paraId="25D32F08" w14:textId="77777777">
        <w:tc>
          <w:tcPr>
            <w:tcW w:w="0" w:type="auto"/>
            <w:shd w:val="clear" w:color="auto" w:fill="FFFFFF"/>
            <w:tcMar>
              <w:top w:w="0" w:type="dxa"/>
              <w:left w:w="0" w:type="dxa"/>
              <w:bottom w:w="50" w:type="dxa"/>
              <w:right w:w="0" w:type="dxa"/>
            </w:tcMar>
            <w:vAlign w:val="bottom"/>
            <w:hideMark/>
          </w:tcPr>
          <w:p w14:paraId="4CC98078" w14:textId="77777777" w:rsidR="00000000" w:rsidRDefault="009027A3">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14:paraId="69524CA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5541B22"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A1A71D" w14:textId="77777777" w:rsidR="00000000" w:rsidRDefault="009027A3">
            <w:pPr>
              <w:jc w:val="right"/>
              <w:rPr>
                <w:rFonts w:eastAsia="Times New Roman"/>
                <w:sz w:val="20"/>
                <w:szCs w:val="20"/>
              </w:rPr>
            </w:pPr>
            <w:r>
              <w:rPr>
                <w:rFonts w:eastAsia="Times New Roman"/>
                <w:sz w:val="20"/>
                <w:szCs w:val="20"/>
              </w:rPr>
              <w:t>(55</w:t>
            </w:r>
          </w:p>
        </w:tc>
        <w:tc>
          <w:tcPr>
            <w:tcW w:w="0" w:type="auto"/>
            <w:shd w:val="clear" w:color="auto" w:fill="FFFFFF"/>
            <w:tcMar>
              <w:top w:w="0" w:type="dxa"/>
              <w:left w:w="0" w:type="dxa"/>
              <w:bottom w:w="50" w:type="dxa"/>
              <w:right w:w="0" w:type="dxa"/>
            </w:tcMar>
            <w:vAlign w:val="bottom"/>
            <w:hideMark/>
          </w:tcPr>
          <w:p w14:paraId="1294F37B"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74D776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1EA42F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318FA4B" w14:textId="77777777" w:rsidR="00000000" w:rsidRDefault="009027A3">
            <w:pPr>
              <w:jc w:val="right"/>
              <w:rPr>
                <w:rFonts w:eastAsia="Times New Roman"/>
                <w:sz w:val="20"/>
                <w:szCs w:val="20"/>
              </w:rPr>
            </w:pPr>
            <w:r>
              <w:rPr>
                <w:rFonts w:eastAsia="Times New Roman"/>
                <w:sz w:val="20"/>
                <w:szCs w:val="20"/>
              </w:rPr>
              <w:t>52</w:t>
            </w:r>
          </w:p>
        </w:tc>
        <w:tc>
          <w:tcPr>
            <w:tcW w:w="0" w:type="auto"/>
            <w:shd w:val="clear" w:color="auto" w:fill="FFFFFF"/>
            <w:tcMar>
              <w:top w:w="0" w:type="dxa"/>
              <w:left w:w="0" w:type="dxa"/>
              <w:bottom w:w="50" w:type="dxa"/>
              <w:right w:w="0" w:type="dxa"/>
            </w:tcMar>
            <w:vAlign w:val="bottom"/>
            <w:hideMark/>
          </w:tcPr>
          <w:p w14:paraId="3046D80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8D9602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4A7E14"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D38ACC" w14:textId="77777777" w:rsidR="00000000" w:rsidRDefault="009027A3">
            <w:pPr>
              <w:jc w:val="right"/>
              <w:rPr>
                <w:rFonts w:eastAsia="Times New Roman"/>
                <w:sz w:val="20"/>
                <w:szCs w:val="20"/>
              </w:rPr>
            </w:pPr>
            <w:r>
              <w:rPr>
                <w:rFonts w:eastAsia="Times New Roman"/>
                <w:sz w:val="20"/>
                <w:szCs w:val="20"/>
              </w:rPr>
              <w:t>(1,678</w:t>
            </w:r>
          </w:p>
        </w:tc>
        <w:tc>
          <w:tcPr>
            <w:tcW w:w="0" w:type="auto"/>
            <w:shd w:val="clear" w:color="auto" w:fill="FFFFFF"/>
            <w:tcMar>
              <w:top w:w="0" w:type="dxa"/>
              <w:left w:w="0" w:type="dxa"/>
              <w:bottom w:w="50" w:type="dxa"/>
              <w:right w:w="0" w:type="dxa"/>
            </w:tcMar>
            <w:vAlign w:val="bottom"/>
            <w:hideMark/>
          </w:tcPr>
          <w:p w14:paraId="6880A387"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A0E4FB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14882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B913BE" w14:textId="77777777" w:rsidR="00000000" w:rsidRDefault="009027A3">
            <w:pPr>
              <w:jc w:val="right"/>
              <w:rPr>
                <w:rFonts w:eastAsia="Times New Roman"/>
                <w:sz w:val="20"/>
                <w:szCs w:val="20"/>
              </w:rPr>
            </w:pPr>
            <w:r>
              <w:rPr>
                <w:rFonts w:eastAsia="Times New Roman"/>
                <w:sz w:val="20"/>
                <w:szCs w:val="20"/>
              </w:rPr>
              <w:t>(1,681</w:t>
            </w:r>
          </w:p>
        </w:tc>
        <w:tc>
          <w:tcPr>
            <w:tcW w:w="0" w:type="auto"/>
            <w:shd w:val="clear" w:color="auto" w:fill="FFFFFF"/>
            <w:tcMar>
              <w:top w:w="0" w:type="dxa"/>
              <w:left w:w="0" w:type="dxa"/>
              <w:bottom w:w="50" w:type="dxa"/>
              <w:right w:w="0" w:type="dxa"/>
            </w:tcMar>
            <w:vAlign w:val="bottom"/>
            <w:hideMark/>
          </w:tcPr>
          <w:p w14:paraId="1F37415C" w14:textId="77777777" w:rsidR="00000000" w:rsidRDefault="009027A3">
            <w:pPr>
              <w:rPr>
                <w:rFonts w:eastAsia="Times New Roman"/>
                <w:sz w:val="20"/>
                <w:szCs w:val="20"/>
              </w:rPr>
            </w:pPr>
            <w:r>
              <w:rPr>
                <w:rFonts w:eastAsia="Times New Roman"/>
                <w:sz w:val="20"/>
                <w:szCs w:val="20"/>
              </w:rPr>
              <w:t>)</w:t>
            </w:r>
          </w:p>
        </w:tc>
      </w:tr>
    </w:tbl>
    <w:p w14:paraId="31BFF9C2" w14:textId="77777777" w:rsidR="00000000" w:rsidRDefault="009027A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22AC646" w14:textId="77777777">
        <w:trPr>
          <w:divId w:val="530873403"/>
        </w:trPr>
        <w:tc>
          <w:tcPr>
            <w:tcW w:w="5000" w:type="pct"/>
            <w:hideMark/>
          </w:tcPr>
          <w:p w14:paraId="2CDD55A1"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9C98A8D" w14:textId="77777777">
        <w:tc>
          <w:tcPr>
            <w:tcW w:w="5000" w:type="pct"/>
            <w:hideMark/>
          </w:tcPr>
          <w:p w14:paraId="7E053B86" w14:textId="77777777" w:rsidR="00000000" w:rsidRDefault="009027A3">
            <w:pPr>
              <w:rPr>
                <w:rFonts w:eastAsia="Times New Roman"/>
                <w:sz w:val="20"/>
                <w:szCs w:val="20"/>
              </w:rPr>
            </w:pPr>
            <w:r>
              <w:rPr>
                <w:rFonts w:eastAsia="Times New Roman"/>
                <w:sz w:val="20"/>
                <w:szCs w:val="20"/>
              </w:rPr>
              <w:t> </w:t>
            </w:r>
          </w:p>
        </w:tc>
      </w:tr>
    </w:tbl>
    <w:p w14:paraId="33D51B44" w14:textId="77777777" w:rsidR="00000000" w:rsidRDefault="009027A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312"/>
        <w:gridCol w:w="74"/>
        <w:gridCol w:w="101"/>
        <w:gridCol w:w="988"/>
        <w:gridCol w:w="74"/>
        <w:gridCol w:w="74"/>
        <w:gridCol w:w="101"/>
        <w:gridCol w:w="1035"/>
        <w:gridCol w:w="74"/>
        <w:gridCol w:w="74"/>
        <w:gridCol w:w="101"/>
        <w:gridCol w:w="988"/>
        <w:gridCol w:w="74"/>
        <w:gridCol w:w="74"/>
        <w:gridCol w:w="100"/>
        <w:gridCol w:w="988"/>
        <w:gridCol w:w="74"/>
      </w:tblGrid>
      <w:tr w:rsidR="00000000" w14:paraId="62495710" w14:textId="77777777">
        <w:tc>
          <w:tcPr>
            <w:tcW w:w="0" w:type="auto"/>
            <w:vAlign w:val="bottom"/>
            <w:hideMark/>
          </w:tcPr>
          <w:p w14:paraId="1183C397"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06F34110" w14:textId="77777777" w:rsidR="00000000" w:rsidRDefault="009027A3">
            <w:pPr>
              <w:rPr>
                <w:rFonts w:eastAsia="Times New Roman"/>
                <w:b/>
                <w:bCs/>
                <w:sz w:val="20"/>
                <w:szCs w:val="20"/>
              </w:rPr>
            </w:pPr>
            <w:r>
              <w:rPr>
                <w:rFonts w:eastAsia="Times New Roman"/>
                <w:b/>
                <w:bCs/>
                <w:sz w:val="20"/>
                <w:szCs w:val="20"/>
              </w:rPr>
              <w:t> </w:t>
            </w:r>
          </w:p>
        </w:tc>
        <w:tc>
          <w:tcPr>
            <w:tcW w:w="0" w:type="auto"/>
            <w:gridSpan w:val="14"/>
            <w:vAlign w:val="bottom"/>
            <w:hideMark/>
          </w:tcPr>
          <w:p w14:paraId="3D13C80C" w14:textId="77777777" w:rsidR="00000000" w:rsidRDefault="009027A3">
            <w:pPr>
              <w:jc w:val="center"/>
              <w:rPr>
                <w:rFonts w:eastAsia="Times New Roman"/>
                <w:b/>
                <w:bCs/>
                <w:sz w:val="20"/>
                <w:szCs w:val="20"/>
              </w:rPr>
            </w:pPr>
            <w:r>
              <w:rPr>
                <w:rFonts w:eastAsia="Times New Roman"/>
                <w:b/>
                <w:bCs/>
                <w:sz w:val="20"/>
                <w:szCs w:val="20"/>
              </w:rPr>
              <w:t>Three Months Ended March 31, 2020</w:t>
            </w:r>
          </w:p>
        </w:tc>
        <w:tc>
          <w:tcPr>
            <w:tcW w:w="0" w:type="auto"/>
            <w:vAlign w:val="bottom"/>
            <w:hideMark/>
          </w:tcPr>
          <w:p w14:paraId="3AEE47E8" w14:textId="77777777" w:rsidR="00000000" w:rsidRDefault="009027A3">
            <w:pPr>
              <w:rPr>
                <w:rFonts w:eastAsia="Times New Roman"/>
                <w:b/>
                <w:bCs/>
                <w:sz w:val="20"/>
                <w:szCs w:val="20"/>
              </w:rPr>
            </w:pPr>
            <w:r>
              <w:rPr>
                <w:rFonts w:eastAsia="Times New Roman"/>
                <w:b/>
                <w:bCs/>
                <w:sz w:val="20"/>
                <w:szCs w:val="20"/>
              </w:rPr>
              <w:t> </w:t>
            </w:r>
          </w:p>
        </w:tc>
      </w:tr>
      <w:tr w:rsidR="00000000" w14:paraId="6E54EE1F" w14:textId="77777777">
        <w:tc>
          <w:tcPr>
            <w:tcW w:w="0" w:type="auto"/>
            <w:vAlign w:val="bottom"/>
            <w:hideMark/>
          </w:tcPr>
          <w:p w14:paraId="329DDB1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EB4990" w14:textId="77777777" w:rsidR="00000000" w:rsidRDefault="009027A3">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14:paraId="19720057" w14:textId="77777777" w:rsidR="00000000" w:rsidRDefault="009027A3">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4583DA27" w14:textId="77777777" w:rsidR="00000000" w:rsidRDefault="009027A3">
            <w:pPr>
              <w:rPr>
                <w:rFonts w:eastAsia="Times New Roman"/>
                <w:sz w:val="20"/>
                <w:szCs w:val="20"/>
              </w:rPr>
            </w:pPr>
            <w:r>
              <w:rPr>
                <w:rFonts w:eastAsia="Times New Roman"/>
                <w:sz w:val="20"/>
                <w:szCs w:val="20"/>
              </w:rPr>
              <w:t> </w:t>
            </w:r>
          </w:p>
        </w:tc>
      </w:tr>
      <w:tr w:rsidR="00000000" w14:paraId="009151A5" w14:textId="77777777">
        <w:tc>
          <w:tcPr>
            <w:tcW w:w="0" w:type="auto"/>
            <w:tcMar>
              <w:top w:w="0" w:type="dxa"/>
              <w:left w:w="0" w:type="dxa"/>
              <w:bottom w:w="30" w:type="dxa"/>
              <w:right w:w="0" w:type="dxa"/>
            </w:tcMar>
            <w:vAlign w:val="bottom"/>
            <w:hideMark/>
          </w:tcPr>
          <w:p w14:paraId="4B4000F0"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170E3C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DE6AE3" w14:textId="77777777" w:rsidR="00000000" w:rsidRDefault="009027A3">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79B73F08"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FA1B6F"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FB18CF" w14:textId="77777777" w:rsidR="00000000" w:rsidRDefault="009027A3">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49F3B2D6"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209C54"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19FB29" w14:textId="77777777" w:rsidR="00000000" w:rsidRDefault="009027A3">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14:paraId="52C53A05"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4FC1D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CBF76C" w14:textId="77777777" w:rsidR="00000000" w:rsidRDefault="009027A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0CDFCB92" w14:textId="77777777" w:rsidR="00000000" w:rsidRDefault="009027A3">
            <w:pPr>
              <w:rPr>
                <w:rFonts w:eastAsia="Times New Roman"/>
                <w:b/>
                <w:bCs/>
                <w:sz w:val="20"/>
                <w:szCs w:val="20"/>
              </w:rPr>
            </w:pPr>
            <w:r>
              <w:rPr>
                <w:rFonts w:eastAsia="Times New Roman"/>
                <w:b/>
                <w:bCs/>
                <w:sz w:val="20"/>
                <w:szCs w:val="20"/>
              </w:rPr>
              <w:t> </w:t>
            </w:r>
          </w:p>
        </w:tc>
      </w:tr>
      <w:tr w:rsidR="00000000" w14:paraId="1F7C66FF" w14:textId="77777777">
        <w:tc>
          <w:tcPr>
            <w:tcW w:w="2000" w:type="pct"/>
            <w:shd w:val="clear" w:color="auto" w:fill="CCEEFF"/>
            <w:vAlign w:val="bottom"/>
            <w:hideMark/>
          </w:tcPr>
          <w:p w14:paraId="61F5E3DB" w14:textId="77777777" w:rsidR="00000000" w:rsidRDefault="009027A3">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31333C4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9B3393"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7E165D73" w14:textId="77777777" w:rsidR="00000000" w:rsidRDefault="009027A3">
            <w:pPr>
              <w:jc w:val="right"/>
              <w:rPr>
                <w:rFonts w:eastAsia="Times New Roman"/>
                <w:sz w:val="20"/>
                <w:szCs w:val="20"/>
              </w:rPr>
            </w:pPr>
            <w:r>
              <w:rPr>
                <w:rFonts w:eastAsia="Times New Roman"/>
                <w:sz w:val="20"/>
                <w:szCs w:val="20"/>
              </w:rPr>
              <w:t>18,841</w:t>
            </w:r>
          </w:p>
        </w:tc>
        <w:tc>
          <w:tcPr>
            <w:tcW w:w="50" w:type="pct"/>
            <w:shd w:val="clear" w:color="auto" w:fill="CCEEFF"/>
            <w:vAlign w:val="bottom"/>
            <w:hideMark/>
          </w:tcPr>
          <w:p w14:paraId="3B0BF6D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089B7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40575B"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2D6409F6" w14:textId="77777777" w:rsidR="00000000" w:rsidRDefault="009027A3">
            <w:pPr>
              <w:jc w:val="right"/>
              <w:rPr>
                <w:rFonts w:eastAsia="Times New Roman"/>
                <w:sz w:val="20"/>
                <w:szCs w:val="20"/>
              </w:rPr>
            </w:pPr>
            <w:r>
              <w:rPr>
                <w:rFonts w:eastAsia="Times New Roman"/>
                <w:sz w:val="20"/>
                <w:szCs w:val="20"/>
              </w:rPr>
              <w:t>3,026</w:t>
            </w:r>
          </w:p>
        </w:tc>
        <w:tc>
          <w:tcPr>
            <w:tcW w:w="50" w:type="pct"/>
            <w:shd w:val="clear" w:color="auto" w:fill="CCEEFF"/>
            <w:vAlign w:val="bottom"/>
            <w:hideMark/>
          </w:tcPr>
          <w:p w14:paraId="71DEFC4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12ECD"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ED1D75"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238FC0B6" w14:textId="77777777" w:rsidR="00000000" w:rsidRDefault="009027A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CE0CA3A"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BAFCAF"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7C8D0E"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B3C36DD" w14:textId="77777777" w:rsidR="00000000" w:rsidRDefault="009027A3">
            <w:pPr>
              <w:jc w:val="right"/>
              <w:rPr>
                <w:rFonts w:eastAsia="Times New Roman"/>
                <w:sz w:val="20"/>
                <w:szCs w:val="20"/>
              </w:rPr>
            </w:pPr>
            <w:r>
              <w:rPr>
                <w:rFonts w:eastAsia="Times New Roman"/>
                <w:sz w:val="20"/>
                <w:szCs w:val="20"/>
              </w:rPr>
              <w:t>21,867</w:t>
            </w:r>
          </w:p>
        </w:tc>
        <w:tc>
          <w:tcPr>
            <w:tcW w:w="50" w:type="pct"/>
            <w:shd w:val="clear" w:color="auto" w:fill="CCEEFF"/>
            <w:vAlign w:val="bottom"/>
            <w:hideMark/>
          </w:tcPr>
          <w:p w14:paraId="6011A1E3" w14:textId="77777777" w:rsidR="00000000" w:rsidRDefault="009027A3">
            <w:pPr>
              <w:rPr>
                <w:rFonts w:eastAsia="Times New Roman"/>
                <w:sz w:val="20"/>
                <w:szCs w:val="20"/>
              </w:rPr>
            </w:pPr>
            <w:r>
              <w:rPr>
                <w:rFonts w:eastAsia="Times New Roman"/>
                <w:sz w:val="20"/>
                <w:szCs w:val="20"/>
              </w:rPr>
              <w:t> </w:t>
            </w:r>
          </w:p>
        </w:tc>
      </w:tr>
      <w:tr w:rsidR="00000000" w14:paraId="74DD1756" w14:textId="77777777">
        <w:tc>
          <w:tcPr>
            <w:tcW w:w="0" w:type="auto"/>
            <w:shd w:val="clear" w:color="auto" w:fill="FFFFFF"/>
            <w:vAlign w:val="bottom"/>
            <w:hideMark/>
          </w:tcPr>
          <w:p w14:paraId="0287FCD6" w14:textId="77777777" w:rsidR="00000000" w:rsidRDefault="009027A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35FB5A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BAD3C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A8FF2"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5101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C367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24B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64F39"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7A10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C74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2DC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225D77"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6869D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0F4C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B85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81D8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D09B29" w14:textId="77777777" w:rsidR="00000000" w:rsidRDefault="009027A3">
            <w:pPr>
              <w:rPr>
                <w:rFonts w:eastAsia="Times New Roman"/>
                <w:sz w:val="20"/>
                <w:szCs w:val="20"/>
              </w:rPr>
            </w:pPr>
            <w:r>
              <w:rPr>
                <w:rFonts w:eastAsia="Times New Roman"/>
                <w:sz w:val="20"/>
                <w:szCs w:val="20"/>
              </w:rPr>
              <w:t> </w:t>
            </w:r>
          </w:p>
        </w:tc>
      </w:tr>
      <w:tr w:rsidR="00000000" w14:paraId="51B76E5C" w14:textId="77777777">
        <w:tc>
          <w:tcPr>
            <w:tcW w:w="0" w:type="auto"/>
            <w:shd w:val="clear" w:color="auto" w:fill="CCEEFF"/>
            <w:tcMar>
              <w:top w:w="0" w:type="dxa"/>
              <w:left w:w="200" w:type="dxa"/>
              <w:bottom w:w="0" w:type="dxa"/>
              <w:right w:w="0" w:type="dxa"/>
            </w:tcMar>
            <w:vAlign w:val="bottom"/>
            <w:hideMark/>
          </w:tcPr>
          <w:p w14:paraId="60D5233B" w14:textId="77777777" w:rsidR="00000000" w:rsidRDefault="009027A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6BB572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986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C7B38D" w14:textId="77777777" w:rsidR="00000000" w:rsidRDefault="009027A3">
            <w:pPr>
              <w:jc w:val="right"/>
              <w:rPr>
                <w:rFonts w:eastAsia="Times New Roman"/>
                <w:sz w:val="20"/>
                <w:szCs w:val="20"/>
              </w:rPr>
            </w:pPr>
            <w:r>
              <w:rPr>
                <w:rFonts w:eastAsia="Times New Roman"/>
                <w:sz w:val="20"/>
                <w:szCs w:val="20"/>
              </w:rPr>
              <w:t>11,166</w:t>
            </w:r>
          </w:p>
        </w:tc>
        <w:tc>
          <w:tcPr>
            <w:tcW w:w="0" w:type="auto"/>
            <w:shd w:val="clear" w:color="auto" w:fill="CCEEFF"/>
            <w:vAlign w:val="bottom"/>
            <w:hideMark/>
          </w:tcPr>
          <w:p w14:paraId="17400F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9E7A5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C805D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5DA36" w14:textId="77777777" w:rsidR="00000000" w:rsidRDefault="009027A3">
            <w:pPr>
              <w:jc w:val="right"/>
              <w:rPr>
                <w:rFonts w:eastAsia="Times New Roman"/>
                <w:sz w:val="20"/>
                <w:szCs w:val="20"/>
              </w:rPr>
            </w:pPr>
            <w:r>
              <w:rPr>
                <w:rFonts w:eastAsia="Times New Roman"/>
                <w:sz w:val="20"/>
                <w:szCs w:val="20"/>
              </w:rPr>
              <w:t>2,401</w:t>
            </w:r>
          </w:p>
        </w:tc>
        <w:tc>
          <w:tcPr>
            <w:tcW w:w="0" w:type="auto"/>
            <w:shd w:val="clear" w:color="auto" w:fill="CCEEFF"/>
            <w:vAlign w:val="bottom"/>
            <w:hideMark/>
          </w:tcPr>
          <w:p w14:paraId="48E104C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82661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9297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931F5"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F8E3E4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8CF9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08F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DEB74" w14:textId="77777777" w:rsidR="00000000" w:rsidRDefault="009027A3">
            <w:pPr>
              <w:jc w:val="right"/>
              <w:rPr>
                <w:rFonts w:eastAsia="Times New Roman"/>
                <w:sz w:val="20"/>
                <w:szCs w:val="20"/>
              </w:rPr>
            </w:pPr>
            <w:r>
              <w:rPr>
                <w:rFonts w:eastAsia="Times New Roman"/>
                <w:sz w:val="20"/>
                <w:szCs w:val="20"/>
              </w:rPr>
              <w:t>13,567</w:t>
            </w:r>
          </w:p>
        </w:tc>
        <w:tc>
          <w:tcPr>
            <w:tcW w:w="0" w:type="auto"/>
            <w:shd w:val="clear" w:color="auto" w:fill="CCEEFF"/>
            <w:vAlign w:val="bottom"/>
            <w:hideMark/>
          </w:tcPr>
          <w:p w14:paraId="4BCEA5B2" w14:textId="77777777" w:rsidR="00000000" w:rsidRDefault="009027A3">
            <w:pPr>
              <w:rPr>
                <w:rFonts w:eastAsia="Times New Roman"/>
                <w:sz w:val="20"/>
                <w:szCs w:val="20"/>
              </w:rPr>
            </w:pPr>
            <w:r>
              <w:rPr>
                <w:rFonts w:eastAsia="Times New Roman"/>
                <w:sz w:val="20"/>
                <w:szCs w:val="20"/>
              </w:rPr>
              <w:t> </w:t>
            </w:r>
          </w:p>
        </w:tc>
      </w:tr>
      <w:tr w:rsidR="00000000" w14:paraId="3A8D7747" w14:textId="77777777">
        <w:tc>
          <w:tcPr>
            <w:tcW w:w="0" w:type="auto"/>
            <w:shd w:val="clear" w:color="auto" w:fill="FFFFFF"/>
            <w:tcMar>
              <w:top w:w="0" w:type="dxa"/>
              <w:left w:w="200" w:type="dxa"/>
              <w:bottom w:w="0" w:type="dxa"/>
              <w:right w:w="0" w:type="dxa"/>
            </w:tcMar>
            <w:vAlign w:val="bottom"/>
            <w:hideMark/>
          </w:tcPr>
          <w:p w14:paraId="0511B151"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2CC27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14206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B22FF" w14:textId="77777777" w:rsidR="00000000" w:rsidRDefault="009027A3">
            <w:pPr>
              <w:jc w:val="right"/>
              <w:rPr>
                <w:rFonts w:eastAsia="Times New Roman"/>
                <w:sz w:val="20"/>
                <w:szCs w:val="20"/>
              </w:rPr>
            </w:pPr>
            <w:r>
              <w:rPr>
                <w:rFonts w:eastAsia="Times New Roman"/>
                <w:sz w:val="20"/>
                <w:szCs w:val="20"/>
              </w:rPr>
              <w:t>1,572</w:t>
            </w:r>
          </w:p>
        </w:tc>
        <w:tc>
          <w:tcPr>
            <w:tcW w:w="0" w:type="auto"/>
            <w:shd w:val="clear" w:color="auto" w:fill="FFFFFF"/>
            <w:vAlign w:val="bottom"/>
            <w:hideMark/>
          </w:tcPr>
          <w:p w14:paraId="39EA70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7F0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5615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D5415F" w14:textId="77777777" w:rsidR="00000000" w:rsidRDefault="009027A3">
            <w:pPr>
              <w:jc w:val="right"/>
              <w:rPr>
                <w:rFonts w:eastAsia="Times New Roman"/>
                <w:sz w:val="20"/>
                <w:szCs w:val="20"/>
              </w:rPr>
            </w:pPr>
            <w:r>
              <w:rPr>
                <w:rFonts w:eastAsia="Times New Roman"/>
                <w:sz w:val="20"/>
                <w:szCs w:val="20"/>
              </w:rPr>
              <w:t>9</w:t>
            </w:r>
          </w:p>
        </w:tc>
        <w:tc>
          <w:tcPr>
            <w:tcW w:w="0" w:type="auto"/>
            <w:shd w:val="clear" w:color="auto" w:fill="FFFFFF"/>
            <w:vAlign w:val="bottom"/>
            <w:hideMark/>
          </w:tcPr>
          <w:p w14:paraId="6939946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F2A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18FBB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CA89E"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65D7DC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F26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6AC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AB08C" w14:textId="77777777" w:rsidR="00000000" w:rsidRDefault="009027A3">
            <w:pPr>
              <w:jc w:val="right"/>
              <w:rPr>
                <w:rFonts w:eastAsia="Times New Roman"/>
                <w:sz w:val="20"/>
                <w:szCs w:val="20"/>
              </w:rPr>
            </w:pPr>
            <w:r>
              <w:rPr>
                <w:rFonts w:eastAsia="Times New Roman"/>
                <w:sz w:val="20"/>
                <w:szCs w:val="20"/>
              </w:rPr>
              <w:t>1,581</w:t>
            </w:r>
          </w:p>
        </w:tc>
        <w:tc>
          <w:tcPr>
            <w:tcW w:w="0" w:type="auto"/>
            <w:shd w:val="clear" w:color="auto" w:fill="FFFFFF"/>
            <w:vAlign w:val="bottom"/>
            <w:hideMark/>
          </w:tcPr>
          <w:p w14:paraId="3D13C586" w14:textId="77777777" w:rsidR="00000000" w:rsidRDefault="009027A3">
            <w:pPr>
              <w:rPr>
                <w:rFonts w:eastAsia="Times New Roman"/>
                <w:sz w:val="20"/>
                <w:szCs w:val="20"/>
              </w:rPr>
            </w:pPr>
            <w:r>
              <w:rPr>
                <w:rFonts w:eastAsia="Times New Roman"/>
                <w:sz w:val="20"/>
                <w:szCs w:val="20"/>
              </w:rPr>
              <w:t> </w:t>
            </w:r>
          </w:p>
        </w:tc>
      </w:tr>
      <w:tr w:rsidR="00000000" w14:paraId="60FE063A" w14:textId="77777777">
        <w:tc>
          <w:tcPr>
            <w:tcW w:w="0" w:type="auto"/>
            <w:shd w:val="clear" w:color="auto" w:fill="CCEEFF"/>
            <w:tcMar>
              <w:top w:w="0" w:type="dxa"/>
              <w:left w:w="200" w:type="dxa"/>
              <w:bottom w:w="0" w:type="dxa"/>
              <w:right w:w="0" w:type="dxa"/>
            </w:tcMar>
            <w:vAlign w:val="bottom"/>
            <w:hideMark/>
          </w:tcPr>
          <w:p w14:paraId="6025B136"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210C5D5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52A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B62B1" w14:textId="77777777" w:rsidR="00000000" w:rsidRDefault="009027A3">
            <w:pPr>
              <w:jc w:val="right"/>
              <w:rPr>
                <w:rFonts w:eastAsia="Times New Roman"/>
                <w:sz w:val="20"/>
                <w:szCs w:val="20"/>
              </w:rPr>
            </w:pPr>
            <w:r>
              <w:rPr>
                <w:rFonts w:eastAsia="Times New Roman"/>
                <w:sz w:val="20"/>
                <w:szCs w:val="20"/>
              </w:rPr>
              <w:t>3,881</w:t>
            </w:r>
          </w:p>
        </w:tc>
        <w:tc>
          <w:tcPr>
            <w:tcW w:w="0" w:type="auto"/>
            <w:shd w:val="clear" w:color="auto" w:fill="CCEEFF"/>
            <w:vAlign w:val="bottom"/>
            <w:hideMark/>
          </w:tcPr>
          <w:p w14:paraId="5175EF8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1DB1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FCA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EC183" w14:textId="77777777" w:rsidR="00000000" w:rsidRDefault="009027A3">
            <w:pPr>
              <w:jc w:val="right"/>
              <w:rPr>
                <w:rFonts w:eastAsia="Times New Roman"/>
                <w:sz w:val="20"/>
                <w:szCs w:val="20"/>
              </w:rPr>
            </w:pPr>
            <w:r>
              <w:rPr>
                <w:rFonts w:eastAsia="Times New Roman"/>
                <w:sz w:val="20"/>
                <w:szCs w:val="20"/>
              </w:rPr>
              <w:t>556</w:t>
            </w:r>
          </w:p>
        </w:tc>
        <w:tc>
          <w:tcPr>
            <w:tcW w:w="0" w:type="auto"/>
            <w:shd w:val="clear" w:color="auto" w:fill="CCEEFF"/>
            <w:vAlign w:val="bottom"/>
            <w:hideMark/>
          </w:tcPr>
          <w:p w14:paraId="22928BB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05DB9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C71F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CE35B" w14:textId="77777777" w:rsidR="00000000" w:rsidRDefault="009027A3">
            <w:pPr>
              <w:jc w:val="right"/>
              <w:rPr>
                <w:rFonts w:eastAsia="Times New Roman"/>
                <w:sz w:val="20"/>
                <w:szCs w:val="20"/>
              </w:rPr>
            </w:pPr>
            <w:r>
              <w:rPr>
                <w:rFonts w:eastAsia="Times New Roman"/>
                <w:sz w:val="20"/>
                <w:szCs w:val="20"/>
              </w:rPr>
              <w:t>1,156</w:t>
            </w:r>
          </w:p>
        </w:tc>
        <w:tc>
          <w:tcPr>
            <w:tcW w:w="0" w:type="auto"/>
            <w:shd w:val="clear" w:color="auto" w:fill="CCEEFF"/>
            <w:vAlign w:val="bottom"/>
            <w:hideMark/>
          </w:tcPr>
          <w:p w14:paraId="034ADDA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5D6A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A800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8B9DF" w14:textId="77777777" w:rsidR="00000000" w:rsidRDefault="009027A3">
            <w:pPr>
              <w:jc w:val="right"/>
              <w:rPr>
                <w:rFonts w:eastAsia="Times New Roman"/>
                <w:sz w:val="20"/>
                <w:szCs w:val="20"/>
              </w:rPr>
            </w:pPr>
            <w:r>
              <w:rPr>
                <w:rFonts w:eastAsia="Times New Roman"/>
                <w:sz w:val="20"/>
                <w:szCs w:val="20"/>
              </w:rPr>
              <w:t>5,593</w:t>
            </w:r>
          </w:p>
        </w:tc>
        <w:tc>
          <w:tcPr>
            <w:tcW w:w="0" w:type="auto"/>
            <w:shd w:val="clear" w:color="auto" w:fill="CCEEFF"/>
            <w:vAlign w:val="bottom"/>
            <w:hideMark/>
          </w:tcPr>
          <w:p w14:paraId="4B3F932D" w14:textId="77777777" w:rsidR="00000000" w:rsidRDefault="009027A3">
            <w:pPr>
              <w:rPr>
                <w:rFonts w:eastAsia="Times New Roman"/>
                <w:sz w:val="20"/>
                <w:szCs w:val="20"/>
              </w:rPr>
            </w:pPr>
            <w:r>
              <w:rPr>
                <w:rFonts w:eastAsia="Times New Roman"/>
                <w:sz w:val="20"/>
                <w:szCs w:val="20"/>
              </w:rPr>
              <w:t> </w:t>
            </w:r>
          </w:p>
        </w:tc>
      </w:tr>
      <w:tr w:rsidR="00000000" w14:paraId="3D16DEFA" w14:textId="77777777">
        <w:tc>
          <w:tcPr>
            <w:tcW w:w="0" w:type="auto"/>
            <w:shd w:val="clear" w:color="auto" w:fill="FFFFFF"/>
            <w:tcMar>
              <w:top w:w="0" w:type="dxa"/>
              <w:left w:w="200" w:type="dxa"/>
              <w:bottom w:w="0" w:type="dxa"/>
              <w:right w:w="0" w:type="dxa"/>
            </w:tcMar>
            <w:vAlign w:val="bottom"/>
            <w:hideMark/>
          </w:tcPr>
          <w:p w14:paraId="0C41D9F5"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5533B4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162A9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6D0992" w14:textId="77777777" w:rsidR="00000000" w:rsidRDefault="009027A3">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14:paraId="681505B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89626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0B4E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7DCB4"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95AAB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702E3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B0E1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475A39"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5D11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73535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07C3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ABE8D" w14:textId="77777777" w:rsidR="00000000" w:rsidRDefault="009027A3">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14:paraId="722CD5E6" w14:textId="77777777" w:rsidR="00000000" w:rsidRDefault="009027A3">
            <w:pPr>
              <w:rPr>
                <w:rFonts w:eastAsia="Times New Roman"/>
                <w:sz w:val="20"/>
                <w:szCs w:val="20"/>
              </w:rPr>
            </w:pPr>
            <w:r>
              <w:rPr>
                <w:rFonts w:eastAsia="Times New Roman"/>
                <w:sz w:val="20"/>
                <w:szCs w:val="20"/>
              </w:rPr>
              <w:t> </w:t>
            </w:r>
          </w:p>
        </w:tc>
      </w:tr>
      <w:tr w:rsidR="00000000" w14:paraId="09A32CE4" w14:textId="77777777">
        <w:tc>
          <w:tcPr>
            <w:tcW w:w="0" w:type="auto"/>
            <w:shd w:val="clear" w:color="auto" w:fill="CCEEFF"/>
            <w:tcMar>
              <w:top w:w="0" w:type="dxa"/>
              <w:left w:w="200" w:type="dxa"/>
              <w:bottom w:w="0" w:type="dxa"/>
              <w:right w:w="0" w:type="dxa"/>
            </w:tcMar>
            <w:vAlign w:val="bottom"/>
            <w:hideMark/>
          </w:tcPr>
          <w:p w14:paraId="3174F191"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6E640BD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27DC0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FC731" w14:textId="77777777" w:rsidR="00000000" w:rsidRDefault="009027A3">
            <w:pPr>
              <w:jc w:val="right"/>
              <w:rPr>
                <w:rFonts w:eastAsia="Times New Roman"/>
                <w:sz w:val="20"/>
                <w:szCs w:val="20"/>
              </w:rPr>
            </w:pPr>
            <w:r>
              <w:rPr>
                <w:rFonts w:eastAsia="Times New Roman"/>
                <w:sz w:val="20"/>
                <w:szCs w:val="20"/>
              </w:rPr>
              <w:t>1,254</w:t>
            </w:r>
          </w:p>
        </w:tc>
        <w:tc>
          <w:tcPr>
            <w:tcW w:w="0" w:type="auto"/>
            <w:shd w:val="clear" w:color="auto" w:fill="CCEEFF"/>
            <w:vAlign w:val="bottom"/>
            <w:hideMark/>
          </w:tcPr>
          <w:p w14:paraId="4EF9587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30F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EB47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D78DD" w14:textId="77777777" w:rsidR="00000000" w:rsidRDefault="009027A3">
            <w:pPr>
              <w:jc w:val="right"/>
              <w:rPr>
                <w:rFonts w:eastAsia="Times New Roman"/>
                <w:sz w:val="20"/>
                <w:szCs w:val="20"/>
              </w:rPr>
            </w:pPr>
            <w:r>
              <w:rPr>
                <w:rFonts w:eastAsia="Times New Roman"/>
                <w:sz w:val="20"/>
                <w:szCs w:val="20"/>
              </w:rPr>
              <w:t>79</w:t>
            </w:r>
          </w:p>
        </w:tc>
        <w:tc>
          <w:tcPr>
            <w:tcW w:w="0" w:type="auto"/>
            <w:shd w:val="clear" w:color="auto" w:fill="CCEEFF"/>
            <w:vAlign w:val="bottom"/>
            <w:hideMark/>
          </w:tcPr>
          <w:p w14:paraId="4032B55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48D0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82E9A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AC126"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3E0B6F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79AE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EC8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40458D" w14:textId="77777777" w:rsidR="00000000" w:rsidRDefault="009027A3">
            <w:pPr>
              <w:jc w:val="right"/>
              <w:rPr>
                <w:rFonts w:eastAsia="Times New Roman"/>
                <w:sz w:val="20"/>
                <w:szCs w:val="20"/>
              </w:rPr>
            </w:pPr>
            <w:r>
              <w:rPr>
                <w:rFonts w:eastAsia="Times New Roman"/>
                <w:sz w:val="20"/>
                <w:szCs w:val="20"/>
              </w:rPr>
              <w:t>1,333</w:t>
            </w:r>
          </w:p>
        </w:tc>
        <w:tc>
          <w:tcPr>
            <w:tcW w:w="0" w:type="auto"/>
            <w:shd w:val="clear" w:color="auto" w:fill="CCEEFF"/>
            <w:vAlign w:val="bottom"/>
            <w:hideMark/>
          </w:tcPr>
          <w:p w14:paraId="4FB90FE2" w14:textId="77777777" w:rsidR="00000000" w:rsidRDefault="009027A3">
            <w:pPr>
              <w:rPr>
                <w:rFonts w:eastAsia="Times New Roman"/>
                <w:sz w:val="20"/>
                <w:szCs w:val="20"/>
              </w:rPr>
            </w:pPr>
            <w:r>
              <w:rPr>
                <w:rFonts w:eastAsia="Times New Roman"/>
                <w:sz w:val="20"/>
                <w:szCs w:val="20"/>
              </w:rPr>
              <w:t> </w:t>
            </w:r>
          </w:p>
        </w:tc>
      </w:tr>
      <w:tr w:rsidR="00000000" w14:paraId="702D030A" w14:textId="77777777">
        <w:tc>
          <w:tcPr>
            <w:tcW w:w="0" w:type="auto"/>
            <w:shd w:val="clear" w:color="auto" w:fill="FFFFFF"/>
            <w:tcMar>
              <w:top w:w="0" w:type="dxa"/>
              <w:left w:w="200" w:type="dxa"/>
              <w:bottom w:w="30" w:type="dxa"/>
              <w:right w:w="0" w:type="dxa"/>
            </w:tcMar>
            <w:vAlign w:val="bottom"/>
            <w:hideMark/>
          </w:tcPr>
          <w:p w14:paraId="53FDEDDC" w14:textId="77777777" w:rsidR="00000000" w:rsidRDefault="009027A3">
            <w:pPr>
              <w:rPr>
                <w:rFonts w:eastAsia="Times New Roman"/>
                <w:sz w:val="20"/>
                <w:szCs w:val="20"/>
              </w:rPr>
            </w:pPr>
            <w:r>
              <w:rPr>
                <w:rFonts w:eastAsia="Times New Roman"/>
                <w:sz w:val="20"/>
                <w:szCs w:val="20"/>
              </w:rPr>
              <w:t>Impairment charges</w:t>
            </w:r>
          </w:p>
        </w:tc>
        <w:tc>
          <w:tcPr>
            <w:tcW w:w="0" w:type="auto"/>
            <w:shd w:val="clear" w:color="auto" w:fill="FFFFFF"/>
            <w:tcMar>
              <w:top w:w="0" w:type="dxa"/>
              <w:left w:w="0" w:type="dxa"/>
              <w:bottom w:w="30" w:type="dxa"/>
              <w:right w:w="0" w:type="dxa"/>
            </w:tcMar>
            <w:vAlign w:val="bottom"/>
            <w:hideMark/>
          </w:tcPr>
          <w:p w14:paraId="4F9AF24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4C7F9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C7340C"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FFFFFF"/>
            <w:tcMar>
              <w:top w:w="0" w:type="dxa"/>
              <w:left w:w="0" w:type="dxa"/>
              <w:bottom w:w="30" w:type="dxa"/>
              <w:right w:w="0" w:type="dxa"/>
            </w:tcMar>
            <w:vAlign w:val="bottom"/>
            <w:hideMark/>
          </w:tcPr>
          <w:p w14:paraId="58247DA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AF68DC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AAA22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1C74BC"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EB728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3A1B4D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A39D6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DB7295" w14:textId="77777777" w:rsidR="00000000" w:rsidRDefault="009027A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5C78E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39F87F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2FF32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8F487B"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FFFFFF"/>
            <w:tcMar>
              <w:top w:w="0" w:type="dxa"/>
              <w:left w:w="0" w:type="dxa"/>
              <w:bottom w:w="30" w:type="dxa"/>
              <w:right w:w="0" w:type="dxa"/>
            </w:tcMar>
            <w:vAlign w:val="bottom"/>
            <w:hideMark/>
          </w:tcPr>
          <w:p w14:paraId="6FDC4416" w14:textId="77777777" w:rsidR="00000000" w:rsidRDefault="009027A3">
            <w:pPr>
              <w:rPr>
                <w:rFonts w:eastAsia="Times New Roman"/>
                <w:sz w:val="20"/>
                <w:szCs w:val="20"/>
              </w:rPr>
            </w:pPr>
            <w:r>
              <w:rPr>
                <w:rFonts w:eastAsia="Times New Roman"/>
                <w:sz w:val="20"/>
                <w:szCs w:val="20"/>
              </w:rPr>
              <w:t> </w:t>
            </w:r>
          </w:p>
        </w:tc>
      </w:tr>
      <w:tr w:rsidR="00000000" w14:paraId="7CE390CC" w14:textId="77777777">
        <w:tc>
          <w:tcPr>
            <w:tcW w:w="0" w:type="auto"/>
            <w:shd w:val="clear" w:color="auto" w:fill="CCEEFF"/>
            <w:tcMar>
              <w:top w:w="0" w:type="dxa"/>
              <w:left w:w="400" w:type="dxa"/>
              <w:bottom w:w="30" w:type="dxa"/>
              <w:right w:w="0" w:type="dxa"/>
            </w:tcMar>
            <w:vAlign w:val="bottom"/>
            <w:hideMark/>
          </w:tcPr>
          <w:p w14:paraId="09DA8B00" w14:textId="77777777" w:rsidR="00000000" w:rsidRDefault="009027A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201335E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087E0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D847A3" w14:textId="77777777" w:rsidR="00000000" w:rsidRDefault="009027A3">
            <w:pPr>
              <w:jc w:val="right"/>
              <w:rPr>
                <w:rFonts w:eastAsia="Times New Roman"/>
                <w:sz w:val="20"/>
                <w:szCs w:val="20"/>
              </w:rPr>
            </w:pPr>
            <w:r>
              <w:rPr>
                <w:rFonts w:eastAsia="Times New Roman"/>
                <w:sz w:val="20"/>
                <w:szCs w:val="20"/>
              </w:rPr>
              <w:t>20,503</w:t>
            </w:r>
          </w:p>
        </w:tc>
        <w:tc>
          <w:tcPr>
            <w:tcW w:w="0" w:type="auto"/>
            <w:shd w:val="clear" w:color="auto" w:fill="CCEEFF"/>
            <w:tcMar>
              <w:top w:w="0" w:type="dxa"/>
              <w:left w:w="0" w:type="dxa"/>
              <w:bottom w:w="30" w:type="dxa"/>
              <w:right w:w="0" w:type="dxa"/>
            </w:tcMar>
            <w:vAlign w:val="bottom"/>
            <w:hideMark/>
          </w:tcPr>
          <w:p w14:paraId="6040F1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6764D4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7F4DA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D29D43" w14:textId="77777777" w:rsidR="00000000" w:rsidRDefault="009027A3">
            <w:pPr>
              <w:jc w:val="right"/>
              <w:rPr>
                <w:rFonts w:eastAsia="Times New Roman"/>
                <w:sz w:val="20"/>
                <w:szCs w:val="20"/>
              </w:rPr>
            </w:pPr>
            <w:r>
              <w:rPr>
                <w:rFonts w:eastAsia="Times New Roman"/>
                <w:sz w:val="20"/>
                <w:szCs w:val="20"/>
              </w:rPr>
              <w:t>3,045</w:t>
            </w:r>
          </w:p>
        </w:tc>
        <w:tc>
          <w:tcPr>
            <w:tcW w:w="0" w:type="auto"/>
            <w:shd w:val="clear" w:color="auto" w:fill="CCEEFF"/>
            <w:tcMar>
              <w:top w:w="0" w:type="dxa"/>
              <w:left w:w="0" w:type="dxa"/>
              <w:bottom w:w="30" w:type="dxa"/>
              <w:right w:w="0" w:type="dxa"/>
            </w:tcMar>
            <w:vAlign w:val="bottom"/>
            <w:hideMark/>
          </w:tcPr>
          <w:p w14:paraId="2BE809F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FD29DC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FC71E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A98566" w14:textId="77777777" w:rsidR="00000000" w:rsidRDefault="009027A3">
            <w:pPr>
              <w:jc w:val="right"/>
              <w:rPr>
                <w:rFonts w:eastAsia="Times New Roman"/>
                <w:sz w:val="20"/>
                <w:szCs w:val="20"/>
              </w:rPr>
            </w:pPr>
            <w:r>
              <w:rPr>
                <w:rFonts w:eastAsia="Times New Roman"/>
                <w:sz w:val="20"/>
                <w:szCs w:val="20"/>
              </w:rPr>
              <w:t>1,156</w:t>
            </w:r>
          </w:p>
        </w:tc>
        <w:tc>
          <w:tcPr>
            <w:tcW w:w="0" w:type="auto"/>
            <w:shd w:val="clear" w:color="auto" w:fill="CCEEFF"/>
            <w:tcMar>
              <w:top w:w="0" w:type="dxa"/>
              <w:left w:w="0" w:type="dxa"/>
              <w:bottom w:w="30" w:type="dxa"/>
              <w:right w:w="0" w:type="dxa"/>
            </w:tcMar>
            <w:vAlign w:val="bottom"/>
            <w:hideMark/>
          </w:tcPr>
          <w:p w14:paraId="4A6F90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1657D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33B05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01A58C" w14:textId="77777777" w:rsidR="00000000" w:rsidRDefault="009027A3">
            <w:pPr>
              <w:jc w:val="right"/>
              <w:rPr>
                <w:rFonts w:eastAsia="Times New Roman"/>
                <w:sz w:val="20"/>
                <w:szCs w:val="20"/>
              </w:rPr>
            </w:pPr>
            <w:r>
              <w:rPr>
                <w:rFonts w:eastAsia="Times New Roman"/>
                <w:sz w:val="20"/>
                <w:szCs w:val="20"/>
              </w:rPr>
              <w:t>24,704</w:t>
            </w:r>
          </w:p>
        </w:tc>
        <w:tc>
          <w:tcPr>
            <w:tcW w:w="0" w:type="auto"/>
            <w:shd w:val="clear" w:color="auto" w:fill="CCEEFF"/>
            <w:tcMar>
              <w:top w:w="0" w:type="dxa"/>
              <w:left w:w="0" w:type="dxa"/>
              <w:bottom w:w="30" w:type="dxa"/>
              <w:right w:w="0" w:type="dxa"/>
            </w:tcMar>
            <w:vAlign w:val="bottom"/>
            <w:hideMark/>
          </w:tcPr>
          <w:p w14:paraId="2938A375" w14:textId="77777777" w:rsidR="00000000" w:rsidRDefault="009027A3">
            <w:pPr>
              <w:rPr>
                <w:rFonts w:eastAsia="Times New Roman"/>
                <w:sz w:val="20"/>
                <w:szCs w:val="20"/>
              </w:rPr>
            </w:pPr>
            <w:r>
              <w:rPr>
                <w:rFonts w:eastAsia="Times New Roman"/>
                <w:sz w:val="20"/>
                <w:szCs w:val="20"/>
              </w:rPr>
              <w:t> </w:t>
            </w:r>
          </w:p>
        </w:tc>
      </w:tr>
      <w:tr w:rsidR="00000000" w14:paraId="5D616B61" w14:textId="77777777">
        <w:tc>
          <w:tcPr>
            <w:tcW w:w="0" w:type="auto"/>
            <w:shd w:val="clear" w:color="auto" w:fill="FFFFFF"/>
            <w:tcMar>
              <w:top w:w="0" w:type="dxa"/>
              <w:left w:w="0" w:type="dxa"/>
              <w:bottom w:w="50" w:type="dxa"/>
              <w:right w:w="0" w:type="dxa"/>
            </w:tcMar>
            <w:vAlign w:val="bottom"/>
            <w:hideMark/>
          </w:tcPr>
          <w:p w14:paraId="4136E562" w14:textId="77777777" w:rsidR="00000000" w:rsidRDefault="009027A3">
            <w:pPr>
              <w:rPr>
                <w:rFonts w:eastAsia="Times New Roman"/>
                <w:sz w:val="20"/>
                <w:szCs w:val="20"/>
              </w:rPr>
            </w:pPr>
            <w:r>
              <w:rPr>
                <w:rFonts w:eastAsia="Times New Roman"/>
                <w:sz w:val="20"/>
                <w:szCs w:val="20"/>
              </w:rPr>
              <w:t>Operating loss</w:t>
            </w:r>
          </w:p>
        </w:tc>
        <w:tc>
          <w:tcPr>
            <w:tcW w:w="0" w:type="auto"/>
            <w:shd w:val="clear" w:color="auto" w:fill="FFFFFF"/>
            <w:tcMar>
              <w:top w:w="0" w:type="dxa"/>
              <w:left w:w="0" w:type="dxa"/>
              <w:bottom w:w="50" w:type="dxa"/>
              <w:right w:w="0" w:type="dxa"/>
            </w:tcMar>
            <w:vAlign w:val="bottom"/>
            <w:hideMark/>
          </w:tcPr>
          <w:p w14:paraId="720AC36E"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1F84335"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36FFA0" w14:textId="77777777" w:rsidR="00000000" w:rsidRDefault="009027A3">
            <w:pPr>
              <w:jc w:val="right"/>
              <w:rPr>
                <w:rFonts w:eastAsia="Times New Roman"/>
                <w:sz w:val="20"/>
                <w:szCs w:val="20"/>
              </w:rPr>
            </w:pPr>
            <w:r>
              <w:rPr>
                <w:rFonts w:eastAsia="Times New Roman"/>
                <w:sz w:val="20"/>
                <w:szCs w:val="20"/>
              </w:rPr>
              <w:t>(1,662</w:t>
            </w:r>
          </w:p>
        </w:tc>
        <w:tc>
          <w:tcPr>
            <w:tcW w:w="0" w:type="auto"/>
            <w:shd w:val="clear" w:color="auto" w:fill="FFFFFF"/>
            <w:tcMar>
              <w:top w:w="0" w:type="dxa"/>
              <w:left w:w="0" w:type="dxa"/>
              <w:bottom w:w="50" w:type="dxa"/>
              <w:right w:w="0" w:type="dxa"/>
            </w:tcMar>
            <w:vAlign w:val="bottom"/>
            <w:hideMark/>
          </w:tcPr>
          <w:p w14:paraId="74F97FE1"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2ABC404"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8B88DF"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0EAE6D" w14:textId="77777777" w:rsidR="00000000" w:rsidRDefault="009027A3">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50" w:type="dxa"/>
              <w:right w:w="0" w:type="dxa"/>
            </w:tcMar>
            <w:vAlign w:val="bottom"/>
            <w:hideMark/>
          </w:tcPr>
          <w:p w14:paraId="04465628"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963E5B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71801E"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4CCD6D" w14:textId="77777777" w:rsidR="00000000" w:rsidRDefault="009027A3">
            <w:pPr>
              <w:jc w:val="right"/>
              <w:rPr>
                <w:rFonts w:eastAsia="Times New Roman"/>
                <w:sz w:val="20"/>
                <w:szCs w:val="20"/>
              </w:rPr>
            </w:pPr>
            <w:r>
              <w:rPr>
                <w:rFonts w:eastAsia="Times New Roman"/>
                <w:sz w:val="20"/>
                <w:szCs w:val="20"/>
              </w:rPr>
              <w:t>(1,156</w:t>
            </w:r>
          </w:p>
        </w:tc>
        <w:tc>
          <w:tcPr>
            <w:tcW w:w="0" w:type="auto"/>
            <w:shd w:val="clear" w:color="auto" w:fill="FFFFFF"/>
            <w:tcMar>
              <w:top w:w="0" w:type="dxa"/>
              <w:left w:w="0" w:type="dxa"/>
              <w:bottom w:w="50" w:type="dxa"/>
              <w:right w:w="0" w:type="dxa"/>
            </w:tcMar>
            <w:vAlign w:val="bottom"/>
            <w:hideMark/>
          </w:tcPr>
          <w:p w14:paraId="0E718FDD"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5A8CCC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7C4D0AD"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864348" w14:textId="77777777" w:rsidR="00000000" w:rsidRDefault="009027A3">
            <w:pPr>
              <w:jc w:val="right"/>
              <w:rPr>
                <w:rFonts w:eastAsia="Times New Roman"/>
                <w:sz w:val="20"/>
                <w:szCs w:val="20"/>
              </w:rPr>
            </w:pPr>
            <w:r>
              <w:rPr>
                <w:rFonts w:eastAsia="Times New Roman"/>
                <w:sz w:val="20"/>
                <w:szCs w:val="20"/>
              </w:rPr>
              <w:t>(2,837</w:t>
            </w:r>
          </w:p>
        </w:tc>
        <w:tc>
          <w:tcPr>
            <w:tcW w:w="0" w:type="auto"/>
            <w:shd w:val="clear" w:color="auto" w:fill="FFFFFF"/>
            <w:tcMar>
              <w:top w:w="0" w:type="dxa"/>
              <w:left w:w="0" w:type="dxa"/>
              <w:bottom w:w="50" w:type="dxa"/>
              <w:right w:w="0" w:type="dxa"/>
            </w:tcMar>
            <w:vAlign w:val="bottom"/>
            <w:hideMark/>
          </w:tcPr>
          <w:p w14:paraId="6DCFF11A" w14:textId="77777777" w:rsidR="00000000" w:rsidRDefault="009027A3">
            <w:pPr>
              <w:rPr>
                <w:rFonts w:eastAsia="Times New Roman"/>
                <w:sz w:val="20"/>
                <w:szCs w:val="20"/>
              </w:rPr>
            </w:pPr>
            <w:r>
              <w:rPr>
                <w:rFonts w:eastAsia="Times New Roman"/>
                <w:sz w:val="20"/>
                <w:szCs w:val="20"/>
              </w:rPr>
              <w:t>)</w:t>
            </w:r>
          </w:p>
        </w:tc>
      </w:tr>
    </w:tbl>
    <w:p w14:paraId="7D6148AB" w14:textId="77777777" w:rsidR="00000000" w:rsidRDefault="009027A3">
      <w:pPr>
        <w:pStyle w:val="a3"/>
        <w:spacing w:before="0" w:beforeAutospacing="0" w:after="0" w:afterAutospacing="0"/>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4D707793" w14:textId="77777777">
        <w:trPr>
          <w:tblCellSpacing w:w="0" w:type="dxa"/>
        </w:trPr>
        <w:tc>
          <w:tcPr>
            <w:tcW w:w="720" w:type="dxa"/>
            <w:hideMark/>
          </w:tcPr>
          <w:p w14:paraId="182DBF8F" w14:textId="77777777" w:rsidR="00000000" w:rsidRDefault="009027A3">
            <w:pPr>
              <w:rPr>
                <w:rFonts w:eastAsia="Times New Roman"/>
                <w:sz w:val="20"/>
                <w:szCs w:val="20"/>
              </w:rPr>
            </w:pPr>
            <w:r>
              <w:rPr>
                <w:rFonts w:eastAsia="Times New Roman"/>
                <w:b/>
                <w:bCs/>
                <w:sz w:val="20"/>
                <w:szCs w:val="20"/>
              </w:rPr>
              <w:t>15.</w:t>
            </w:r>
          </w:p>
        </w:tc>
        <w:tc>
          <w:tcPr>
            <w:tcW w:w="0" w:type="auto"/>
            <w:hideMark/>
          </w:tcPr>
          <w:p w14:paraId="2E1A991B" w14:textId="77777777" w:rsidR="00000000" w:rsidRDefault="009027A3">
            <w:pPr>
              <w:rPr>
                <w:rFonts w:eastAsia="Times New Roman"/>
                <w:sz w:val="20"/>
                <w:szCs w:val="20"/>
              </w:rPr>
            </w:pPr>
            <w:r>
              <w:rPr>
                <w:rFonts w:eastAsia="Times New Roman"/>
                <w:b/>
                <w:bCs/>
                <w:sz w:val="20"/>
                <w:szCs w:val="20"/>
              </w:rPr>
              <w:t>SUBSEQUENT EVENT</w:t>
            </w:r>
          </w:p>
        </w:tc>
      </w:tr>
    </w:tbl>
    <w:p w14:paraId="6EA82947" w14:textId="77777777" w:rsidR="00000000" w:rsidRDefault="009027A3">
      <w:pPr>
        <w:pStyle w:val="a3"/>
        <w:spacing w:before="0" w:beforeAutospacing="0" w:after="0" w:afterAutospacing="0"/>
        <w:rPr>
          <w:sz w:val="20"/>
          <w:szCs w:val="20"/>
        </w:rPr>
      </w:pPr>
      <w:r>
        <w:rPr>
          <w:sz w:val="20"/>
          <w:szCs w:val="20"/>
        </w:rPr>
        <w:t> </w:t>
      </w:r>
    </w:p>
    <w:p w14:paraId="444471B1" w14:textId="77777777" w:rsidR="00000000" w:rsidRDefault="009027A3">
      <w:pPr>
        <w:pStyle w:val="a3"/>
        <w:spacing w:before="0" w:beforeAutospacing="0" w:after="0" w:afterAutospacing="0"/>
        <w:rPr>
          <w:sz w:val="20"/>
          <w:szCs w:val="20"/>
        </w:rPr>
      </w:pPr>
      <w:r>
        <w:rPr>
          <w:sz w:val="20"/>
          <w:szCs w:val="20"/>
        </w:rPr>
        <w:t xml:space="preserve">As </w:t>
      </w:r>
      <w:r>
        <w:rPr>
          <w:sz w:val="20"/>
          <w:szCs w:val="20"/>
        </w:rPr>
        <w:t>discussed in Note 8, during April 2021 the Company settled a civil investigation substantially within the range of the funds held in escrow.</w:t>
      </w:r>
    </w:p>
    <w:tbl>
      <w:tblPr>
        <w:tblW w:w="5000" w:type="pct"/>
        <w:tblCellMar>
          <w:left w:w="0" w:type="dxa"/>
          <w:right w:w="0" w:type="dxa"/>
        </w:tblCellMar>
        <w:tblLook w:val="04A0" w:firstRow="1" w:lastRow="0" w:firstColumn="1" w:lastColumn="0" w:noHBand="0" w:noVBand="1"/>
      </w:tblPr>
      <w:tblGrid>
        <w:gridCol w:w="8306"/>
      </w:tblGrid>
      <w:tr w:rsidR="00000000" w14:paraId="427EBC18" w14:textId="77777777">
        <w:trPr>
          <w:divId w:val="490414345"/>
        </w:trPr>
        <w:tc>
          <w:tcPr>
            <w:tcW w:w="5000" w:type="pct"/>
            <w:hideMark/>
          </w:tcPr>
          <w:p w14:paraId="10CA7888"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9611C1F" w14:textId="77777777">
        <w:tc>
          <w:tcPr>
            <w:tcW w:w="5000" w:type="pct"/>
            <w:hideMark/>
          </w:tcPr>
          <w:p w14:paraId="1302B186" w14:textId="77777777" w:rsidR="00000000" w:rsidRDefault="009027A3">
            <w:pPr>
              <w:rPr>
                <w:rFonts w:eastAsia="Times New Roman"/>
                <w:sz w:val="20"/>
                <w:szCs w:val="20"/>
              </w:rPr>
            </w:pPr>
            <w:r>
              <w:rPr>
                <w:rFonts w:eastAsia="Times New Roman"/>
                <w:sz w:val="20"/>
                <w:szCs w:val="20"/>
              </w:rPr>
              <w:t> </w:t>
            </w:r>
          </w:p>
        </w:tc>
      </w:tr>
    </w:tbl>
    <w:p w14:paraId="4D80C52D" w14:textId="77777777" w:rsidR="00000000" w:rsidRDefault="009027A3">
      <w:pPr>
        <w:pStyle w:val="a3"/>
        <w:spacing w:before="0" w:beforeAutospacing="0" w:after="0" w:afterAutospacing="0"/>
        <w:jc w:val="both"/>
        <w:rPr>
          <w:sz w:val="20"/>
          <w:szCs w:val="20"/>
        </w:rPr>
      </w:pPr>
      <w:r>
        <w:rPr>
          <w:b/>
          <w:bCs/>
          <w:sz w:val="20"/>
          <w:szCs w:val="20"/>
        </w:rPr>
        <w:t> </w:t>
      </w:r>
    </w:p>
    <w:p w14:paraId="6019291C" w14:textId="77777777" w:rsidR="00000000" w:rsidRDefault="009027A3">
      <w:pPr>
        <w:pStyle w:val="a3"/>
        <w:spacing w:before="0" w:beforeAutospacing="0" w:after="0" w:afterAutospacing="0"/>
        <w:rPr>
          <w:sz w:val="20"/>
          <w:szCs w:val="20"/>
        </w:rPr>
      </w:pPr>
      <w:bookmarkStart w:id="8" w:name="c_001"/>
      <w:bookmarkEnd w:id="8"/>
      <w:r>
        <w:rPr>
          <w:b/>
          <w:bCs/>
          <w:i/>
          <w:iCs/>
          <w:sz w:val="20"/>
          <w:szCs w:val="20"/>
        </w:rPr>
        <w:t>Item 2. Management’s Discussion and Analysis of Financial Condition and Results of Operations</w:t>
      </w:r>
    </w:p>
    <w:p w14:paraId="404B083D" w14:textId="77777777" w:rsidR="00000000" w:rsidRDefault="009027A3">
      <w:pPr>
        <w:pStyle w:val="a3"/>
        <w:spacing w:before="0" w:beforeAutospacing="0" w:after="0" w:afterAutospacing="0"/>
        <w:rPr>
          <w:sz w:val="20"/>
          <w:szCs w:val="20"/>
        </w:rPr>
      </w:pPr>
      <w:r>
        <w:rPr>
          <w:b/>
          <w:bCs/>
          <w:sz w:val="20"/>
          <w:szCs w:val="20"/>
        </w:rPr>
        <w:t> </w:t>
      </w:r>
    </w:p>
    <w:p w14:paraId="1987E9AC" w14:textId="77777777" w:rsidR="00000000" w:rsidRDefault="009027A3">
      <w:pPr>
        <w:pStyle w:val="a3"/>
        <w:spacing w:before="0" w:beforeAutospacing="0" w:after="0" w:afterAutospacing="0"/>
        <w:jc w:val="both"/>
        <w:rPr>
          <w:sz w:val="20"/>
          <w:szCs w:val="20"/>
        </w:rPr>
      </w:pPr>
      <w:r>
        <w:rPr>
          <w:sz w:val="20"/>
          <w:szCs w:val="20"/>
        </w:rPr>
        <w:t>The follo</w:t>
      </w:r>
      <w:r>
        <w:rPr>
          <w:sz w:val="20"/>
          <w:szCs w:val="20"/>
        </w:rPr>
        <w:t>wing is a discussion of our condensed consolidated financial condition and results of operations for the three months ended March 31, 2021 and 2020, and other factors that are expected to affect our prospective financial condition. The following discussion</w:t>
      </w:r>
      <w:r>
        <w:rPr>
          <w:sz w:val="20"/>
          <w:szCs w:val="20"/>
        </w:rPr>
        <w:t xml:space="preserve"> and analysis should be read together with our Condensed Consolidated Financial Statements and related notes beginning on page 4 of this Quarterly Report on Form 10-Q.</w:t>
      </w:r>
    </w:p>
    <w:p w14:paraId="0E1C3957" w14:textId="77777777" w:rsidR="00000000" w:rsidRDefault="009027A3">
      <w:pPr>
        <w:pStyle w:val="a3"/>
        <w:spacing w:before="0" w:beforeAutospacing="0" w:after="0" w:afterAutospacing="0"/>
        <w:jc w:val="both"/>
        <w:rPr>
          <w:sz w:val="20"/>
          <w:szCs w:val="20"/>
        </w:rPr>
      </w:pPr>
      <w:r>
        <w:rPr>
          <w:sz w:val="20"/>
          <w:szCs w:val="20"/>
        </w:rPr>
        <w:t> </w:t>
      </w:r>
    </w:p>
    <w:p w14:paraId="6BD06784" w14:textId="77777777" w:rsidR="00000000" w:rsidRDefault="009027A3">
      <w:pPr>
        <w:pStyle w:val="a3"/>
        <w:spacing w:before="0" w:beforeAutospacing="0" w:after="0" w:afterAutospacing="0"/>
        <w:jc w:val="both"/>
        <w:rPr>
          <w:sz w:val="20"/>
          <w:szCs w:val="20"/>
        </w:rPr>
      </w:pPr>
      <w:r>
        <w:rPr>
          <w:sz w:val="20"/>
          <w:szCs w:val="20"/>
        </w:rPr>
        <w:t>Some of the statements set forth in this section are forward-looking statements relati</w:t>
      </w:r>
      <w:r>
        <w:rPr>
          <w:sz w:val="20"/>
          <w:szCs w:val="20"/>
        </w:rPr>
        <w:t>ng to our future results of operations. Our actual results may vary from the results anticipated by these statements. Please see “</w:t>
      </w:r>
      <w:r>
        <w:rPr>
          <w:i/>
          <w:iCs/>
          <w:sz w:val="20"/>
          <w:szCs w:val="20"/>
        </w:rPr>
        <w:t>Forward-Looking Statements</w:t>
      </w:r>
      <w:r>
        <w:rPr>
          <w:sz w:val="20"/>
          <w:szCs w:val="20"/>
        </w:rPr>
        <w:t>” on page 2 of this Quarterly Report on Form 10-Q.</w:t>
      </w:r>
    </w:p>
    <w:p w14:paraId="35201389" w14:textId="77777777" w:rsidR="00000000" w:rsidRDefault="009027A3">
      <w:pPr>
        <w:pStyle w:val="a3"/>
        <w:spacing w:before="0" w:beforeAutospacing="0" w:after="0" w:afterAutospacing="0"/>
        <w:jc w:val="both"/>
        <w:rPr>
          <w:sz w:val="20"/>
          <w:szCs w:val="20"/>
        </w:rPr>
      </w:pPr>
      <w:r>
        <w:rPr>
          <w:sz w:val="20"/>
          <w:szCs w:val="20"/>
        </w:rPr>
        <w:t> </w:t>
      </w:r>
    </w:p>
    <w:p w14:paraId="2A9A4DDB" w14:textId="77777777" w:rsidR="00000000" w:rsidRDefault="009027A3">
      <w:pPr>
        <w:pStyle w:val="a3"/>
        <w:spacing w:before="0" w:beforeAutospacing="0" w:after="0" w:afterAutospacing="0"/>
        <w:jc w:val="both"/>
        <w:rPr>
          <w:sz w:val="20"/>
          <w:szCs w:val="20"/>
        </w:rPr>
      </w:pPr>
      <w:r>
        <w:rPr>
          <w:b/>
          <w:bCs/>
          <w:sz w:val="20"/>
          <w:szCs w:val="20"/>
        </w:rPr>
        <w:t>COVID-19 Pandemic</w:t>
      </w:r>
    </w:p>
    <w:p w14:paraId="7CA9914A" w14:textId="77777777" w:rsidR="00000000" w:rsidRDefault="009027A3">
      <w:pPr>
        <w:pStyle w:val="a3"/>
        <w:spacing w:before="0" w:beforeAutospacing="0" w:after="0" w:afterAutospacing="0"/>
        <w:rPr>
          <w:sz w:val="20"/>
          <w:szCs w:val="20"/>
        </w:rPr>
      </w:pPr>
      <w:r>
        <w:rPr>
          <w:sz w:val="20"/>
          <w:szCs w:val="20"/>
        </w:rPr>
        <w:t> </w:t>
      </w:r>
    </w:p>
    <w:p w14:paraId="1037AFB5" w14:textId="77777777" w:rsidR="00000000" w:rsidRDefault="009027A3">
      <w:pPr>
        <w:pStyle w:val="a3"/>
        <w:spacing w:before="0" w:beforeAutospacing="0" w:after="0" w:afterAutospacing="0"/>
        <w:jc w:val="both"/>
        <w:rPr>
          <w:sz w:val="20"/>
          <w:szCs w:val="20"/>
        </w:rPr>
      </w:pPr>
      <w:r>
        <w:rPr>
          <w:sz w:val="20"/>
          <w:szCs w:val="20"/>
        </w:rPr>
        <w:t>In December 2019, a novel s</w:t>
      </w:r>
      <w:r>
        <w:rPr>
          <w:sz w:val="20"/>
          <w:szCs w:val="20"/>
        </w:rPr>
        <w:t>train of coronavirus, SARS-CoV-2, was reported to have surfaced in Wuhan, China. Since then, SARS-CoV-2, and the resulting disease COVID-19, has spread to most countries, and all 50 states within the United States. In March 2020, the World Health Organizat</w:t>
      </w:r>
      <w:r>
        <w:rPr>
          <w:sz w:val="20"/>
          <w:szCs w:val="20"/>
        </w:rPr>
        <w:t>ion declared the COVID-19 outbreak a pandemic. Further, the former President of the United States declared the COVID-19 pandemic a national emergency, invoking powers under the Stafford Act, the legislation that directs federal emergency disaster response,</w:t>
      </w:r>
      <w:r>
        <w:rPr>
          <w:sz w:val="20"/>
          <w:szCs w:val="20"/>
        </w:rPr>
        <w:t xml:space="preserve"> and under the Defense Production Act, the legislation that facilitates the production of goods and services necessary for national security and for other purposes. Numerous governmental jurisdictions, including the State of New Jersey where we maintain ou</w:t>
      </w:r>
      <w:r>
        <w:rPr>
          <w:sz w:val="20"/>
          <w:szCs w:val="20"/>
        </w:rPr>
        <w:t>r principal executive offices, and those in which many of our U.S. and international offices are based, have imposed, and others in the future may impose, “shelter-in-place” orders, quarantines, executive orders and similar government orders and restrictio</w:t>
      </w:r>
      <w:r>
        <w:rPr>
          <w:sz w:val="20"/>
          <w:szCs w:val="20"/>
        </w:rPr>
        <w:t xml:space="preserve">ns for their residents to control the spread of COVID-19. Most states and the federal government, including the State of New Jersey, together with foreign jurisdictions in which we have operations centers, have declared a state of emergency related to the </w:t>
      </w:r>
      <w:r>
        <w:rPr>
          <w:sz w:val="20"/>
          <w:szCs w:val="20"/>
        </w:rPr>
        <w:t>spread of COVID-19.</w:t>
      </w:r>
    </w:p>
    <w:p w14:paraId="435C74EA" w14:textId="77777777" w:rsidR="00000000" w:rsidRDefault="009027A3">
      <w:pPr>
        <w:pStyle w:val="a3"/>
        <w:spacing w:before="0" w:beforeAutospacing="0" w:after="0" w:afterAutospacing="0"/>
        <w:jc w:val="both"/>
        <w:rPr>
          <w:sz w:val="20"/>
          <w:szCs w:val="20"/>
        </w:rPr>
      </w:pPr>
      <w:r>
        <w:rPr>
          <w:sz w:val="20"/>
          <w:szCs w:val="20"/>
        </w:rPr>
        <w:t> </w:t>
      </w:r>
    </w:p>
    <w:p w14:paraId="4CFE1DC2" w14:textId="77777777" w:rsidR="00000000" w:rsidRDefault="009027A3">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in the quarter ended March 31, 2021, economic and health conditions in the United States and across most of th</w:t>
      </w:r>
      <w:r>
        <w:rPr>
          <w:sz w:val="20"/>
          <w:szCs w:val="20"/>
        </w:rPr>
        <w:t>e globe continue to change. The Company has expanded its telehealth operations, which is an alternative to office visits. However, not all physicians are using telehealth and not to the same extent as previous office visits.</w:t>
      </w:r>
    </w:p>
    <w:p w14:paraId="4BC872C5" w14:textId="77777777" w:rsidR="00000000" w:rsidRDefault="009027A3">
      <w:pPr>
        <w:pStyle w:val="a3"/>
        <w:spacing w:before="0" w:beforeAutospacing="0" w:after="0" w:afterAutospacing="0"/>
        <w:jc w:val="both"/>
        <w:rPr>
          <w:sz w:val="20"/>
          <w:szCs w:val="20"/>
        </w:rPr>
      </w:pPr>
      <w:r>
        <w:rPr>
          <w:sz w:val="20"/>
          <w:szCs w:val="20"/>
        </w:rPr>
        <w:t> </w:t>
      </w:r>
    </w:p>
    <w:p w14:paraId="63E7BA7E"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COVID-19 pandemic is affecting the Company’s operations in the first quarter, and may continue to do so indefinitely thereafter. The pandemic may have an impact on the Company’s business, operations, and financial results and conditions, directly and indir</w:t>
      </w:r>
      <w:r>
        <w:rPr>
          <w:sz w:val="20"/>
          <w:szCs w:val="20"/>
        </w:rPr>
        <w:t xml:space="preserve">ectly, including, without limitation, impacts on the health of the Company’s management and employees, its operations, marketing and sales activities, and on the overall economy. The spread of the virus did not adversely affect the health and availability </w:t>
      </w:r>
      <w:r>
        <w:rPr>
          <w:sz w:val="20"/>
          <w:szCs w:val="20"/>
        </w:rPr>
        <w:t>of our employees and staff. The scope and nature of these impacts, most of which are beyond the Company’s control, continue to evolve and the outcomes are uncertain.</w:t>
      </w:r>
    </w:p>
    <w:p w14:paraId="4BEA6630" w14:textId="77777777" w:rsidR="00000000" w:rsidRDefault="009027A3">
      <w:pPr>
        <w:pStyle w:val="a3"/>
        <w:spacing w:before="0" w:beforeAutospacing="0" w:after="0" w:afterAutospacing="0"/>
        <w:jc w:val="both"/>
        <w:rPr>
          <w:sz w:val="20"/>
          <w:szCs w:val="20"/>
        </w:rPr>
      </w:pPr>
      <w:r>
        <w:rPr>
          <w:sz w:val="20"/>
          <w:szCs w:val="20"/>
        </w:rPr>
        <w:t> </w:t>
      </w:r>
    </w:p>
    <w:p w14:paraId="7A5F2749" w14:textId="77777777" w:rsidR="00000000" w:rsidRDefault="009027A3">
      <w:pPr>
        <w:pStyle w:val="a3"/>
        <w:spacing w:before="0" w:beforeAutospacing="0" w:after="0" w:afterAutospacing="0"/>
        <w:jc w:val="both"/>
        <w:rPr>
          <w:sz w:val="20"/>
          <w:szCs w:val="20"/>
        </w:rPr>
      </w:pPr>
      <w:r>
        <w:rPr>
          <w:sz w:val="20"/>
          <w:szCs w:val="20"/>
        </w:rPr>
        <w:t>Due to the above circumstances and as described generally in this Quarterly Report on Fo</w:t>
      </w:r>
      <w:r>
        <w:rPr>
          <w:sz w:val="20"/>
          <w:szCs w:val="20"/>
        </w:rPr>
        <w:t>rm 10-Q, the Company’s consolidated results of operations for the three months ended March 31, 2021 are not necessarily indicative of the results to be expected for the full fiscal year. The Company is not aware of any certain event or circumstance that wo</w:t>
      </w:r>
      <w:r>
        <w:rPr>
          <w:sz w:val="20"/>
          <w:szCs w:val="20"/>
        </w:rPr>
        <w:t>uld require an update to its estimates or judgements or a revision of the carrying value of its assets or liabilities as of the date of issuance of this Quarterly Report on Form 10-Q. These estimates could change in the future as new information about futu</w:t>
      </w:r>
      <w:r>
        <w:rPr>
          <w:sz w:val="20"/>
          <w:szCs w:val="20"/>
        </w:rPr>
        <w:t>re developments is obtained. Management cannot predict the full impact of the COVID-19 pandemic on the Company’s consolidated operations nor on economic conditions generally, including the effects on patient visits. The ultimate extent of the effects of th</w:t>
      </w:r>
      <w:r>
        <w:rPr>
          <w:sz w:val="20"/>
          <w:szCs w:val="20"/>
        </w:rPr>
        <w:t>e COVID-19 pandemic on the Company is highly uncertain and will depend on highly unpredictable factors such as the ultimate geographic spread of the disease, the severity of the disease, the duration of outbreak, and the effectiveness of any further develo</w:t>
      </w:r>
      <w:r>
        <w:rPr>
          <w:sz w:val="20"/>
          <w:szCs w:val="20"/>
        </w:rPr>
        <w:t>pments globally and nationally. The Company will actively monitor the situation and take further action that is in the best interest of our employees, customers, partners, and stockholders. See Item 1A. “Risk Factors” below for additional details.</w:t>
      </w:r>
    </w:p>
    <w:p w14:paraId="2F731248" w14:textId="77777777" w:rsidR="00000000" w:rsidRDefault="009027A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80EA7C7" w14:textId="77777777">
        <w:trPr>
          <w:divId w:val="1421683473"/>
        </w:trPr>
        <w:tc>
          <w:tcPr>
            <w:tcW w:w="5000" w:type="pct"/>
            <w:hideMark/>
          </w:tcPr>
          <w:p w14:paraId="6C912A3F"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1937AF72" w14:textId="77777777">
        <w:tc>
          <w:tcPr>
            <w:tcW w:w="5000" w:type="pct"/>
            <w:hideMark/>
          </w:tcPr>
          <w:p w14:paraId="05473E8F" w14:textId="77777777" w:rsidR="00000000" w:rsidRDefault="009027A3">
            <w:pPr>
              <w:rPr>
                <w:rFonts w:eastAsia="Times New Roman"/>
                <w:sz w:val="20"/>
                <w:szCs w:val="20"/>
              </w:rPr>
            </w:pPr>
            <w:r>
              <w:rPr>
                <w:rFonts w:eastAsia="Times New Roman"/>
                <w:sz w:val="20"/>
                <w:szCs w:val="20"/>
              </w:rPr>
              <w:t> </w:t>
            </w:r>
          </w:p>
        </w:tc>
      </w:tr>
    </w:tbl>
    <w:p w14:paraId="0852646F" w14:textId="77777777" w:rsidR="00000000" w:rsidRDefault="009027A3">
      <w:pPr>
        <w:pStyle w:val="a3"/>
        <w:spacing w:before="0" w:beforeAutospacing="0" w:after="0" w:afterAutospacing="0"/>
        <w:rPr>
          <w:sz w:val="20"/>
          <w:szCs w:val="20"/>
        </w:rPr>
      </w:pPr>
      <w:r>
        <w:rPr>
          <w:b/>
          <w:bCs/>
          <w:sz w:val="20"/>
          <w:szCs w:val="20"/>
        </w:rPr>
        <w:t> </w:t>
      </w:r>
    </w:p>
    <w:p w14:paraId="5BE3BCC1" w14:textId="77777777" w:rsidR="00000000" w:rsidRDefault="009027A3">
      <w:pPr>
        <w:pStyle w:val="a3"/>
        <w:spacing w:before="0" w:beforeAutospacing="0" w:after="0" w:afterAutospacing="0"/>
        <w:rPr>
          <w:sz w:val="20"/>
          <w:szCs w:val="20"/>
        </w:rPr>
      </w:pPr>
      <w:r>
        <w:rPr>
          <w:b/>
          <w:bCs/>
          <w:sz w:val="20"/>
          <w:szCs w:val="20"/>
        </w:rPr>
        <w:t>Overview</w:t>
      </w:r>
    </w:p>
    <w:p w14:paraId="4ACD2E6D" w14:textId="77777777" w:rsidR="00000000" w:rsidRDefault="009027A3">
      <w:pPr>
        <w:pStyle w:val="a3"/>
        <w:spacing w:before="0" w:beforeAutospacing="0" w:after="0" w:afterAutospacing="0"/>
        <w:rPr>
          <w:sz w:val="20"/>
          <w:szCs w:val="20"/>
        </w:rPr>
      </w:pPr>
      <w:r>
        <w:rPr>
          <w:b/>
          <w:bCs/>
          <w:sz w:val="20"/>
          <w:szCs w:val="20"/>
        </w:rPr>
        <w:t> </w:t>
      </w:r>
    </w:p>
    <w:p w14:paraId="3C7ADE2B" w14:textId="77777777" w:rsidR="00000000" w:rsidRDefault="009027A3">
      <w:pPr>
        <w:pStyle w:val="a3"/>
        <w:spacing w:before="0" w:beforeAutospacing="0" w:after="0" w:afterAutospacing="0"/>
        <w:jc w:val="both"/>
        <w:rPr>
          <w:sz w:val="20"/>
          <w:szCs w:val="20"/>
        </w:rPr>
      </w:pPr>
      <w:r>
        <w:rPr>
          <w:sz w:val="20"/>
          <w:szCs w:val="20"/>
        </w:rPr>
        <w:t>CareCloud, Inc. (“CareCloud” and together with its consolidated subsidiaries, the “Company”, “we”, “us” and/or “our”) is a healthcare information technology company that provides a full suite of proprietary cloud-based solutions, together w</w:t>
      </w:r>
      <w:r>
        <w:rPr>
          <w:sz w:val="20"/>
          <w:szCs w:val="20"/>
        </w:rPr>
        <w:t>ith related business services, to healthcare providers and hospitals throughout the United States. Our Software-as-a-Service (“SaaS”) platform includes revenue cycle management (“RCM”), practice management (“PM”), electronic health record (“EHR”), business</w:t>
      </w:r>
      <w:r>
        <w:rPr>
          <w:sz w:val="20"/>
          <w:szCs w:val="20"/>
        </w:rPr>
        <w:t xml:space="preserve"> intelligence, telehealth, patient experience management (“PXM”) solutions and complementary software tools and business services for high-performance medical groups and health systems.</w:t>
      </w:r>
    </w:p>
    <w:p w14:paraId="50A9F7E7" w14:textId="77777777" w:rsidR="00000000" w:rsidRDefault="009027A3">
      <w:pPr>
        <w:pStyle w:val="a3"/>
        <w:spacing w:before="0" w:beforeAutospacing="0" w:after="0" w:afterAutospacing="0"/>
        <w:jc w:val="both"/>
        <w:rPr>
          <w:sz w:val="20"/>
          <w:szCs w:val="20"/>
        </w:rPr>
      </w:pPr>
      <w:r>
        <w:rPr>
          <w:b/>
          <w:bCs/>
          <w:sz w:val="20"/>
          <w:szCs w:val="20"/>
        </w:rPr>
        <w:t> </w:t>
      </w:r>
    </w:p>
    <w:p w14:paraId="2398426B" w14:textId="77777777" w:rsidR="00000000" w:rsidRDefault="009027A3">
      <w:pPr>
        <w:pStyle w:val="a3"/>
        <w:spacing w:before="0" w:beforeAutospacing="0" w:after="0" w:afterAutospacing="0"/>
        <w:jc w:val="both"/>
        <w:rPr>
          <w:sz w:val="20"/>
          <w:szCs w:val="20"/>
        </w:rPr>
      </w:pPr>
      <w:r>
        <w:rPr>
          <w:sz w:val="20"/>
          <w:szCs w:val="20"/>
        </w:rPr>
        <w:t>At a high level, these solutions can be categorized as follows:</w:t>
      </w:r>
    </w:p>
    <w:p w14:paraId="2338D31F" w14:textId="77777777" w:rsidR="00000000" w:rsidRDefault="009027A3">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3E20A0D" w14:textId="77777777">
        <w:tc>
          <w:tcPr>
            <w:tcW w:w="360" w:type="dxa"/>
            <w:hideMark/>
          </w:tcPr>
          <w:p w14:paraId="56081457"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360" w:type="dxa"/>
            <w:hideMark/>
          </w:tcPr>
          <w:p w14:paraId="0F0143C5" w14:textId="77777777" w:rsidR="00000000" w:rsidRDefault="009027A3">
            <w:pPr>
              <w:jc w:val="both"/>
              <w:rPr>
                <w:rFonts w:ascii="Calibri" w:eastAsia="Times New Roman" w:hAnsi="Calibri" w:cs="Calibri"/>
                <w:sz w:val="22"/>
                <w:szCs w:val="22"/>
              </w:rPr>
            </w:pPr>
            <w:r>
              <w:rPr>
                <w:rFonts w:eastAsia="Times New Roman"/>
                <w:sz w:val="20"/>
                <w:szCs w:val="20"/>
              </w:rPr>
              <w:t>●</w:t>
            </w:r>
          </w:p>
        </w:tc>
        <w:tc>
          <w:tcPr>
            <w:tcW w:w="0" w:type="auto"/>
            <w:hideMark/>
          </w:tcPr>
          <w:p w14:paraId="3E91A133" w14:textId="77777777" w:rsidR="00000000" w:rsidRDefault="009027A3">
            <w:pPr>
              <w:jc w:val="both"/>
              <w:rPr>
                <w:rFonts w:ascii="Calibri" w:eastAsia="Times New Roman" w:hAnsi="Calibri" w:cs="Calibri"/>
                <w:sz w:val="22"/>
                <w:szCs w:val="22"/>
              </w:rPr>
            </w:pPr>
            <w:r>
              <w:rPr>
                <w:rFonts w:eastAsia="Times New Roman"/>
                <w:sz w:val="20"/>
                <w:szCs w:val="20"/>
              </w:rPr>
              <w:t>RCM services, which include end-to-end medical billing, eligibility, analytics, and related services, all of which can often be provided either with our technology platform or through a third-party system;</w:t>
            </w:r>
          </w:p>
        </w:tc>
      </w:tr>
      <w:tr w:rsidR="00000000" w14:paraId="026710B3" w14:textId="77777777">
        <w:tc>
          <w:tcPr>
            <w:tcW w:w="0" w:type="auto"/>
            <w:hideMark/>
          </w:tcPr>
          <w:p w14:paraId="41A87D79"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77E26265" w14:textId="77777777" w:rsidR="00000000" w:rsidRDefault="009027A3">
            <w:pPr>
              <w:jc w:val="both"/>
              <w:rPr>
                <w:rFonts w:ascii="Calibri" w:eastAsia="Times New Roman" w:hAnsi="Calibri" w:cs="Calibri"/>
                <w:sz w:val="22"/>
                <w:szCs w:val="22"/>
              </w:rPr>
            </w:pPr>
            <w:r>
              <w:rPr>
                <w:rFonts w:eastAsia="Times New Roman"/>
                <w:sz w:val="20"/>
                <w:szCs w:val="20"/>
              </w:rPr>
              <w:t>●</w:t>
            </w:r>
          </w:p>
        </w:tc>
        <w:tc>
          <w:tcPr>
            <w:tcW w:w="0" w:type="auto"/>
            <w:hideMark/>
          </w:tcPr>
          <w:p w14:paraId="42E5BBEB" w14:textId="77777777" w:rsidR="00000000" w:rsidRDefault="009027A3">
            <w:pPr>
              <w:jc w:val="both"/>
              <w:rPr>
                <w:rFonts w:ascii="Calibri" w:eastAsia="Times New Roman" w:hAnsi="Calibri" w:cs="Calibri"/>
                <w:sz w:val="22"/>
                <w:szCs w:val="22"/>
              </w:rPr>
            </w:pPr>
            <w:r>
              <w:rPr>
                <w:rFonts w:eastAsia="Times New Roman"/>
                <w:sz w:val="20"/>
                <w:szCs w:val="20"/>
              </w:rPr>
              <w:t>Proprietary healthcare IT software solution</w:t>
            </w:r>
            <w:r>
              <w:rPr>
                <w:rFonts w:eastAsia="Times New Roman"/>
                <w:sz w:val="20"/>
                <w:szCs w:val="20"/>
              </w:rPr>
              <w:t>s, which can be bundled with our RCM services, including:</w:t>
            </w:r>
          </w:p>
        </w:tc>
      </w:tr>
    </w:tbl>
    <w:p w14:paraId="46F84CD6" w14:textId="77777777" w:rsidR="00000000" w:rsidRDefault="009027A3">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BE54ADA" w14:textId="77777777">
        <w:tc>
          <w:tcPr>
            <w:tcW w:w="720" w:type="dxa"/>
            <w:hideMark/>
          </w:tcPr>
          <w:p w14:paraId="3EA89539"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360" w:type="dxa"/>
            <w:hideMark/>
          </w:tcPr>
          <w:p w14:paraId="64717044"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6EECC242" w14:textId="77777777" w:rsidR="00000000" w:rsidRDefault="009027A3">
            <w:pPr>
              <w:jc w:val="both"/>
              <w:rPr>
                <w:rFonts w:ascii="Calibri" w:eastAsia="Times New Roman" w:hAnsi="Calibri" w:cs="Calibri"/>
                <w:sz w:val="22"/>
                <w:szCs w:val="22"/>
              </w:rPr>
            </w:pPr>
            <w:r>
              <w:rPr>
                <w:rFonts w:eastAsia="Times New Roman"/>
                <w:sz w:val="20"/>
                <w:szCs w:val="20"/>
              </w:rPr>
              <w:t>EHRs, which are easy to use, integrated with our business services or offered as Software-as-a-Service (“SaaS”) solutions, and allow our healthcare provider clients to deliver better patient c</w:t>
            </w:r>
            <w:r>
              <w:rPr>
                <w:rFonts w:eastAsia="Times New Roman"/>
                <w:sz w:val="20"/>
                <w:szCs w:val="20"/>
              </w:rPr>
              <w:t>are, document their clinical visits effectively and thus potentially qualify for government incentives, reduce documentation errors and reduce paperwork;</w:t>
            </w:r>
          </w:p>
        </w:tc>
      </w:tr>
      <w:tr w:rsidR="00000000" w14:paraId="216DF742" w14:textId="77777777">
        <w:tc>
          <w:tcPr>
            <w:tcW w:w="0" w:type="auto"/>
            <w:hideMark/>
          </w:tcPr>
          <w:p w14:paraId="76753DD2"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0AD19D13"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26839814" w14:textId="77777777" w:rsidR="00000000" w:rsidRDefault="009027A3">
            <w:pPr>
              <w:jc w:val="both"/>
              <w:rPr>
                <w:rFonts w:ascii="Calibri" w:eastAsia="Times New Roman" w:hAnsi="Calibri" w:cs="Calibri"/>
                <w:sz w:val="22"/>
                <w:szCs w:val="22"/>
              </w:rPr>
            </w:pPr>
            <w:r>
              <w:rPr>
                <w:rFonts w:eastAsia="Times New Roman"/>
                <w:sz w:val="20"/>
                <w:szCs w:val="20"/>
              </w:rPr>
              <w:t>PM software and related tools, which support our clients’ day-to-day business operations and work</w:t>
            </w:r>
            <w:r>
              <w:rPr>
                <w:rFonts w:eastAsia="Times New Roman"/>
                <w:sz w:val="20"/>
                <w:szCs w:val="20"/>
              </w:rPr>
              <w:t>flows;</w:t>
            </w:r>
          </w:p>
        </w:tc>
      </w:tr>
      <w:tr w:rsidR="00000000" w14:paraId="7E2FE46F" w14:textId="77777777">
        <w:tc>
          <w:tcPr>
            <w:tcW w:w="0" w:type="auto"/>
            <w:hideMark/>
          </w:tcPr>
          <w:p w14:paraId="12B3571A"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052135CC"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6619932C" w14:textId="77777777" w:rsidR="00000000" w:rsidRDefault="009027A3">
            <w:pPr>
              <w:jc w:val="both"/>
              <w:rPr>
                <w:rFonts w:ascii="Calibri" w:eastAsia="Times New Roman" w:hAnsi="Calibri" w:cs="Calibri"/>
                <w:sz w:val="22"/>
                <w:szCs w:val="22"/>
              </w:rPr>
            </w:pPr>
            <w:r>
              <w:rPr>
                <w:rFonts w:eastAsia="Times New Roman"/>
                <w:sz w:val="20"/>
                <w:szCs w:val="20"/>
              </w:rPr>
              <w:t>Mobile Health (“mHealth”) solutions, including smartphone applications that assist patients and healthcare providers in the provision of healthcare services;</w:t>
            </w:r>
          </w:p>
        </w:tc>
      </w:tr>
      <w:tr w:rsidR="00000000" w14:paraId="232A080C" w14:textId="77777777">
        <w:tc>
          <w:tcPr>
            <w:tcW w:w="0" w:type="auto"/>
            <w:hideMark/>
          </w:tcPr>
          <w:p w14:paraId="0E5B7448"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6588AEAB"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47A1BF05" w14:textId="77777777" w:rsidR="00000000" w:rsidRDefault="009027A3">
            <w:pPr>
              <w:jc w:val="both"/>
              <w:rPr>
                <w:rFonts w:ascii="Calibri" w:eastAsia="Times New Roman" w:hAnsi="Calibri" w:cs="Calibri"/>
                <w:sz w:val="22"/>
                <w:szCs w:val="22"/>
              </w:rPr>
            </w:pPr>
            <w:r>
              <w:rPr>
                <w:rFonts w:eastAsia="Times New Roman"/>
                <w:sz w:val="20"/>
                <w:szCs w:val="20"/>
              </w:rPr>
              <w:t>Telehealth solutions, which allow healthcare providers to conduct remote patient visits;</w:t>
            </w:r>
          </w:p>
        </w:tc>
      </w:tr>
      <w:tr w:rsidR="00000000" w14:paraId="52C30BF1" w14:textId="77777777">
        <w:tc>
          <w:tcPr>
            <w:tcW w:w="0" w:type="auto"/>
            <w:hideMark/>
          </w:tcPr>
          <w:p w14:paraId="1E83770C"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347AD429"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672A09B3" w14:textId="77777777" w:rsidR="00000000" w:rsidRDefault="009027A3">
            <w:pPr>
              <w:jc w:val="both"/>
              <w:rPr>
                <w:rFonts w:ascii="Calibri" w:eastAsia="Times New Roman" w:hAnsi="Calibri" w:cs="Calibri"/>
                <w:sz w:val="22"/>
                <w:szCs w:val="22"/>
              </w:rPr>
            </w:pPr>
            <w:r>
              <w:rPr>
                <w:rFonts w:eastAsia="Times New Roman"/>
                <w:sz w:val="20"/>
                <w:szCs w:val="20"/>
              </w:rPr>
              <w:t>Healthcare claims clearinghouse, which enables our clients to electronically scrub and submit claims to, and process payments from, insurance companies; and</w:t>
            </w:r>
          </w:p>
        </w:tc>
      </w:tr>
      <w:tr w:rsidR="00000000" w14:paraId="1E30DB5A" w14:textId="77777777">
        <w:tc>
          <w:tcPr>
            <w:tcW w:w="0" w:type="auto"/>
            <w:hideMark/>
          </w:tcPr>
          <w:p w14:paraId="1FADF651"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14:paraId="6FCF4C20"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w:t>
            </w:r>
          </w:p>
        </w:tc>
        <w:tc>
          <w:tcPr>
            <w:tcW w:w="0" w:type="auto"/>
            <w:hideMark/>
          </w:tcPr>
          <w:p w14:paraId="7EA86B7F" w14:textId="77777777" w:rsidR="00000000" w:rsidRDefault="009027A3">
            <w:pPr>
              <w:jc w:val="both"/>
              <w:rPr>
                <w:rFonts w:ascii="Calibri" w:eastAsia="Times New Roman" w:hAnsi="Calibri" w:cs="Calibri"/>
                <w:sz w:val="22"/>
                <w:szCs w:val="22"/>
              </w:rPr>
            </w:pPr>
            <w:r>
              <w:rPr>
                <w:rFonts w:eastAsia="Times New Roman"/>
                <w:sz w:val="20"/>
                <w:szCs w:val="20"/>
              </w:rPr>
              <w:t>Business intelligence, customized applications, interfaces and a variety of other technology solutions that support our healthcare clients.</w:t>
            </w:r>
          </w:p>
        </w:tc>
      </w:tr>
    </w:tbl>
    <w:p w14:paraId="535BDB0B" w14:textId="77777777" w:rsidR="00000000" w:rsidRDefault="009027A3">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55F0AE3" w14:textId="77777777">
        <w:tc>
          <w:tcPr>
            <w:tcW w:w="360" w:type="dxa"/>
            <w:hideMark/>
          </w:tcPr>
          <w:p w14:paraId="05EF1C8D" w14:textId="77777777" w:rsidR="00000000" w:rsidRDefault="009027A3">
            <w:pPr>
              <w:jc w:val="both"/>
              <w:rPr>
                <w:rFonts w:ascii="Calibri" w:eastAsia="Times New Roman" w:hAnsi="Calibri" w:cs="Calibri"/>
                <w:sz w:val="22"/>
                <w:szCs w:val="22"/>
              </w:rPr>
            </w:pPr>
            <w:r>
              <w:rPr>
                <w:rFonts w:ascii="Calibri" w:eastAsia="Times New Roman" w:hAnsi="Calibri" w:cs="Calibri"/>
                <w:sz w:val="22"/>
                <w:szCs w:val="22"/>
              </w:rPr>
              <w:t> </w:t>
            </w:r>
          </w:p>
        </w:tc>
        <w:tc>
          <w:tcPr>
            <w:tcW w:w="360" w:type="dxa"/>
            <w:hideMark/>
          </w:tcPr>
          <w:p w14:paraId="412701BF" w14:textId="77777777" w:rsidR="00000000" w:rsidRDefault="009027A3">
            <w:pPr>
              <w:jc w:val="both"/>
              <w:rPr>
                <w:rFonts w:ascii="Calibri" w:eastAsia="Times New Roman" w:hAnsi="Calibri" w:cs="Calibri"/>
                <w:sz w:val="22"/>
                <w:szCs w:val="22"/>
              </w:rPr>
            </w:pPr>
            <w:r>
              <w:rPr>
                <w:rFonts w:eastAsia="Times New Roman"/>
                <w:sz w:val="20"/>
                <w:szCs w:val="20"/>
              </w:rPr>
              <w:t>●</w:t>
            </w:r>
          </w:p>
        </w:tc>
        <w:tc>
          <w:tcPr>
            <w:tcW w:w="0" w:type="auto"/>
            <w:hideMark/>
          </w:tcPr>
          <w:p w14:paraId="107AE2E4" w14:textId="77777777" w:rsidR="00000000" w:rsidRDefault="009027A3">
            <w:pPr>
              <w:jc w:val="both"/>
              <w:rPr>
                <w:rFonts w:ascii="Calibri" w:eastAsia="Times New Roman" w:hAnsi="Calibri" w:cs="Calibri"/>
                <w:sz w:val="22"/>
                <w:szCs w:val="22"/>
              </w:rPr>
            </w:pPr>
            <w:r>
              <w:rPr>
                <w:rFonts w:eastAsia="Times New Roman"/>
                <w:sz w:val="20"/>
                <w:szCs w:val="20"/>
              </w:rPr>
              <w:t>Medical Office Practice Management Services are provided to medical practices. In this service model, we provi</w:t>
            </w:r>
            <w:r>
              <w:rPr>
                <w:rFonts w:eastAsia="Times New Roman"/>
                <w:sz w:val="20"/>
                <w:szCs w:val="20"/>
              </w:rPr>
              <w:t>de the medical practice with appropriate facilities, equipment, supplies, support services, nurses and administrative support staff. We also provide management, bill-paying and financial advisory services.</w:t>
            </w:r>
          </w:p>
        </w:tc>
      </w:tr>
    </w:tbl>
    <w:p w14:paraId="3A3179F0" w14:textId="77777777" w:rsidR="00000000" w:rsidRDefault="009027A3">
      <w:pPr>
        <w:pStyle w:val="a3"/>
        <w:spacing w:before="0" w:beforeAutospacing="0" w:after="0" w:afterAutospacing="0"/>
        <w:ind w:left="720" w:hanging="360"/>
        <w:jc w:val="both"/>
        <w:rPr>
          <w:sz w:val="20"/>
          <w:szCs w:val="20"/>
        </w:rPr>
      </w:pPr>
      <w:r>
        <w:rPr>
          <w:sz w:val="20"/>
          <w:szCs w:val="20"/>
        </w:rPr>
        <w:t> </w:t>
      </w:r>
    </w:p>
    <w:p w14:paraId="171FAD01" w14:textId="77777777" w:rsidR="00000000" w:rsidRDefault="009027A3">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14:paraId="353CB769" w14:textId="77777777" w:rsidR="00000000" w:rsidRDefault="009027A3">
      <w:pPr>
        <w:pStyle w:val="a3"/>
        <w:spacing w:before="0" w:beforeAutospacing="0" w:after="0" w:afterAutospacing="0"/>
        <w:jc w:val="both"/>
        <w:rPr>
          <w:sz w:val="20"/>
          <w:szCs w:val="20"/>
        </w:rPr>
      </w:pPr>
      <w:r>
        <w:rPr>
          <w:sz w:val="20"/>
          <w:szCs w:val="20"/>
        </w:rPr>
        <w:t> </w:t>
      </w:r>
    </w:p>
    <w:p w14:paraId="75550BE3" w14:textId="77777777" w:rsidR="00000000" w:rsidRDefault="009027A3">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14:paraId="5AB5EE03" w14:textId="77777777" w:rsidR="00000000" w:rsidRDefault="009027A3">
      <w:pPr>
        <w:pStyle w:val="a3"/>
        <w:spacing w:before="0" w:beforeAutospacing="0" w:after="0" w:afterAutospacing="0"/>
        <w:jc w:val="both"/>
        <w:rPr>
          <w:sz w:val="20"/>
          <w:szCs w:val="20"/>
        </w:rPr>
      </w:pPr>
      <w:r>
        <w:rPr>
          <w:sz w:val="20"/>
          <w:szCs w:val="20"/>
        </w:rPr>
        <w:t> </w:t>
      </w:r>
    </w:p>
    <w:p w14:paraId="1078CE52" w14:textId="77777777" w:rsidR="00000000" w:rsidRDefault="009027A3">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w:t>
      </w:r>
      <w:r>
        <w:rPr>
          <w:sz w:val="20"/>
          <w:szCs w:val="20"/>
        </w:rPr>
        <w:t>proprietary software, which automates our workflows and increases efficiency, together with our team of approximately 600 experienced health industry experts throughout the United States. These experts are supported by our highly educated and specialized o</w:t>
      </w:r>
      <w:r>
        <w:rPr>
          <w:sz w:val="20"/>
          <w:szCs w:val="20"/>
        </w:rPr>
        <w:t>ffshore workforce of approximately 3,200 team members at labor costs that we believe are approximately one-tenth the cost of comparable U.S. employees. Our unique business model also allowed us to become a leading consolidator in our industry sector, gaini</w:t>
      </w:r>
      <w:r>
        <w:rPr>
          <w:sz w:val="20"/>
          <w:szCs w:val="20"/>
        </w:rPr>
        <w:t>ng us a reputation for acquiring and positively transforming distressed competitors into profitable operations of CareCloud.</w:t>
      </w:r>
    </w:p>
    <w:p w14:paraId="058FE27B" w14:textId="77777777" w:rsidR="00000000" w:rsidRDefault="009027A3">
      <w:pPr>
        <w:pStyle w:val="a3"/>
        <w:spacing w:before="0" w:beforeAutospacing="0" w:after="0" w:afterAutospacing="0"/>
        <w:jc w:val="both"/>
        <w:rPr>
          <w:sz w:val="20"/>
          <w:szCs w:val="20"/>
        </w:rPr>
      </w:pPr>
      <w:r>
        <w:rPr>
          <w:sz w:val="20"/>
          <w:szCs w:val="20"/>
        </w:rPr>
        <w:t> </w:t>
      </w:r>
    </w:p>
    <w:p w14:paraId="7BF02F1E" w14:textId="77777777" w:rsidR="00000000" w:rsidRDefault="009027A3">
      <w:pPr>
        <w:pStyle w:val="a3"/>
        <w:shd w:val="clear" w:color="auto" w:fill="FFFFFF"/>
        <w:spacing w:before="0" w:beforeAutospacing="0" w:after="0" w:afterAutospacing="0"/>
        <w:jc w:val="both"/>
        <w:rPr>
          <w:sz w:val="20"/>
          <w:szCs w:val="20"/>
        </w:rPr>
      </w:pPr>
      <w:r>
        <w:rPr>
          <w:sz w:val="20"/>
          <w:szCs w:val="20"/>
        </w:rPr>
        <w:t>Adoption of our RCM solutions typically requires little or no upfront expenditure by a client. Additionally, for most of our solu</w:t>
      </w:r>
      <w:r>
        <w:rPr>
          <w:sz w:val="20"/>
          <w:szCs w:val="20"/>
        </w:rPr>
        <w:t>tions and customers, our financial performance is linked directly to the financial performance of our clients, as the vast majority of our revenues are based on a percentage of our clients’ collections. The fees we charge for our complete, integrated, end-</w:t>
      </w:r>
      <w:r>
        <w:rPr>
          <w:sz w:val="20"/>
          <w:szCs w:val="20"/>
        </w:rPr>
        <w:t>to-end solution are very competitive and among the lowest in the industry. We estimate that we currently provide services to more than 40,000 providers, (which we define as physicians, nurses, nurse practitioners, physician assistants and other clinical st</w:t>
      </w:r>
      <w:r>
        <w:rPr>
          <w:sz w:val="20"/>
          <w:szCs w:val="20"/>
        </w:rPr>
        <w:t xml:space="preserve">aff that render bills for their services) practicing in approximately 2,600 independent medical practices and hospitals </w:t>
      </w:r>
      <w:r>
        <w:rPr>
          <w:sz w:val="20"/>
          <w:szCs w:val="20"/>
          <w:shd w:val="clear" w:color="auto" w:fill="FFFFFF"/>
        </w:rPr>
        <w:t>representing 80 specialties and subspecialties in 50 states. In addition, we serve approximately 200 clients which are not medical pract</w:t>
      </w:r>
      <w:r>
        <w:rPr>
          <w:sz w:val="20"/>
          <w:szCs w:val="20"/>
          <w:shd w:val="clear" w:color="auto" w:fill="FFFFFF"/>
        </w:rPr>
        <w:t>ices, but are primarily service organizations who serve the healthcare community. The foregoing numbers include clients leveraging any of our products or services, and are based, in part, upon estimates where the precise number of practices or providers is</w:t>
      </w:r>
      <w:r>
        <w:rPr>
          <w:sz w:val="20"/>
          <w:szCs w:val="20"/>
          <w:shd w:val="clear" w:color="auto" w:fill="FFFFFF"/>
        </w:rPr>
        <w:t xml:space="preserve"> unknown</w:t>
      </w:r>
      <w:r>
        <w:rPr>
          <w:sz w:val="20"/>
          <w:szCs w:val="20"/>
        </w:rPr>
        <w:t>.</w:t>
      </w:r>
    </w:p>
    <w:p w14:paraId="484C991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4CAED1F" w14:textId="77777777">
        <w:trPr>
          <w:divId w:val="489978068"/>
        </w:trPr>
        <w:tc>
          <w:tcPr>
            <w:tcW w:w="5000" w:type="pct"/>
            <w:hideMark/>
          </w:tcPr>
          <w:p w14:paraId="3D991517"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1E4E493E" w14:textId="77777777">
        <w:tc>
          <w:tcPr>
            <w:tcW w:w="5000" w:type="pct"/>
            <w:hideMark/>
          </w:tcPr>
          <w:p w14:paraId="67F788F7" w14:textId="77777777" w:rsidR="00000000" w:rsidRDefault="009027A3">
            <w:pPr>
              <w:rPr>
                <w:rFonts w:eastAsia="Times New Roman"/>
                <w:sz w:val="20"/>
                <w:szCs w:val="20"/>
              </w:rPr>
            </w:pPr>
            <w:r>
              <w:rPr>
                <w:rFonts w:eastAsia="Times New Roman"/>
                <w:sz w:val="20"/>
                <w:szCs w:val="20"/>
              </w:rPr>
              <w:t> </w:t>
            </w:r>
          </w:p>
        </w:tc>
      </w:tr>
    </w:tbl>
    <w:p w14:paraId="3C5C9D60"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80E3B26" w14:textId="77777777" w:rsidR="00000000" w:rsidRDefault="009027A3">
      <w:pPr>
        <w:pStyle w:val="a3"/>
        <w:shd w:val="clear" w:color="auto" w:fill="FFFFFF"/>
        <w:spacing w:before="0" w:beforeAutospacing="0" w:after="0" w:afterAutospacing="0"/>
        <w:jc w:val="both"/>
        <w:rPr>
          <w:sz w:val="20"/>
          <w:szCs w:val="20"/>
        </w:rPr>
      </w:pPr>
      <w:r>
        <w:rPr>
          <w:sz w:val="20"/>
          <w:szCs w:val="20"/>
        </w:rPr>
        <w:t>We service clients ranging from small practices, consisting of one to ten providers, to large practices with over 2,000 providers operating in multiple states, to community hospitals.</w:t>
      </w:r>
    </w:p>
    <w:p w14:paraId="65000163"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C4211F9" w14:textId="77777777" w:rsidR="00000000" w:rsidRDefault="009027A3">
      <w:pPr>
        <w:pStyle w:val="a3"/>
        <w:spacing w:before="0" w:beforeAutospacing="0" w:after="0" w:afterAutospacing="0"/>
        <w:jc w:val="both"/>
        <w:rPr>
          <w:sz w:val="20"/>
          <w:szCs w:val="20"/>
        </w:rPr>
      </w:pPr>
      <w:r>
        <w:rPr>
          <w:sz w:val="20"/>
          <w:szCs w:val="20"/>
        </w:rPr>
        <w:t>On January 8, 2020, through a merger with a subs</w:t>
      </w:r>
      <w:r>
        <w:rPr>
          <w:sz w:val="20"/>
          <w:szCs w:val="20"/>
        </w:rPr>
        <w:t xml:space="preserve">idiary, the Company acquired CareCloud Corporation, a Delaware corporation which was subsequently renamed CareCloud Health, Inc (“CCH”), which has developed a highly acclaimed cloud-based platform including EHR, PM and patient experience capabilities. The </w:t>
      </w:r>
      <w:r>
        <w:rPr>
          <w:sz w:val="20"/>
          <w:szCs w:val="20"/>
        </w:rPr>
        <w:t xml:space="preserve">Company paid $11.9 million in cash, assumed a working capital deficiency of approximately $5.1 million and issued 760,000 shares of the Company’s Series A Preferred Stock and two million warrants for the purchase of the Company’s common stock at prices of </w:t>
      </w:r>
      <w:r>
        <w:rPr>
          <w:sz w:val="20"/>
          <w:szCs w:val="20"/>
        </w:rPr>
        <w:t>$7.50 for two years and $10.00 per share for three years.</w:t>
      </w:r>
    </w:p>
    <w:p w14:paraId="1DB86396" w14:textId="77777777" w:rsidR="00000000" w:rsidRDefault="009027A3">
      <w:pPr>
        <w:pStyle w:val="a3"/>
        <w:spacing w:before="0" w:beforeAutospacing="0" w:after="0" w:afterAutospacing="0"/>
        <w:jc w:val="both"/>
        <w:rPr>
          <w:sz w:val="20"/>
          <w:szCs w:val="20"/>
        </w:rPr>
      </w:pPr>
      <w:r>
        <w:rPr>
          <w:sz w:val="20"/>
          <w:szCs w:val="20"/>
        </w:rPr>
        <w:t> </w:t>
      </w:r>
    </w:p>
    <w:p w14:paraId="45D13B12" w14:textId="77777777" w:rsidR="00000000" w:rsidRDefault="009027A3">
      <w:pPr>
        <w:pStyle w:val="a3"/>
        <w:spacing w:before="0" w:beforeAutospacing="0" w:after="0" w:afterAutospacing="0"/>
        <w:jc w:val="both"/>
        <w:rPr>
          <w:sz w:val="20"/>
          <w:szCs w:val="20"/>
        </w:rPr>
      </w:pPr>
      <w:r>
        <w:rPr>
          <w:sz w:val="20"/>
          <w:szCs w:val="20"/>
        </w:rPr>
        <w:t xml:space="preserve">On </w:t>
      </w:r>
      <w:r>
        <w:rPr>
          <w:sz w:val="20"/>
          <w:szCs w:val="20"/>
        </w:rPr>
        <w:t>June 16, 2020, the Company purchased all of the issued and outstanding capital stock of Meridian Billing Management Co. and its affiliate Origin Holdings, Inc. (collectively “Meridian” and sometimes referred to as “Meridian Medical Management”), a former G</w:t>
      </w:r>
      <w:r>
        <w:rPr>
          <w:sz w:val="20"/>
          <w:szCs w:val="20"/>
        </w:rPr>
        <w:t>E Healthcare IT company that delivers advanced healthcare information technology solutions and services. The Company paid $11.9 million in cash, issued 200,000 shares of the Company’s Series A Preferred Stock and warrants to purchase 2,250,000 of the Compa</w:t>
      </w:r>
      <w:r>
        <w:rPr>
          <w:sz w:val="20"/>
          <w:szCs w:val="20"/>
        </w:rPr>
        <w:t>ny’s common stock with an exercise price per share of $7.50 for two years and assumed Meridian’s negative working capital and certain long-term lease liabilities where the space is either not being utilized or will be vacated shortly, with an aggregate val</w:t>
      </w:r>
      <w:r>
        <w:rPr>
          <w:sz w:val="20"/>
          <w:szCs w:val="20"/>
        </w:rPr>
        <w:t>ue of approximately $4.8 million.</w:t>
      </w:r>
    </w:p>
    <w:p w14:paraId="06D4099E" w14:textId="77777777" w:rsidR="00000000" w:rsidRDefault="009027A3">
      <w:pPr>
        <w:pStyle w:val="a3"/>
        <w:spacing w:before="0" w:beforeAutospacing="0" w:after="0" w:afterAutospacing="0"/>
        <w:jc w:val="both"/>
        <w:rPr>
          <w:sz w:val="20"/>
          <w:szCs w:val="20"/>
        </w:rPr>
      </w:pPr>
      <w:r>
        <w:rPr>
          <w:sz w:val="20"/>
          <w:szCs w:val="20"/>
        </w:rPr>
        <w:t> </w:t>
      </w:r>
    </w:p>
    <w:p w14:paraId="0F81B157" w14:textId="77777777" w:rsidR="00000000" w:rsidRDefault="009027A3">
      <w:pPr>
        <w:pStyle w:val="a3"/>
        <w:shd w:val="clear" w:color="auto" w:fill="FFFFFF"/>
        <w:spacing w:before="0" w:beforeAutospacing="0" w:after="0" w:afterAutospacing="0"/>
        <w:jc w:val="both"/>
        <w:rPr>
          <w:sz w:val="20"/>
          <w:szCs w:val="20"/>
        </w:rPr>
      </w:pPr>
      <w:r>
        <w:rPr>
          <w:sz w:val="20"/>
          <w:szCs w:val="20"/>
        </w:rPr>
        <w:t>Our offshore operations in Pakistan and Sri Lanka accounted for approximately 12% and 11% of total expenses for the three months ended March 31, 2021 and 2020, respectively. A significant portion of those foreign expense</w:t>
      </w:r>
      <w:r>
        <w:rPr>
          <w:sz w:val="20"/>
          <w:szCs w:val="20"/>
        </w:rPr>
        <w:t>s were personnel-related costs (approximately 80% for both the three months ended March 31, 2021 and 2020). Because personnel-related costs are significantly lower in Pakistan and Sri Lanka than in the U.S. and many other offshore locations, we believe our</w:t>
      </w:r>
      <w:r>
        <w:rPr>
          <w:sz w:val="20"/>
          <w:szCs w:val="20"/>
        </w:rPr>
        <w:t xml:space="preserve"> offshore operations give us a competitive advantage over many industry participants. We are able to achieve significant cost reductions as leverage technology to reduce manual work and strategically transition a portion of the remaining manual tasks to ou</w:t>
      </w:r>
      <w:r>
        <w:rPr>
          <w:sz w:val="20"/>
          <w:szCs w:val="20"/>
        </w:rPr>
        <w:t>r highly-specialized, cost-efficient team in the U.S., Pakistan and Sri Lanka.</w:t>
      </w:r>
    </w:p>
    <w:p w14:paraId="7D7D204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44B7305" w14:textId="77777777" w:rsidR="00000000" w:rsidRDefault="009027A3">
      <w:pPr>
        <w:pStyle w:val="a3"/>
        <w:shd w:val="clear" w:color="auto" w:fill="FFFFFF"/>
        <w:spacing w:before="0" w:beforeAutospacing="0" w:after="0" w:afterAutospacing="0"/>
        <w:rPr>
          <w:sz w:val="20"/>
          <w:szCs w:val="20"/>
        </w:rPr>
      </w:pPr>
      <w:r>
        <w:rPr>
          <w:b/>
          <w:bCs/>
          <w:sz w:val="20"/>
          <w:szCs w:val="20"/>
        </w:rPr>
        <w:t>Key Performance Measures</w:t>
      </w:r>
    </w:p>
    <w:p w14:paraId="1D886827" w14:textId="77777777" w:rsidR="00000000" w:rsidRDefault="009027A3">
      <w:pPr>
        <w:pStyle w:val="a3"/>
        <w:shd w:val="clear" w:color="auto" w:fill="FFFFFF"/>
        <w:spacing w:before="0" w:beforeAutospacing="0" w:after="0" w:afterAutospacing="0"/>
        <w:rPr>
          <w:sz w:val="20"/>
          <w:szCs w:val="20"/>
        </w:rPr>
      </w:pPr>
      <w:r>
        <w:rPr>
          <w:sz w:val="20"/>
          <w:szCs w:val="20"/>
        </w:rPr>
        <w:t> </w:t>
      </w:r>
    </w:p>
    <w:p w14:paraId="151051C6" w14:textId="77777777" w:rsidR="00000000" w:rsidRDefault="009027A3">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performance measures used by management, including adjusted EBITDA, adjusted operatin</w:t>
      </w:r>
      <w:r>
        <w:rPr>
          <w:sz w:val="20"/>
          <w:szCs w:val="20"/>
        </w:rPr>
        <w:t>g income, adjusted operating margin, adjusted net income and adjusted net income per share, are non-GAAP financial measures, which we believe better enable management and investors to analyze and compare the underlying business results from period to perio</w:t>
      </w:r>
      <w:r>
        <w:rPr>
          <w:sz w:val="20"/>
          <w:szCs w:val="20"/>
        </w:rPr>
        <w:t>d.</w:t>
      </w:r>
    </w:p>
    <w:p w14:paraId="2E1DD5D9"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9A1B328" w14:textId="77777777" w:rsidR="00000000" w:rsidRDefault="009027A3">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 or superior to, financial measures calculated in accordance with accounting principles generally accepted in the United States of America (“GAAP”). Moreove</w:t>
      </w:r>
      <w:r>
        <w:rPr>
          <w:sz w:val="20"/>
          <w:szCs w:val="20"/>
        </w:rPr>
        <w:t>r, these non-GAAP financial measures have limitations in that they do not reflect all the items associated with the operations of our business as determined in accordance with GAAP. We compensate for these limitations by analyzing current and future result</w:t>
      </w:r>
      <w:r>
        <w:rPr>
          <w:sz w:val="20"/>
          <w:szCs w:val="20"/>
        </w:rPr>
        <w:t>s on a GAAP basis as well as a non-GAAP basis, and we provide reconciliations from the most directly comparable GAAP financial measures to the non-GAAP financial measures. Our non-GAAP financial measures may not be comparable to similarly titled measures o</w:t>
      </w:r>
      <w:r>
        <w:rPr>
          <w:sz w:val="20"/>
          <w:szCs w:val="20"/>
        </w:rPr>
        <w:t>f other companies. Other companies, including companies in our industry, may calculate similarly titled non-GAAP financial measures differently than we do, limiting the usefulness of those measures for comparative purposes.</w:t>
      </w:r>
    </w:p>
    <w:p w14:paraId="5B62F0C1"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DBAF32D" w14:textId="77777777" w:rsidR="00000000" w:rsidRDefault="009027A3">
      <w:pPr>
        <w:pStyle w:val="a3"/>
        <w:shd w:val="clear" w:color="auto" w:fill="FFFFFF"/>
        <w:spacing w:before="0" w:beforeAutospacing="0" w:after="0" w:afterAutospacing="0"/>
        <w:jc w:val="both"/>
        <w:rPr>
          <w:sz w:val="20"/>
          <w:szCs w:val="20"/>
        </w:rPr>
      </w:pPr>
      <w:r>
        <w:rPr>
          <w:sz w:val="20"/>
          <w:szCs w:val="20"/>
        </w:rPr>
        <w:t>Adjusted EBITDA, adjusted oper</w:t>
      </w:r>
      <w:r>
        <w:rPr>
          <w:sz w:val="20"/>
          <w:szCs w:val="20"/>
        </w:rPr>
        <w:t xml:space="preserve">ating income, adjusted operating margin, adjusted net income and adjusted net income per share provide an alternative view of performance used by management and we believe that an investor’s understanding of our performance is enhanced by disclosing these </w:t>
      </w:r>
      <w:r>
        <w:rPr>
          <w:sz w:val="20"/>
          <w:szCs w:val="20"/>
        </w:rPr>
        <w:t>adjusted performance measures.</w:t>
      </w:r>
    </w:p>
    <w:p w14:paraId="0810081A"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911F1BD" w14:textId="77777777">
        <w:trPr>
          <w:divId w:val="1187138658"/>
        </w:trPr>
        <w:tc>
          <w:tcPr>
            <w:tcW w:w="5000" w:type="pct"/>
            <w:hideMark/>
          </w:tcPr>
          <w:p w14:paraId="6A137F92" w14:textId="77777777" w:rsidR="00000000" w:rsidRDefault="009027A3">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C6D7C8F" w14:textId="77777777">
        <w:tc>
          <w:tcPr>
            <w:tcW w:w="5000" w:type="pct"/>
            <w:hideMark/>
          </w:tcPr>
          <w:p w14:paraId="10739024" w14:textId="77777777" w:rsidR="00000000" w:rsidRDefault="009027A3">
            <w:pPr>
              <w:rPr>
                <w:rFonts w:eastAsia="Times New Roman"/>
                <w:sz w:val="20"/>
                <w:szCs w:val="20"/>
              </w:rPr>
            </w:pPr>
            <w:r>
              <w:rPr>
                <w:rFonts w:eastAsia="Times New Roman"/>
                <w:sz w:val="20"/>
                <w:szCs w:val="20"/>
              </w:rPr>
              <w:t> </w:t>
            </w:r>
          </w:p>
        </w:tc>
      </w:tr>
    </w:tbl>
    <w:p w14:paraId="4F505EBA"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94EEB2C" w14:textId="77777777" w:rsidR="00000000" w:rsidRDefault="009027A3">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14:paraId="43A0DC83"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086ED85" w14:textId="77777777">
        <w:tc>
          <w:tcPr>
            <w:tcW w:w="360" w:type="dxa"/>
            <w:hideMark/>
          </w:tcPr>
          <w:p w14:paraId="0D386C27" w14:textId="77777777" w:rsidR="00000000" w:rsidRDefault="009027A3">
            <w:pPr>
              <w:rPr>
                <w:rFonts w:eastAsia="Times New Roman"/>
                <w:sz w:val="20"/>
                <w:szCs w:val="20"/>
              </w:rPr>
            </w:pPr>
            <w:r>
              <w:rPr>
                <w:rFonts w:eastAsia="Times New Roman"/>
                <w:sz w:val="20"/>
                <w:szCs w:val="20"/>
              </w:rPr>
              <w:t> </w:t>
            </w:r>
          </w:p>
        </w:tc>
        <w:tc>
          <w:tcPr>
            <w:tcW w:w="360" w:type="dxa"/>
            <w:hideMark/>
          </w:tcPr>
          <w:p w14:paraId="4899D07C" w14:textId="77777777" w:rsidR="00000000" w:rsidRDefault="009027A3">
            <w:pPr>
              <w:rPr>
                <w:rFonts w:eastAsia="Times New Roman"/>
                <w:sz w:val="20"/>
                <w:szCs w:val="20"/>
              </w:rPr>
            </w:pPr>
            <w:r>
              <w:rPr>
                <w:rFonts w:eastAsia="Times New Roman"/>
                <w:sz w:val="20"/>
                <w:szCs w:val="20"/>
              </w:rPr>
              <w:t>●</w:t>
            </w:r>
          </w:p>
        </w:tc>
        <w:tc>
          <w:tcPr>
            <w:tcW w:w="0" w:type="auto"/>
            <w:hideMark/>
          </w:tcPr>
          <w:p w14:paraId="4FE0075A" w14:textId="77777777" w:rsidR="00000000" w:rsidRDefault="009027A3">
            <w:pPr>
              <w:jc w:val="both"/>
              <w:rPr>
                <w:rFonts w:eastAsia="Times New Roman"/>
                <w:sz w:val="20"/>
                <w:szCs w:val="20"/>
              </w:rPr>
            </w:pPr>
            <w:r>
              <w:rPr>
                <w:rFonts w:eastAsia="Times New Roman"/>
                <w:sz w:val="20"/>
                <w:szCs w:val="20"/>
              </w:rPr>
              <w:t xml:space="preserve">Income </w:t>
            </w:r>
            <w:r>
              <w:rPr>
                <w:rFonts w:eastAsia="Times New Roman"/>
                <w:sz w:val="20"/>
                <w:szCs w:val="20"/>
              </w:rPr>
              <w:t>tax expense (benefit) or the cash requirements to pay our taxes;</w:t>
            </w:r>
          </w:p>
        </w:tc>
      </w:tr>
      <w:tr w:rsidR="00000000" w14:paraId="25572996" w14:textId="77777777">
        <w:tc>
          <w:tcPr>
            <w:tcW w:w="0" w:type="auto"/>
            <w:hideMark/>
          </w:tcPr>
          <w:p w14:paraId="335301C0" w14:textId="77777777" w:rsidR="00000000" w:rsidRDefault="009027A3">
            <w:pPr>
              <w:rPr>
                <w:rFonts w:eastAsia="Times New Roman"/>
                <w:sz w:val="20"/>
                <w:szCs w:val="20"/>
              </w:rPr>
            </w:pPr>
            <w:r>
              <w:rPr>
                <w:rFonts w:eastAsia="Times New Roman"/>
                <w:sz w:val="20"/>
                <w:szCs w:val="20"/>
              </w:rPr>
              <w:t> </w:t>
            </w:r>
          </w:p>
        </w:tc>
        <w:tc>
          <w:tcPr>
            <w:tcW w:w="0" w:type="auto"/>
            <w:hideMark/>
          </w:tcPr>
          <w:p w14:paraId="1276F4F3" w14:textId="77777777" w:rsidR="00000000" w:rsidRDefault="009027A3">
            <w:pPr>
              <w:rPr>
                <w:rFonts w:eastAsia="Times New Roman"/>
                <w:sz w:val="20"/>
                <w:szCs w:val="20"/>
              </w:rPr>
            </w:pPr>
            <w:r>
              <w:rPr>
                <w:rFonts w:eastAsia="Times New Roman"/>
                <w:sz w:val="20"/>
                <w:szCs w:val="20"/>
              </w:rPr>
              <w:t>●</w:t>
            </w:r>
          </w:p>
        </w:tc>
        <w:tc>
          <w:tcPr>
            <w:tcW w:w="0" w:type="auto"/>
            <w:hideMark/>
          </w:tcPr>
          <w:p w14:paraId="789FCBB7" w14:textId="77777777" w:rsidR="00000000" w:rsidRDefault="009027A3">
            <w:pPr>
              <w:jc w:val="both"/>
              <w:rPr>
                <w:rFonts w:eastAsia="Times New Roman"/>
                <w:sz w:val="20"/>
                <w:szCs w:val="20"/>
              </w:rPr>
            </w:pPr>
            <w:r>
              <w:rPr>
                <w:rFonts w:eastAsia="Times New Roman"/>
                <w:sz w:val="20"/>
                <w:szCs w:val="20"/>
              </w:rPr>
              <w:t>Interest expense, or the cash requirements necessary to service interest on principal payments, on our debt;</w:t>
            </w:r>
          </w:p>
        </w:tc>
      </w:tr>
      <w:tr w:rsidR="00000000" w14:paraId="2E272384" w14:textId="77777777">
        <w:tc>
          <w:tcPr>
            <w:tcW w:w="0" w:type="auto"/>
            <w:hideMark/>
          </w:tcPr>
          <w:p w14:paraId="1BE32DF2" w14:textId="77777777" w:rsidR="00000000" w:rsidRDefault="009027A3">
            <w:pPr>
              <w:rPr>
                <w:rFonts w:eastAsia="Times New Roman"/>
                <w:sz w:val="20"/>
                <w:szCs w:val="20"/>
              </w:rPr>
            </w:pPr>
            <w:r>
              <w:rPr>
                <w:rFonts w:eastAsia="Times New Roman"/>
                <w:sz w:val="20"/>
                <w:szCs w:val="20"/>
              </w:rPr>
              <w:t> </w:t>
            </w:r>
          </w:p>
        </w:tc>
        <w:tc>
          <w:tcPr>
            <w:tcW w:w="0" w:type="auto"/>
            <w:hideMark/>
          </w:tcPr>
          <w:p w14:paraId="75665735" w14:textId="77777777" w:rsidR="00000000" w:rsidRDefault="009027A3">
            <w:pPr>
              <w:rPr>
                <w:rFonts w:eastAsia="Times New Roman"/>
                <w:sz w:val="20"/>
                <w:szCs w:val="20"/>
              </w:rPr>
            </w:pPr>
            <w:r>
              <w:rPr>
                <w:rFonts w:eastAsia="Times New Roman"/>
                <w:sz w:val="20"/>
                <w:szCs w:val="20"/>
              </w:rPr>
              <w:t>●</w:t>
            </w:r>
          </w:p>
        </w:tc>
        <w:tc>
          <w:tcPr>
            <w:tcW w:w="0" w:type="auto"/>
            <w:hideMark/>
          </w:tcPr>
          <w:p w14:paraId="722C723B" w14:textId="77777777" w:rsidR="00000000" w:rsidRDefault="009027A3">
            <w:pPr>
              <w:jc w:val="both"/>
              <w:rPr>
                <w:rFonts w:eastAsia="Times New Roman"/>
                <w:sz w:val="20"/>
                <w:szCs w:val="20"/>
              </w:rPr>
            </w:pPr>
            <w:r>
              <w:rPr>
                <w:rFonts w:eastAsia="Times New Roman"/>
                <w:sz w:val="20"/>
                <w:szCs w:val="20"/>
              </w:rPr>
              <w:t>Foreign currency gains and losses and other non-operating expenditures;</w:t>
            </w:r>
          </w:p>
        </w:tc>
      </w:tr>
      <w:tr w:rsidR="00000000" w14:paraId="026397A5" w14:textId="77777777">
        <w:tc>
          <w:tcPr>
            <w:tcW w:w="0" w:type="auto"/>
            <w:hideMark/>
          </w:tcPr>
          <w:p w14:paraId="2E8A4FF4" w14:textId="77777777" w:rsidR="00000000" w:rsidRDefault="009027A3">
            <w:pPr>
              <w:rPr>
                <w:rFonts w:eastAsia="Times New Roman"/>
                <w:sz w:val="20"/>
                <w:szCs w:val="20"/>
              </w:rPr>
            </w:pPr>
            <w:r>
              <w:rPr>
                <w:rFonts w:eastAsia="Times New Roman"/>
                <w:sz w:val="20"/>
                <w:szCs w:val="20"/>
              </w:rPr>
              <w:t> </w:t>
            </w:r>
          </w:p>
        </w:tc>
        <w:tc>
          <w:tcPr>
            <w:tcW w:w="0" w:type="auto"/>
            <w:hideMark/>
          </w:tcPr>
          <w:p w14:paraId="0B2A04AF" w14:textId="77777777" w:rsidR="00000000" w:rsidRDefault="009027A3">
            <w:pPr>
              <w:rPr>
                <w:rFonts w:eastAsia="Times New Roman"/>
                <w:sz w:val="20"/>
                <w:szCs w:val="20"/>
              </w:rPr>
            </w:pPr>
            <w:r>
              <w:rPr>
                <w:rFonts w:eastAsia="Times New Roman"/>
                <w:sz w:val="20"/>
                <w:szCs w:val="20"/>
              </w:rPr>
              <w:t>●</w:t>
            </w:r>
          </w:p>
        </w:tc>
        <w:tc>
          <w:tcPr>
            <w:tcW w:w="0" w:type="auto"/>
            <w:hideMark/>
          </w:tcPr>
          <w:p w14:paraId="66025429" w14:textId="77777777" w:rsidR="00000000" w:rsidRDefault="009027A3">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14:paraId="2F68DE6E" w14:textId="77777777">
        <w:tc>
          <w:tcPr>
            <w:tcW w:w="0" w:type="auto"/>
            <w:hideMark/>
          </w:tcPr>
          <w:p w14:paraId="41BD33E3" w14:textId="77777777" w:rsidR="00000000" w:rsidRDefault="009027A3">
            <w:pPr>
              <w:rPr>
                <w:rFonts w:eastAsia="Times New Roman"/>
                <w:sz w:val="20"/>
                <w:szCs w:val="20"/>
              </w:rPr>
            </w:pPr>
            <w:r>
              <w:rPr>
                <w:rFonts w:eastAsia="Times New Roman"/>
                <w:sz w:val="20"/>
                <w:szCs w:val="20"/>
              </w:rPr>
              <w:t> </w:t>
            </w:r>
          </w:p>
        </w:tc>
        <w:tc>
          <w:tcPr>
            <w:tcW w:w="0" w:type="auto"/>
            <w:hideMark/>
          </w:tcPr>
          <w:p w14:paraId="127C65FC" w14:textId="77777777" w:rsidR="00000000" w:rsidRDefault="009027A3">
            <w:pPr>
              <w:rPr>
                <w:rFonts w:eastAsia="Times New Roman"/>
                <w:sz w:val="20"/>
                <w:szCs w:val="20"/>
              </w:rPr>
            </w:pPr>
            <w:r>
              <w:rPr>
                <w:rFonts w:eastAsia="Times New Roman"/>
                <w:sz w:val="20"/>
                <w:szCs w:val="20"/>
              </w:rPr>
              <w:t>●</w:t>
            </w:r>
          </w:p>
        </w:tc>
        <w:tc>
          <w:tcPr>
            <w:tcW w:w="0" w:type="auto"/>
            <w:hideMark/>
          </w:tcPr>
          <w:p w14:paraId="496128D9" w14:textId="77777777" w:rsidR="00000000" w:rsidRDefault="009027A3">
            <w:pPr>
              <w:jc w:val="both"/>
              <w:rPr>
                <w:rFonts w:eastAsia="Times New Roman"/>
                <w:sz w:val="20"/>
                <w:szCs w:val="20"/>
              </w:rPr>
            </w:pPr>
            <w:r>
              <w:rPr>
                <w:rFonts w:eastAsia="Times New Roman"/>
                <w:sz w:val="20"/>
                <w:szCs w:val="20"/>
              </w:rPr>
              <w:t>Depreciation and amortization charges;</w:t>
            </w:r>
          </w:p>
        </w:tc>
      </w:tr>
      <w:tr w:rsidR="00000000" w14:paraId="7C2B4A87" w14:textId="77777777">
        <w:tc>
          <w:tcPr>
            <w:tcW w:w="0" w:type="auto"/>
            <w:hideMark/>
          </w:tcPr>
          <w:p w14:paraId="6529F461" w14:textId="77777777" w:rsidR="00000000" w:rsidRDefault="009027A3">
            <w:pPr>
              <w:rPr>
                <w:rFonts w:eastAsia="Times New Roman"/>
                <w:sz w:val="20"/>
                <w:szCs w:val="20"/>
              </w:rPr>
            </w:pPr>
            <w:r>
              <w:rPr>
                <w:rFonts w:eastAsia="Times New Roman"/>
                <w:sz w:val="20"/>
                <w:szCs w:val="20"/>
              </w:rPr>
              <w:t> </w:t>
            </w:r>
          </w:p>
        </w:tc>
        <w:tc>
          <w:tcPr>
            <w:tcW w:w="0" w:type="auto"/>
            <w:hideMark/>
          </w:tcPr>
          <w:p w14:paraId="159125F3" w14:textId="77777777" w:rsidR="00000000" w:rsidRDefault="009027A3">
            <w:pPr>
              <w:rPr>
                <w:rFonts w:eastAsia="Times New Roman"/>
                <w:sz w:val="20"/>
                <w:szCs w:val="20"/>
              </w:rPr>
            </w:pPr>
            <w:r>
              <w:rPr>
                <w:rFonts w:eastAsia="Times New Roman"/>
                <w:sz w:val="20"/>
                <w:szCs w:val="20"/>
              </w:rPr>
              <w:t>●</w:t>
            </w:r>
          </w:p>
        </w:tc>
        <w:tc>
          <w:tcPr>
            <w:tcW w:w="0" w:type="auto"/>
            <w:hideMark/>
          </w:tcPr>
          <w:p w14:paraId="7C69A6A7" w14:textId="77777777" w:rsidR="00000000" w:rsidRDefault="009027A3">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 and</w:t>
            </w:r>
          </w:p>
        </w:tc>
      </w:tr>
      <w:tr w:rsidR="00000000" w14:paraId="4118F2EE" w14:textId="77777777">
        <w:tc>
          <w:tcPr>
            <w:tcW w:w="0" w:type="auto"/>
            <w:hideMark/>
          </w:tcPr>
          <w:p w14:paraId="23D7129C" w14:textId="77777777" w:rsidR="00000000" w:rsidRDefault="009027A3">
            <w:pPr>
              <w:rPr>
                <w:rFonts w:eastAsia="Times New Roman"/>
                <w:sz w:val="20"/>
                <w:szCs w:val="20"/>
              </w:rPr>
            </w:pPr>
            <w:r>
              <w:rPr>
                <w:rFonts w:eastAsia="Times New Roman"/>
                <w:sz w:val="20"/>
                <w:szCs w:val="20"/>
              </w:rPr>
              <w:t> </w:t>
            </w:r>
          </w:p>
        </w:tc>
        <w:tc>
          <w:tcPr>
            <w:tcW w:w="0" w:type="auto"/>
            <w:hideMark/>
          </w:tcPr>
          <w:p w14:paraId="0CF19E00" w14:textId="77777777" w:rsidR="00000000" w:rsidRDefault="009027A3">
            <w:pPr>
              <w:rPr>
                <w:rFonts w:eastAsia="Times New Roman"/>
                <w:sz w:val="20"/>
                <w:szCs w:val="20"/>
              </w:rPr>
            </w:pPr>
            <w:r>
              <w:rPr>
                <w:rFonts w:eastAsia="Times New Roman"/>
                <w:sz w:val="20"/>
                <w:szCs w:val="20"/>
              </w:rPr>
              <w:t>●</w:t>
            </w:r>
          </w:p>
        </w:tc>
        <w:tc>
          <w:tcPr>
            <w:tcW w:w="0" w:type="auto"/>
            <w:hideMark/>
          </w:tcPr>
          <w:p w14:paraId="2C4729BD" w14:textId="77777777" w:rsidR="00000000" w:rsidRDefault="009027A3">
            <w:pPr>
              <w:jc w:val="both"/>
              <w:rPr>
                <w:rFonts w:eastAsia="Times New Roman"/>
                <w:sz w:val="20"/>
                <w:szCs w:val="20"/>
              </w:rPr>
            </w:pPr>
            <w:r>
              <w:rPr>
                <w:rFonts w:eastAsia="Times New Roman"/>
                <w:sz w:val="20"/>
                <w:szCs w:val="20"/>
              </w:rPr>
              <w:t>Impairment and unoccupied lea</w:t>
            </w:r>
            <w:r>
              <w:rPr>
                <w:rFonts w:eastAsia="Times New Roman"/>
                <w:sz w:val="20"/>
                <w:szCs w:val="20"/>
              </w:rPr>
              <w:t>se charges.</w:t>
            </w:r>
          </w:p>
        </w:tc>
      </w:tr>
    </w:tbl>
    <w:p w14:paraId="752C61EF" w14:textId="77777777" w:rsidR="00000000" w:rsidRDefault="009027A3">
      <w:pPr>
        <w:pStyle w:val="a3"/>
        <w:shd w:val="clear" w:color="auto" w:fill="FFFFFF"/>
        <w:spacing w:before="0" w:beforeAutospacing="0" w:after="0" w:afterAutospacing="0"/>
        <w:ind w:left="720"/>
        <w:jc w:val="both"/>
        <w:rPr>
          <w:sz w:val="20"/>
          <w:szCs w:val="20"/>
        </w:rPr>
      </w:pPr>
      <w:r>
        <w:rPr>
          <w:sz w:val="20"/>
          <w:szCs w:val="20"/>
        </w:rPr>
        <w:t> </w:t>
      </w:r>
    </w:p>
    <w:p w14:paraId="42B606FC" w14:textId="77777777" w:rsidR="00000000" w:rsidRDefault="009027A3">
      <w:pPr>
        <w:pStyle w:val="a3"/>
        <w:spacing w:before="0" w:beforeAutospacing="0" w:after="0" w:afterAutospacing="0"/>
        <w:jc w:val="both"/>
        <w:rPr>
          <w:sz w:val="20"/>
          <w:szCs w:val="20"/>
        </w:rPr>
      </w:pPr>
      <w:r>
        <w:rPr>
          <w:sz w:val="20"/>
          <w:szCs w:val="20"/>
        </w:rPr>
        <w:t>Set forth below is a presentation of our adjusted EBITDA for the three months ended March 31, 2021 and 2020:</w:t>
      </w:r>
    </w:p>
    <w:p w14:paraId="5C36C07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F708B10" w14:textId="77777777">
        <w:tc>
          <w:tcPr>
            <w:tcW w:w="0" w:type="auto"/>
            <w:vAlign w:val="bottom"/>
            <w:hideMark/>
          </w:tcPr>
          <w:p w14:paraId="3B81B985"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B6F090"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737CEEE"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130A5BCD" w14:textId="77777777" w:rsidR="00000000" w:rsidRDefault="009027A3">
            <w:pPr>
              <w:rPr>
                <w:rFonts w:eastAsia="Times New Roman"/>
                <w:b/>
                <w:bCs/>
                <w:sz w:val="20"/>
                <w:szCs w:val="20"/>
              </w:rPr>
            </w:pPr>
            <w:r>
              <w:rPr>
                <w:rFonts w:eastAsia="Times New Roman"/>
                <w:b/>
                <w:bCs/>
                <w:sz w:val="20"/>
                <w:szCs w:val="20"/>
              </w:rPr>
              <w:t> </w:t>
            </w:r>
          </w:p>
        </w:tc>
      </w:tr>
      <w:tr w:rsidR="00000000" w14:paraId="6B761A5D" w14:textId="77777777">
        <w:tc>
          <w:tcPr>
            <w:tcW w:w="0" w:type="auto"/>
            <w:vAlign w:val="bottom"/>
            <w:hideMark/>
          </w:tcPr>
          <w:p w14:paraId="6B939224"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5A6B2A"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CDD5F2"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D95546C"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4D46CD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60F22F"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637F31B" w14:textId="77777777" w:rsidR="00000000" w:rsidRDefault="009027A3">
            <w:pPr>
              <w:rPr>
                <w:rFonts w:eastAsia="Times New Roman"/>
                <w:b/>
                <w:bCs/>
                <w:sz w:val="20"/>
                <w:szCs w:val="20"/>
              </w:rPr>
            </w:pPr>
            <w:r>
              <w:rPr>
                <w:rFonts w:eastAsia="Times New Roman"/>
                <w:b/>
                <w:bCs/>
                <w:sz w:val="20"/>
                <w:szCs w:val="20"/>
              </w:rPr>
              <w:t> </w:t>
            </w:r>
          </w:p>
        </w:tc>
      </w:tr>
      <w:tr w:rsidR="00000000" w14:paraId="26820DEC" w14:textId="77777777">
        <w:tc>
          <w:tcPr>
            <w:tcW w:w="0" w:type="auto"/>
            <w:vAlign w:val="bottom"/>
            <w:hideMark/>
          </w:tcPr>
          <w:p w14:paraId="2CDE4D89"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67513C09"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3279191C"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6AC519F7" w14:textId="77777777" w:rsidR="00000000" w:rsidRDefault="009027A3">
            <w:pPr>
              <w:rPr>
                <w:rFonts w:eastAsia="Times New Roman"/>
                <w:sz w:val="20"/>
                <w:szCs w:val="20"/>
              </w:rPr>
            </w:pPr>
            <w:r>
              <w:rPr>
                <w:rFonts w:eastAsia="Times New Roman"/>
                <w:sz w:val="20"/>
                <w:szCs w:val="20"/>
              </w:rPr>
              <w:t> </w:t>
            </w:r>
          </w:p>
        </w:tc>
      </w:tr>
      <w:tr w:rsidR="00000000" w14:paraId="4A1645F6" w14:textId="77777777">
        <w:tc>
          <w:tcPr>
            <w:tcW w:w="3000" w:type="pct"/>
            <w:shd w:val="clear" w:color="auto" w:fill="CCEEFF"/>
            <w:tcMar>
              <w:top w:w="0" w:type="dxa"/>
              <w:left w:w="0" w:type="dxa"/>
              <w:bottom w:w="50" w:type="dxa"/>
              <w:right w:w="0" w:type="dxa"/>
            </w:tcMar>
            <w:vAlign w:val="bottom"/>
            <w:hideMark/>
          </w:tcPr>
          <w:p w14:paraId="665CCD81" w14:textId="77777777" w:rsidR="00000000" w:rsidRDefault="009027A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1144C59A"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65D6277" w14:textId="77777777" w:rsidR="00000000" w:rsidRDefault="009027A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17972794" w14:textId="77777777" w:rsidR="00000000" w:rsidRDefault="009027A3">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50" w:type="dxa"/>
              <w:right w:w="0" w:type="dxa"/>
            </w:tcMar>
            <w:vAlign w:val="bottom"/>
            <w:hideMark/>
          </w:tcPr>
          <w:p w14:paraId="1CD62306"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5E0A50E1"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CCDAE51" w14:textId="77777777" w:rsidR="00000000" w:rsidRDefault="009027A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09A52675" w14:textId="77777777" w:rsidR="00000000" w:rsidRDefault="009027A3">
            <w:pPr>
              <w:jc w:val="right"/>
              <w:rPr>
                <w:rFonts w:eastAsia="Times New Roman"/>
                <w:sz w:val="20"/>
                <w:szCs w:val="20"/>
              </w:rPr>
            </w:pPr>
            <w:r>
              <w:rPr>
                <w:rFonts w:eastAsia="Times New Roman"/>
                <w:sz w:val="20"/>
                <w:szCs w:val="20"/>
              </w:rPr>
              <w:t>21,867</w:t>
            </w:r>
          </w:p>
        </w:tc>
        <w:tc>
          <w:tcPr>
            <w:tcW w:w="50" w:type="pct"/>
            <w:shd w:val="clear" w:color="auto" w:fill="CCEEFF"/>
            <w:tcMar>
              <w:top w:w="0" w:type="dxa"/>
              <w:left w:w="0" w:type="dxa"/>
              <w:bottom w:w="50" w:type="dxa"/>
              <w:right w:w="0" w:type="dxa"/>
            </w:tcMar>
            <w:vAlign w:val="bottom"/>
            <w:hideMark/>
          </w:tcPr>
          <w:p w14:paraId="1FC0FF7E" w14:textId="77777777" w:rsidR="00000000" w:rsidRDefault="009027A3">
            <w:pPr>
              <w:rPr>
                <w:rFonts w:eastAsia="Times New Roman"/>
                <w:sz w:val="20"/>
                <w:szCs w:val="20"/>
              </w:rPr>
            </w:pPr>
            <w:r>
              <w:rPr>
                <w:rFonts w:eastAsia="Times New Roman"/>
                <w:sz w:val="20"/>
                <w:szCs w:val="20"/>
              </w:rPr>
              <w:t> </w:t>
            </w:r>
          </w:p>
        </w:tc>
      </w:tr>
      <w:tr w:rsidR="00000000" w14:paraId="49A12889" w14:textId="77777777">
        <w:tc>
          <w:tcPr>
            <w:tcW w:w="0" w:type="auto"/>
            <w:shd w:val="clear" w:color="auto" w:fill="FFFFFF"/>
            <w:vAlign w:val="bottom"/>
            <w:hideMark/>
          </w:tcPr>
          <w:p w14:paraId="5386C9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E3A91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DBA9F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13EF8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D9BC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0E4C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537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502BD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AE5289" w14:textId="77777777" w:rsidR="00000000" w:rsidRDefault="009027A3">
            <w:pPr>
              <w:rPr>
                <w:rFonts w:eastAsia="Times New Roman"/>
                <w:sz w:val="20"/>
                <w:szCs w:val="20"/>
              </w:rPr>
            </w:pPr>
            <w:r>
              <w:rPr>
                <w:rFonts w:eastAsia="Times New Roman"/>
                <w:sz w:val="20"/>
                <w:szCs w:val="20"/>
              </w:rPr>
              <w:t> </w:t>
            </w:r>
          </w:p>
        </w:tc>
      </w:tr>
      <w:tr w:rsidR="00000000" w14:paraId="2D8A0092" w14:textId="77777777">
        <w:tc>
          <w:tcPr>
            <w:tcW w:w="0" w:type="auto"/>
            <w:shd w:val="clear" w:color="auto" w:fill="CCEEFF"/>
            <w:tcMar>
              <w:top w:w="0" w:type="dxa"/>
              <w:left w:w="200" w:type="dxa"/>
              <w:bottom w:w="0" w:type="dxa"/>
              <w:right w:w="0" w:type="dxa"/>
            </w:tcMar>
            <w:vAlign w:val="bottom"/>
            <w:hideMark/>
          </w:tcPr>
          <w:p w14:paraId="469CF6A5" w14:textId="77777777" w:rsidR="00000000" w:rsidRDefault="009027A3">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0EAF00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01D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22EED" w14:textId="77777777" w:rsidR="00000000" w:rsidRDefault="009027A3">
            <w:pPr>
              <w:jc w:val="right"/>
              <w:rPr>
                <w:rFonts w:eastAsia="Times New Roman"/>
                <w:sz w:val="20"/>
                <w:szCs w:val="20"/>
              </w:rPr>
            </w:pPr>
            <w:r>
              <w:rPr>
                <w:rFonts w:eastAsia="Times New Roman"/>
                <w:sz w:val="20"/>
                <w:szCs w:val="20"/>
              </w:rPr>
              <w:t>(1,964</w:t>
            </w:r>
          </w:p>
        </w:tc>
        <w:tc>
          <w:tcPr>
            <w:tcW w:w="0" w:type="auto"/>
            <w:shd w:val="clear" w:color="auto" w:fill="CCEEFF"/>
            <w:vAlign w:val="bottom"/>
            <w:hideMark/>
          </w:tcPr>
          <w:p w14:paraId="0B3F2D4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1B8442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B33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8E03D2" w14:textId="77777777" w:rsidR="00000000" w:rsidRDefault="009027A3">
            <w:pPr>
              <w:jc w:val="right"/>
              <w:rPr>
                <w:rFonts w:eastAsia="Times New Roman"/>
                <w:sz w:val="20"/>
                <w:szCs w:val="20"/>
              </w:rPr>
            </w:pPr>
            <w:r>
              <w:rPr>
                <w:rFonts w:eastAsia="Times New Roman"/>
                <w:sz w:val="20"/>
                <w:szCs w:val="20"/>
              </w:rPr>
              <w:t>(2,502</w:t>
            </w:r>
          </w:p>
        </w:tc>
        <w:tc>
          <w:tcPr>
            <w:tcW w:w="0" w:type="auto"/>
            <w:shd w:val="clear" w:color="auto" w:fill="CCEEFF"/>
            <w:vAlign w:val="bottom"/>
            <w:hideMark/>
          </w:tcPr>
          <w:p w14:paraId="6635805B" w14:textId="77777777" w:rsidR="00000000" w:rsidRDefault="009027A3">
            <w:pPr>
              <w:rPr>
                <w:rFonts w:eastAsia="Times New Roman"/>
                <w:sz w:val="20"/>
                <w:szCs w:val="20"/>
              </w:rPr>
            </w:pPr>
            <w:r>
              <w:rPr>
                <w:rFonts w:eastAsia="Times New Roman"/>
                <w:sz w:val="20"/>
                <w:szCs w:val="20"/>
              </w:rPr>
              <w:t>)</w:t>
            </w:r>
          </w:p>
        </w:tc>
      </w:tr>
      <w:tr w:rsidR="00000000" w14:paraId="571F5D0E" w14:textId="77777777">
        <w:tc>
          <w:tcPr>
            <w:tcW w:w="0" w:type="auto"/>
            <w:shd w:val="clear" w:color="auto" w:fill="FFFFFF"/>
            <w:vAlign w:val="bottom"/>
            <w:hideMark/>
          </w:tcPr>
          <w:p w14:paraId="2244AE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6301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A0360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45898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BACC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E624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4CFF8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2F42B"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8DFC92" w14:textId="77777777" w:rsidR="00000000" w:rsidRDefault="009027A3">
            <w:pPr>
              <w:rPr>
                <w:rFonts w:eastAsia="Times New Roman"/>
                <w:sz w:val="20"/>
                <w:szCs w:val="20"/>
              </w:rPr>
            </w:pPr>
            <w:r>
              <w:rPr>
                <w:rFonts w:eastAsia="Times New Roman"/>
                <w:sz w:val="20"/>
                <w:szCs w:val="20"/>
              </w:rPr>
              <w:t> </w:t>
            </w:r>
          </w:p>
        </w:tc>
      </w:tr>
      <w:tr w:rsidR="00000000" w14:paraId="2C91A67E" w14:textId="77777777">
        <w:tc>
          <w:tcPr>
            <w:tcW w:w="0" w:type="auto"/>
            <w:shd w:val="clear" w:color="auto" w:fill="CCEEFF"/>
            <w:tcMar>
              <w:top w:w="0" w:type="dxa"/>
              <w:left w:w="200" w:type="dxa"/>
              <w:bottom w:w="0" w:type="dxa"/>
              <w:right w:w="0" w:type="dxa"/>
            </w:tcMar>
            <w:vAlign w:val="bottom"/>
            <w:hideMark/>
          </w:tcPr>
          <w:p w14:paraId="6941D134" w14:textId="77777777" w:rsidR="00000000" w:rsidRDefault="009027A3">
            <w:pPr>
              <w:rPr>
                <w:rFonts w:eastAsia="Times New Roman"/>
                <w:sz w:val="20"/>
                <w:szCs w:val="20"/>
              </w:rPr>
            </w:pPr>
            <w:r>
              <w:rPr>
                <w:rFonts w:eastAsia="Times New Roman"/>
                <w:sz w:val="20"/>
                <w:szCs w:val="20"/>
              </w:rPr>
              <w:t>(Benefit) provision for income taxes</w:t>
            </w:r>
          </w:p>
        </w:tc>
        <w:tc>
          <w:tcPr>
            <w:tcW w:w="0" w:type="auto"/>
            <w:shd w:val="clear" w:color="auto" w:fill="CCEEFF"/>
            <w:vAlign w:val="bottom"/>
            <w:hideMark/>
          </w:tcPr>
          <w:p w14:paraId="1D03A00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F8B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4708D0"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082A02FC"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4EC134D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51E4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69101" w14:textId="77777777" w:rsidR="00000000" w:rsidRDefault="009027A3">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14:paraId="2665DB0F" w14:textId="77777777" w:rsidR="00000000" w:rsidRDefault="009027A3">
            <w:pPr>
              <w:rPr>
                <w:rFonts w:eastAsia="Times New Roman"/>
                <w:sz w:val="20"/>
                <w:szCs w:val="20"/>
              </w:rPr>
            </w:pPr>
            <w:r>
              <w:rPr>
                <w:rFonts w:eastAsia="Times New Roman"/>
                <w:sz w:val="20"/>
                <w:szCs w:val="20"/>
              </w:rPr>
              <w:t> </w:t>
            </w:r>
          </w:p>
        </w:tc>
      </w:tr>
      <w:tr w:rsidR="00000000" w14:paraId="0F8B873F" w14:textId="77777777">
        <w:tc>
          <w:tcPr>
            <w:tcW w:w="0" w:type="auto"/>
            <w:shd w:val="clear" w:color="auto" w:fill="FFFFFF"/>
            <w:tcMar>
              <w:top w:w="0" w:type="dxa"/>
              <w:left w:w="200" w:type="dxa"/>
              <w:bottom w:w="0" w:type="dxa"/>
              <w:right w:w="0" w:type="dxa"/>
            </w:tcMar>
            <w:vAlign w:val="bottom"/>
            <w:hideMark/>
          </w:tcPr>
          <w:p w14:paraId="6AACF3A8" w14:textId="77777777" w:rsidR="00000000" w:rsidRDefault="009027A3">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080C63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5D02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204842" w14:textId="77777777" w:rsidR="00000000" w:rsidRDefault="009027A3">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14:paraId="7A80D3C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4893C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99B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B5FB1" w14:textId="77777777" w:rsidR="00000000" w:rsidRDefault="009027A3">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14:paraId="6B82AF49" w14:textId="77777777" w:rsidR="00000000" w:rsidRDefault="009027A3">
            <w:pPr>
              <w:rPr>
                <w:rFonts w:eastAsia="Times New Roman"/>
                <w:sz w:val="20"/>
                <w:szCs w:val="20"/>
              </w:rPr>
            </w:pPr>
            <w:r>
              <w:rPr>
                <w:rFonts w:eastAsia="Times New Roman"/>
                <w:sz w:val="20"/>
                <w:szCs w:val="20"/>
              </w:rPr>
              <w:t> </w:t>
            </w:r>
          </w:p>
        </w:tc>
      </w:tr>
      <w:tr w:rsidR="00000000" w14:paraId="3006F68B" w14:textId="77777777">
        <w:tc>
          <w:tcPr>
            <w:tcW w:w="0" w:type="auto"/>
            <w:shd w:val="clear" w:color="auto" w:fill="CCEEFF"/>
            <w:tcMar>
              <w:top w:w="0" w:type="dxa"/>
              <w:left w:w="200" w:type="dxa"/>
              <w:bottom w:w="0" w:type="dxa"/>
              <w:right w:w="0" w:type="dxa"/>
            </w:tcMar>
            <w:vAlign w:val="bottom"/>
            <w:hideMark/>
          </w:tcPr>
          <w:p w14:paraId="76D03BF3" w14:textId="77777777" w:rsidR="00000000" w:rsidRDefault="009027A3">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2D98BE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9E3A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03239" w14:textId="77777777" w:rsidR="00000000" w:rsidRDefault="009027A3">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14:paraId="6B938E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AA2C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401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7C3EE" w14:textId="77777777" w:rsidR="00000000" w:rsidRDefault="009027A3">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14:paraId="7C645467" w14:textId="77777777" w:rsidR="00000000" w:rsidRDefault="009027A3">
            <w:pPr>
              <w:rPr>
                <w:rFonts w:eastAsia="Times New Roman"/>
                <w:sz w:val="20"/>
                <w:szCs w:val="20"/>
              </w:rPr>
            </w:pPr>
            <w:r>
              <w:rPr>
                <w:rFonts w:eastAsia="Times New Roman"/>
                <w:sz w:val="20"/>
                <w:szCs w:val="20"/>
              </w:rPr>
              <w:t>)</w:t>
            </w:r>
          </w:p>
        </w:tc>
      </w:tr>
      <w:tr w:rsidR="00000000" w14:paraId="3F47ECA6" w14:textId="77777777">
        <w:tc>
          <w:tcPr>
            <w:tcW w:w="0" w:type="auto"/>
            <w:shd w:val="clear" w:color="auto" w:fill="FFFFFF"/>
            <w:tcMar>
              <w:top w:w="0" w:type="dxa"/>
              <w:left w:w="200" w:type="dxa"/>
              <w:bottom w:w="0" w:type="dxa"/>
              <w:right w:w="0" w:type="dxa"/>
            </w:tcMar>
            <w:vAlign w:val="bottom"/>
            <w:hideMark/>
          </w:tcPr>
          <w:p w14:paraId="162D078B" w14:textId="77777777" w:rsidR="00000000" w:rsidRDefault="009027A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887193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DE41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7F9C4D" w14:textId="77777777" w:rsidR="00000000" w:rsidRDefault="009027A3">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14:paraId="789C234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02CE9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D12E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B3F20" w14:textId="77777777" w:rsidR="00000000" w:rsidRDefault="009027A3">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5C01773B" w14:textId="77777777" w:rsidR="00000000" w:rsidRDefault="009027A3">
            <w:pPr>
              <w:rPr>
                <w:rFonts w:eastAsia="Times New Roman"/>
                <w:sz w:val="20"/>
                <w:szCs w:val="20"/>
              </w:rPr>
            </w:pPr>
            <w:r>
              <w:rPr>
                <w:rFonts w:eastAsia="Times New Roman"/>
                <w:sz w:val="20"/>
                <w:szCs w:val="20"/>
              </w:rPr>
              <w:t> </w:t>
            </w:r>
          </w:p>
        </w:tc>
      </w:tr>
      <w:tr w:rsidR="00000000" w14:paraId="290F22BC" w14:textId="77777777">
        <w:tc>
          <w:tcPr>
            <w:tcW w:w="0" w:type="auto"/>
            <w:shd w:val="clear" w:color="auto" w:fill="CCEEFF"/>
            <w:tcMar>
              <w:top w:w="0" w:type="dxa"/>
              <w:left w:w="200" w:type="dxa"/>
              <w:bottom w:w="0" w:type="dxa"/>
              <w:right w:w="0" w:type="dxa"/>
            </w:tcMar>
            <w:vAlign w:val="bottom"/>
            <w:hideMark/>
          </w:tcPr>
          <w:p w14:paraId="454E6A74"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6C56CF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B19F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092C5" w14:textId="77777777" w:rsidR="00000000" w:rsidRDefault="009027A3">
            <w:pPr>
              <w:jc w:val="right"/>
              <w:rPr>
                <w:rFonts w:eastAsia="Times New Roman"/>
                <w:sz w:val="20"/>
                <w:szCs w:val="20"/>
              </w:rPr>
            </w:pPr>
            <w:r>
              <w:rPr>
                <w:rFonts w:eastAsia="Times New Roman"/>
                <w:sz w:val="20"/>
                <w:szCs w:val="20"/>
              </w:rPr>
              <w:t>2,831</w:t>
            </w:r>
          </w:p>
        </w:tc>
        <w:tc>
          <w:tcPr>
            <w:tcW w:w="0" w:type="auto"/>
            <w:shd w:val="clear" w:color="auto" w:fill="CCEEFF"/>
            <w:vAlign w:val="bottom"/>
            <w:hideMark/>
          </w:tcPr>
          <w:p w14:paraId="0C0B483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DE25B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5AD9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68C0CF" w14:textId="77777777" w:rsidR="00000000" w:rsidRDefault="009027A3">
            <w:pPr>
              <w:jc w:val="right"/>
              <w:rPr>
                <w:rFonts w:eastAsia="Times New Roman"/>
                <w:sz w:val="20"/>
                <w:szCs w:val="20"/>
              </w:rPr>
            </w:pPr>
            <w:r>
              <w:rPr>
                <w:rFonts w:eastAsia="Times New Roman"/>
                <w:sz w:val="20"/>
                <w:szCs w:val="20"/>
              </w:rPr>
              <w:t>1,333</w:t>
            </w:r>
          </w:p>
        </w:tc>
        <w:tc>
          <w:tcPr>
            <w:tcW w:w="0" w:type="auto"/>
            <w:shd w:val="clear" w:color="auto" w:fill="CCEEFF"/>
            <w:vAlign w:val="bottom"/>
            <w:hideMark/>
          </w:tcPr>
          <w:p w14:paraId="35B98424" w14:textId="77777777" w:rsidR="00000000" w:rsidRDefault="009027A3">
            <w:pPr>
              <w:rPr>
                <w:rFonts w:eastAsia="Times New Roman"/>
                <w:sz w:val="20"/>
                <w:szCs w:val="20"/>
              </w:rPr>
            </w:pPr>
            <w:r>
              <w:rPr>
                <w:rFonts w:eastAsia="Times New Roman"/>
                <w:sz w:val="20"/>
                <w:szCs w:val="20"/>
              </w:rPr>
              <w:t> </w:t>
            </w:r>
          </w:p>
        </w:tc>
      </w:tr>
      <w:tr w:rsidR="00000000" w14:paraId="466924E6" w14:textId="77777777">
        <w:tc>
          <w:tcPr>
            <w:tcW w:w="0" w:type="auto"/>
            <w:shd w:val="clear" w:color="auto" w:fill="FFFFFF"/>
            <w:tcMar>
              <w:top w:w="0" w:type="dxa"/>
              <w:left w:w="200" w:type="dxa"/>
              <w:bottom w:w="0" w:type="dxa"/>
              <w:right w:w="0" w:type="dxa"/>
            </w:tcMar>
            <w:vAlign w:val="bottom"/>
            <w:hideMark/>
          </w:tcPr>
          <w:p w14:paraId="44B44EFA" w14:textId="77777777" w:rsidR="00000000" w:rsidRDefault="009027A3">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446AE0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E266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3B5DB" w14:textId="77777777" w:rsidR="00000000" w:rsidRDefault="009027A3">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14:paraId="3A4438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2CF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BF84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E12DE3" w14:textId="77777777" w:rsidR="00000000" w:rsidRDefault="009027A3">
            <w:pPr>
              <w:jc w:val="right"/>
              <w:rPr>
                <w:rFonts w:eastAsia="Times New Roman"/>
                <w:sz w:val="20"/>
                <w:szCs w:val="20"/>
              </w:rPr>
            </w:pPr>
            <w:r>
              <w:rPr>
                <w:rFonts w:eastAsia="Times New Roman"/>
                <w:sz w:val="20"/>
                <w:szCs w:val="20"/>
              </w:rPr>
              <w:t>646</w:t>
            </w:r>
          </w:p>
        </w:tc>
        <w:tc>
          <w:tcPr>
            <w:tcW w:w="0" w:type="auto"/>
            <w:shd w:val="clear" w:color="auto" w:fill="FFFFFF"/>
            <w:vAlign w:val="bottom"/>
            <w:hideMark/>
          </w:tcPr>
          <w:p w14:paraId="32AA32BC" w14:textId="77777777" w:rsidR="00000000" w:rsidRDefault="009027A3">
            <w:pPr>
              <w:rPr>
                <w:rFonts w:eastAsia="Times New Roman"/>
                <w:sz w:val="20"/>
                <w:szCs w:val="20"/>
              </w:rPr>
            </w:pPr>
            <w:r>
              <w:rPr>
                <w:rFonts w:eastAsia="Times New Roman"/>
                <w:sz w:val="20"/>
                <w:szCs w:val="20"/>
              </w:rPr>
              <w:t> </w:t>
            </w:r>
          </w:p>
        </w:tc>
      </w:tr>
      <w:tr w:rsidR="00000000" w14:paraId="3B776B79" w14:textId="77777777">
        <w:tc>
          <w:tcPr>
            <w:tcW w:w="0" w:type="auto"/>
            <w:shd w:val="clear" w:color="auto" w:fill="CCEEFF"/>
            <w:tcMar>
              <w:top w:w="0" w:type="dxa"/>
              <w:left w:w="200" w:type="dxa"/>
              <w:bottom w:w="30" w:type="dxa"/>
              <w:right w:w="0" w:type="dxa"/>
            </w:tcMar>
            <w:vAlign w:val="bottom"/>
            <w:hideMark/>
          </w:tcPr>
          <w:p w14:paraId="4AB953C9"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14:paraId="42D023C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F885D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347EEC"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CCEEFF"/>
            <w:tcMar>
              <w:top w:w="0" w:type="dxa"/>
              <w:left w:w="0" w:type="dxa"/>
              <w:bottom w:w="30" w:type="dxa"/>
              <w:right w:w="0" w:type="dxa"/>
            </w:tcMar>
            <w:vAlign w:val="bottom"/>
            <w:hideMark/>
          </w:tcPr>
          <w:p w14:paraId="7AF6057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B3B947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BC9AE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8ECCA2"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CCEEFF"/>
            <w:tcMar>
              <w:top w:w="0" w:type="dxa"/>
              <w:left w:w="0" w:type="dxa"/>
              <w:bottom w:w="30" w:type="dxa"/>
              <w:right w:w="0" w:type="dxa"/>
            </w:tcMar>
            <w:vAlign w:val="bottom"/>
            <w:hideMark/>
          </w:tcPr>
          <w:p w14:paraId="664D3858" w14:textId="77777777" w:rsidR="00000000" w:rsidRDefault="009027A3">
            <w:pPr>
              <w:rPr>
                <w:rFonts w:eastAsia="Times New Roman"/>
                <w:sz w:val="20"/>
                <w:szCs w:val="20"/>
              </w:rPr>
            </w:pPr>
            <w:r>
              <w:rPr>
                <w:rFonts w:eastAsia="Times New Roman"/>
                <w:sz w:val="20"/>
                <w:szCs w:val="20"/>
              </w:rPr>
              <w:t> </w:t>
            </w:r>
          </w:p>
        </w:tc>
      </w:tr>
      <w:tr w:rsidR="00000000" w14:paraId="755924FD" w14:textId="77777777">
        <w:tc>
          <w:tcPr>
            <w:tcW w:w="0" w:type="auto"/>
            <w:shd w:val="clear" w:color="auto" w:fill="FFFFFF"/>
            <w:tcMar>
              <w:top w:w="0" w:type="dxa"/>
              <w:left w:w="0" w:type="dxa"/>
              <w:bottom w:w="50" w:type="dxa"/>
              <w:right w:w="0" w:type="dxa"/>
            </w:tcMar>
            <w:vAlign w:val="bottom"/>
            <w:hideMark/>
          </w:tcPr>
          <w:p w14:paraId="6F62E32F" w14:textId="77777777" w:rsidR="00000000" w:rsidRDefault="009027A3">
            <w:pPr>
              <w:rPr>
                <w:rFonts w:eastAsia="Times New Roman"/>
                <w:sz w:val="20"/>
                <w:szCs w:val="20"/>
              </w:rPr>
            </w:pPr>
            <w:r>
              <w:rPr>
                <w:rFonts w:eastAsia="Times New Roman"/>
                <w:sz w:val="20"/>
                <w:szCs w:val="20"/>
              </w:rPr>
              <w:t>Adjusted EBITDA</w:t>
            </w:r>
          </w:p>
        </w:tc>
        <w:tc>
          <w:tcPr>
            <w:tcW w:w="0" w:type="auto"/>
            <w:shd w:val="clear" w:color="auto" w:fill="FFFFFF"/>
            <w:tcMar>
              <w:top w:w="0" w:type="dxa"/>
              <w:left w:w="0" w:type="dxa"/>
              <w:bottom w:w="50" w:type="dxa"/>
              <w:right w:w="0" w:type="dxa"/>
            </w:tcMar>
            <w:vAlign w:val="bottom"/>
            <w:hideMark/>
          </w:tcPr>
          <w:p w14:paraId="3FB2874C"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EFD46F3"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597B80A" w14:textId="77777777" w:rsidR="00000000" w:rsidRDefault="009027A3">
            <w:pPr>
              <w:jc w:val="right"/>
              <w:rPr>
                <w:rFonts w:eastAsia="Times New Roman"/>
                <w:b/>
                <w:bCs/>
                <w:sz w:val="20"/>
                <w:szCs w:val="20"/>
              </w:rPr>
            </w:pPr>
            <w:r>
              <w:rPr>
                <w:rFonts w:eastAsia="Times New Roman"/>
                <w:b/>
                <w:bCs/>
                <w:sz w:val="20"/>
                <w:szCs w:val="20"/>
              </w:rPr>
              <w:t>3,691</w:t>
            </w:r>
          </w:p>
        </w:tc>
        <w:tc>
          <w:tcPr>
            <w:tcW w:w="0" w:type="auto"/>
            <w:shd w:val="clear" w:color="auto" w:fill="FFFFFF"/>
            <w:tcMar>
              <w:top w:w="0" w:type="dxa"/>
              <w:left w:w="0" w:type="dxa"/>
              <w:bottom w:w="50" w:type="dxa"/>
              <w:right w:w="0" w:type="dxa"/>
            </w:tcMar>
            <w:vAlign w:val="bottom"/>
            <w:hideMark/>
          </w:tcPr>
          <w:p w14:paraId="787C105A" w14:textId="77777777" w:rsidR="00000000" w:rsidRDefault="009027A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A8C39CA"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091E635"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8394156" w14:textId="77777777" w:rsidR="00000000" w:rsidRDefault="009027A3">
            <w:pPr>
              <w:jc w:val="right"/>
              <w:rPr>
                <w:rFonts w:eastAsia="Times New Roman"/>
                <w:b/>
                <w:bCs/>
                <w:sz w:val="20"/>
                <w:szCs w:val="20"/>
              </w:rPr>
            </w:pPr>
            <w:r>
              <w:rPr>
                <w:rFonts w:eastAsia="Times New Roman"/>
                <w:b/>
                <w:bCs/>
                <w:sz w:val="20"/>
                <w:szCs w:val="20"/>
              </w:rPr>
              <w:t>767</w:t>
            </w:r>
          </w:p>
        </w:tc>
        <w:tc>
          <w:tcPr>
            <w:tcW w:w="0" w:type="auto"/>
            <w:shd w:val="clear" w:color="auto" w:fill="FFFFFF"/>
            <w:tcMar>
              <w:top w:w="0" w:type="dxa"/>
              <w:left w:w="0" w:type="dxa"/>
              <w:bottom w:w="50" w:type="dxa"/>
              <w:right w:w="0" w:type="dxa"/>
            </w:tcMar>
            <w:vAlign w:val="bottom"/>
            <w:hideMark/>
          </w:tcPr>
          <w:p w14:paraId="478C8863" w14:textId="77777777" w:rsidR="00000000" w:rsidRDefault="009027A3">
            <w:pPr>
              <w:rPr>
                <w:rFonts w:eastAsia="Times New Roman"/>
                <w:b/>
                <w:bCs/>
                <w:sz w:val="20"/>
                <w:szCs w:val="20"/>
              </w:rPr>
            </w:pPr>
            <w:r>
              <w:rPr>
                <w:rFonts w:eastAsia="Times New Roman"/>
                <w:b/>
                <w:bCs/>
                <w:sz w:val="20"/>
                <w:szCs w:val="20"/>
              </w:rPr>
              <w:t> </w:t>
            </w:r>
          </w:p>
        </w:tc>
      </w:tr>
    </w:tbl>
    <w:p w14:paraId="77ECF4BE" w14:textId="77777777" w:rsidR="00000000" w:rsidRDefault="009027A3">
      <w:pPr>
        <w:pStyle w:val="a3"/>
        <w:shd w:val="clear" w:color="auto" w:fill="FFFFFF"/>
        <w:spacing w:before="0" w:beforeAutospacing="0" w:after="0" w:afterAutospacing="0"/>
        <w:jc w:val="both"/>
        <w:rPr>
          <w:sz w:val="20"/>
          <w:szCs w:val="20"/>
        </w:rPr>
      </w:pPr>
      <w:r>
        <w:rPr>
          <w:b/>
          <w:bCs/>
          <w:sz w:val="20"/>
          <w:szCs w:val="20"/>
        </w:rPr>
        <w:t> </w:t>
      </w:r>
    </w:p>
    <w:p w14:paraId="58762085"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46CA8620"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FCBF2F5" w14:textId="77777777">
        <w:tc>
          <w:tcPr>
            <w:tcW w:w="360" w:type="dxa"/>
            <w:hideMark/>
          </w:tcPr>
          <w:p w14:paraId="62886479" w14:textId="77777777" w:rsidR="00000000" w:rsidRDefault="009027A3">
            <w:pPr>
              <w:rPr>
                <w:rFonts w:eastAsia="Times New Roman"/>
                <w:sz w:val="20"/>
                <w:szCs w:val="20"/>
              </w:rPr>
            </w:pPr>
            <w:r>
              <w:rPr>
                <w:rFonts w:eastAsia="Times New Roman"/>
                <w:sz w:val="20"/>
                <w:szCs w:val="20"/>
              </w:rPr>
              <w:t> </w:t>
            </w:r>
          </w:p>
        </w:tc>
        <w:tc>
          <w:tcPr>
            <w:tcW w:w="360" w:type="dxa"/>
            <w:hideMark/>
          </w:tcPr>
          <w:p w14:paraId="2583508C" w14:textId="77777777" w:rsidR="00000000" w:rsidRDefault="009027A3">
            <w:pPr>
              <w:jc w:val="both"/>
              <w:rPr>
                <w:rFonts w:eastAsia="Times New Roman"/>
                <w:sz w:val="20"/>
                <w:szCs w:val="20"/>
              </w:rPr>
            </w:pPr>
            <w:r>
              <w:rPr>
                <w:rFonts w:eastAsia="Times New Roman"/>
                <w:sz w:val="20"/>
                <w:szCs w:val="20"/>
              </w:rPr>
              <w:t>●</w:t>
            </w:r>
          </w:p>
        </w:tc>
        <w:tc>
          <w:tcPr>
            <w:tcW w:w="0" w:type="auto"/>
            <w:hideMark/>
          </w:tcPr>
          <w:p w14:paraId="39B5D57D" w14:textId="77777777" w:rsidR="00000000" w:rsidRDefault="009027A3">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r>
              <w:rPr>
                <w:rFonts w:eastAsia="Times New Roman"/>
                <w:sz w:val="20"/>
                <w:szCs w:val="20"/>
              </w:rPr>
              <w:t>;</w:t>
            </w:r>
          </w:p>
        </w:tc>
      </w:tr>
      <w:tr w:rsidR="00000000" w14:paraId="5A4714B6" w14:textId="77777777">
        <w:tc>
          <w:tcPr>
            <w:tcW w:w="0" w:type="auto"/>
            <w:hideMark/>
          </w:tcPr>
          <w:p w14:paraId="1E344C9D" w14:textId="77777777" w:rsidR="00000000" w:rsidRDefault="009027A3">
            <w:pPr>
              <w:rPr>
                <w:rFonts w:eastAsia="Times New Roman"/>
                <w:sz w:val="20"/>
                <w:szCs w:val="20"/>
              </w:rPr>
            </w:pPr>
            <w:r>
              <w:rPr>
                <w:rFonts w:eastAsia="Times New Roman"/>
                <w:sz w:val="20"/>
                <w:szCs w:val="20"/>
              </w:rPr>
              <w:t> </w:t>
            </w:r>
          </w:p>
        </w:tc>
        <w:tc>
          <w:tcPr>
            <w:tcW w:w="0" w:type="auto"/>
            <w:hideMark/>
          </w:tcPr>
          <w:p w14:paraId="576BF1EF" w14:textId="77777777" w:rsidR="00000000" w:rsidRDefault="009027A3">
            <w:pPr>
              <w:jc w:val="both"/>
              <w:rPr>
                <w:rFonts w:eastAsia="Times New Roman"/>
                <w:sz w:val="20"/>
                <w:szCs w:val="20"/>
              </w:rPr>
            </w:pPr>
            <w:r>
              <w:rPr>
                <w:rFonts w:eastAsia="Times New Roman"/>
                <w:sz w:val="20"/>
                <w:szCs w:val="20"/>
              </w:rPr>
              <w:t>●</w:t>
            </w:r>
          </w:p>
        </w:tc>
        <w:tc>
          <w:tcPr>
            <w:tcW w:w="0" w:type="auto"/>
            <w:hideMark/>
          </w:tcPr>
          <w:p w14:paraId="632D41ED" w14:textId="77777777" w:rsidR="00000000" w:rsidRDefault="009027A3">
            <w:pPr>
              <w:jc w:val="both"/>
              <w:rPr>
                <w:rFonts w:eastAsia="Times New Roman"/>
                <w:sz w:val="20"/>
                <w:szCs w:val="20"/>
              </w:rPr>
            </w:pPr>
            <w:r>
              <w:rPr>
                <w:rFonts w:eastAsia="Times New Roman"/>
                <w:sz w:val="20"/>
                <w:szCs w:val="20"/>
              </w:rPr>
              <w:t>Amortization of purchased intangible assets;</w:t>
            </w:r>
          </w:p>
        </w:tc>
      </w:tr>
      <w:tr w:rsidR="00000000" w14:paraId="21620371" w14:textId="77777777">
        <w:tc>
          <w:tcPr>
            <w:tcW w:w="0" w:type="auto"/>
            <w:hideMark/>
          </w:tcPr>
          <w:p w14:paraId="73F26E5E" w14:textId="77777777" w:rsidR="00000000" w:rsidRDefault="009027A3">
            <w:pPr>
              <w:rPr>
                <w:rFonts w:eastAsia="Times New Roman"/>
                <w:sz w:val="20"/>
                <w:szCs w:val="20"/>
              </w:rPr>
            </w:pPr>
            <w:r>
              <w:rPr>
                <w:rFonts w:eastAsia="Times New Roman"/>
                <w:sz w:val="20"/>
                <w:szCs w:val="20"/>
              </w:rPr>
              <w:t> </w:t>
            </w:r>
          </w:p>
        </w:tc>
        <w:tc>
          <w:tcPr>
            <w:tcW w:w="0" w:type="auto"/>
            <w:hideMark/>
          </w:tcPr>
          <w:p w14:paraId="36810DB3" w14:textId="77777777" w:rsidR="00000000" w:rsidRDefault="009027A3">
            <w:pPr>
              <w:jc w:val="both"/>
              <w:rPr>
                <w:rFonts w:eastAsia="Times New Roman"/>
                <w:sz w:val="20"/>
                <w:szCs w:val="20"/>
              </w:rPr>
            </w:pPr>
            <w:r>
              <w:rPr>
                <w:rFonts w:eastAsia="Times New Roman"/>
                <w:sz w:val="20"/>
                <w:szCs w:val="20"/>
              </w:rPr>
              <w:t>●</w:t>
            </w:r>
          </w:p>
        </w:tc>
        <w:tc>
          <w:tcPr>
            <w:tcW w:w="0" w:type="auto"/>
            <w:hideMark/>
          </w:tcPr>
          <w:p w14:paraId="0FF7681E" w14:textId="77777777" w:rsidR="00000000" w:rsidRDefault="009027A3">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 and</w:t>
            </w:r>
          </w:p>
        </w:tc>
      </w:tr>
      <w:tr w:rsidR="00000000" w14:paraId="6B1422B8" w14:textId="77777777">
        <w:tc>
          <w:tcPr>
            <w:tcW w:w="0" w:type="auto"/>
            <w:hideMark/>
          </w:tcPr>
          <w:p w14:paraId="482AD6E6" w14:textId="77777777" w:rsidR="00000000" w:rsidRDefault="009027A3">
            <w:pPr>
              <w:rPr>
                <w:rFonts w:eastAsia="Times New Roman"/>
                <w:sz w:val="20"/>
                <w:szCs w:val="20"/>
              </w:rPr>
            </w:pPr>
            <w:r>
              <w:rPr>
                <w:rFonts w:eastAsia="Times New Roman"/>
                <w:sz w:val="20"/>
                <w:szCs w:val="20"/>
              </w:rPr>
              <w:t> </w:t>
            </w:r>
          </w:p>
        </w:tc>
        <w:tc>
          <w:tcPr>
            <w:tcW w:w="0" w:type="auto"/>
            <w:hideMark/>
          </w:tcPr>
          <w:p w14:paraId="2E830F05" w14:textId="77777777" w:rsidR="00000000" w:rsidRDefault="009027A3">
            <w:pPr>
              <w:jc w:val="both"/>
              <w:rPr>
                <w:rFonts w:eastAsia="Times New Roman"/>
                <w:sz w:val="20"/>
                <w:szCs w:val="20"/>
              </w:rPr>
            </w:pPr>
            <w:r>
              <w:rPr>
                <w:rFonts w:eastAsia="Times New Roman"/>
                <w:sz w:val="20"/>
                <w:szCs w:val="20"/>
              </w:rPr>
              <w:t>●</w:t>
            </w:r>
          </w:p>
        </w:tc>
        <w:tc>
          <w:tcPr>
            <w:tcW w:w="0" w:type="auto"/>
            <w:hideMark/>
          </w:tcPr>
          <w:p w14:paraId="74E40802" w14:textId="77777777" w:rsidR="00000000" w:rsidRDefault="009027A3">
            <w:pPr>
              <w:jc w:val="both"/>
              <w:rPr>
                <w:rFonts w:eastAsia="Times New Roman"/>
                <w:sz w:val="20"/>
                <w:szCs w:val="20"/>
              </w:rPr>
            </w:pPr>
            <w:r>
              <w:rPr>
                <w:rFonts w:eastAsia="Times New Roman"/>
                <w:sz w:val="20"/>
                <w:szCs w:val="20"/>
              </w:rPr>
              <w:t>Impairment and unoccupied lea</w:t>
            </w:r>
            <w:r>
              <w:rPr>
                <w:rFonts w:eastAsia="Times New Roman"/>
                <w:sz w:val="20"/>
                <w:szCs w:val="20"/>
              </w:rPr>
              <w:t>se charges.</w:t>
            </w:r>
          </w:p>
        </w:tc>
      </w:tr>
    </w:tbl>
    <w:p w14:paraId="7E84DF8E" w14:textId="77777777" w:rsidR="00000000" w:rsidRDefault="009027A3">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A8F2EC" w14:textId="77777777">
        <w:trPr>
          <w:divId w:val="574556820"/>
        </w:trPr>
        <w:tc>
          <w:tcPr>
            <w:tcW w:w="5000" w:type="pct"/>
            <w:hideMark/>
          </w:tcPr>
          <w:p w14:paraId="4A814E62"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7634F52A" w14:textId="77777777">
        <w:tc>
          <w:tcPr>
            <w:tcW w:w="5000" w:type="pct"/>
            <w:hideMark/>
          </w:tcPr>
          <w:p w14:paraId="357C2219" w14:textId="77777777" w:rsidR="00000000" w:rsidRDefault="009027A3">
            <w:pPr>
              <w:rPr>
                <w:rFonts w:eastAsia="Times New Roman"/>
                <w:sz w:val="20"/>
                <w:szCs w:val="20"/>
              </w:rPr>
            </w:pPr>
            <w:r>
              <w:rPr>
                <w:rFonts w:eastAsia="Times New Roman"/>
                <w:sz w:val="20"/>
                <w:szCs w:val="20"/>
              </w:rPr>
              <w:t> </w:t>
            </w:r>
          </w:p>
        </w:tc>
      </w:tr>
    </w:tbl>
    <w:p w14:paraId="68AE5586" w14:textId="77777777" w:rsidR="00000000" w:rsidRDefault="009027A3">
      <w:pPr>
        <w:pStyle w:val="a3"/>
        <w:shd w:val="clear" w:color="auto" w:fill="FFFFFF"/>
        <w:spacing w:before="0" w:beforeAutospacing="0" w:after="0" w:afterAutospacing="0"/>
        <w:ind w:left="720"/>
        <w:jc w:val="both"/>
        <w:rPr>
          <w:sz w:val="20"/>
          <w:szCs w:val="20"/>
        </w:rPr>
      </w:pPr>
      <w:r>
        <w:rPr>
          <w:sz w:val="20"/>
          <w:szCs w:val="20"/>
        </w:rPr>
        <w:t> </w:t>
      </w:r>
    </w:p>
    <w:p w14:paraId="0313ECE5" w14:textId="77777777" w:rsidR="00000000" w:rsidRDefault="009027A3">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three months ended March 31, 2021 and 2020:</w:t>
      </w:r>
    </w:p>
    <w:p w14:paraId="2E73C04B" w14:textId="77777777" w:rsidR="00000000" w:rsidRDefault="009027A3">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111"/>
        <w:gridCol w:w="76"/>
        <w:gridCol w:w="100"/>
        <w:gridCol w:w="1272"/>
        <w:gridCol w:w="234"/>
        <w:gridCol w:w="76"/>
        <w:gridCol w:w="100"/>
        <w:gridCol w:w="1272"/>
        <w:gridCol w:w="234"/>
      </w:tblGrid>
      <w:tr w:rsidR="00000000" w14:paraId="49C1C71B" w14:textId="77777777">
        <w:trPr>
          <w:jc w:val="center"/>
        </w:trPr>
        <w:tc>
          <w:tcPr>
            <w:tcW w:w="0" w:type="auto"/>
            <w:vAlign w:val="bottom"/>
            <w:hideMark/>
          </w:tcPr>
          <w:p w14:paraId="29A4D272"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2A17B0"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0DB7E38"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2F862EE5" w14:textId="77777777" w:rsidR="00000000" w:rsidRDefault="009027A3">
            <w:pPr>
              <w:rPr>
                <w:rFonts w:eastAsia="Times New Roman"/>
                <w:b/>
                <w:bCs/>
                <w:sz w:val="20"/>
                <w:szCs w:val="20"/>
              </w:rPr>
            </w:pPr>
            <w:r>
              <w:rPr>
                <w:rFonts w:eastAsia="Times New Roman"/>
                <w:b/>
                <w:bCs/>
                <w:sz w:val="20"/>
                <w:szCs w:val="20"/>
              </w:rPr>
              <w:t> </w:t>
            </w:r>
          </w:p>
        </w:tc>
      </w:tr>
      <w:tr w:rsidR="00000000" w14:paraId="2D117469" w14:textId="77777777">
        <w:trPr>
          <w:jc w:val="center"/>
        </w:trPr>
        <w:tc>
          <w:tcPr>
            <w:tcW w:w="0" w:type="auto"/>
            <w:vAlign w:val="bottom"/>
            <w:hideMark/>
          </w:tcPr>
          <w:p w14:paraId="2A002E54"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FE05FC"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387A9A"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8C4288E"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54BBC9"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B4CC95"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41963AC" w14:textId="77777777" w:rsidR="00000000" w:rsidRDefault="009027A3">
            <w:pPr>
              <w:rPr>
                <w:rFonts w:eastAsia="Times New Roman"/>
                <w:b/>
                <w:bCs/>
                <w:sz w:val="20"/>
                <w:szCs w:val="20"/>
              </w:rPr>
            </w:pPr>
            <w:r>
              <w:rPr>
                <w:rFonts w:eastAsia="Times New Roman"/>
                <w:b/>
                <w:bCs/>
                <w:sz w:val="20"/>
                <w:szCs w:val="20"/>
              </w:rPr>
              <w:t> </w:t>
            </w:r>
          </w:p>
        </w:tc>
      </w:tr>
      <w:tr w:rsidR="00000000" w14:paraId="250FF630" w14:textId="77777777">
        <w:trPr>
          <w:jc w:val="center"/>
        </w:trPr>
        <w:tc>
          <w:tcPr>
            <w:tcW w:w="0" w:type="auto"/>
            <w:vAlign w:val="bottom"/>
            <w:hideMark/>
          </w:tcPr>
          <w:p w14:paraId="11AB9918"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7F1CE2FD"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123D09BC"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4AAB34A8" w14:textId="77777777" w:rsidR="00000000" w:rsidRDefault="009027A3">
            <w:pPr>
              <w:rPr>
                <w:rFonts w:eastAsia="Times New Roman"/>
                <w:sz w:val="20"/>
                <w:szCs w:val="20"/>
              </w:rPr>
            </w:pPr>
            <w:r>
              <w:rPr>
                <w:rFonts w:eastAsia="Times New Roman"/>
                <w:sz w:val="20"/>
                <w:szCs w:val="20"/>
              </w:rPr>
              <w:t> </w:t>
            </w:r>
          </w:p>
        </w:tc>
      </w:tr>
      <w:tr w:rsidR="00000000" w14:paraId="399A530B" w14:textId="77777777">
        <w:trPr>
          <w:jc w:val="center"/>
        </w:trPr>
        <w:tc>
          <w:tcPr>
            <w:tcW w:w="2800" w:type="pct"/>
            <w:shd w:val="clear" w:color="auto" w:fill="CCEEFF"/>
            <w:tcMar>
              <w:top w:w="0" w:type="dxa"/>
              <w:left w:w="0" w:type="dxa"/>
              <w:bottom w:w="50" w:type="dxa"/>
              <w:right w:w="0" w:type="dxa"/>
            </w:tcMar>
            <w:vAlign w:val="bottom"/>
            <w:hideMark/>
          </w:tcPr>
          <w:p w14:paraId="70644B27" w14:textId="77777777" w:rsidR="00000000" w:rsidRDefault="009027A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52A40E74"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CB5892" w14:textId="77777777" w:rsidR="00000000" w:rsidRDefault="009027A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6611D079" w14:textId="77777777" w:rsidR="00000000" w:rsidRDefault="009027A3">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50" w:type="dxa"/>
              <w:right w:w="0" w:type="dxa"/>
            </w:tcMar>
            <w:vAlign w:val="bottom"/>
            <w:hideMark/>
          </w:tcPr>
          <w:p w14:paraId="5477A07A"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0C543F17" w14:textId="77777777" w:rsidR="00000000" w:rsidRDefault="009027A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70515DF" w14:textId="77777777" w:rsidR="00000000" w:rsidRDefault="009027A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3924CE8C" w14:textId="77777777" w:rsidR="00000000" w:rsidRDefault="009027A3">
            <w:pPr>
              <w:jc w:val="right"/>
              <w:rPr>
                <w:rFonts w:eastAsia="Times New Roman"/>
                <w:sz w:val="20"/>
                <w:szCs w:val="20"/>
              </w:rPr>
            </w:pPr>
            <w:r>
              <w:rPr>
                <w:rFonts w:eastAsia="Times New Roman"/>
                <w:sz w:val="20"/>
                <w:szCs w:val="20"/>
              </w:rPr>
              <w:t>21,867</w:t>
            </w:r>
          </w:p>
        </w:tc>
        <w:tc>
          <w:tcPr>
            <w:tcW w:w="50" w:type="pct"/>
            <w:shd w:val="clear" w:color="auto" w:fill="CCEEFF"/>
            <w:tcMar>
              <w:top w:w="0" w:type="dxa"/>
              <w:left w:w="0" w:type="dxa"/>
              <w:bottom w:w="50" w:type="dxa"/>
              <w:right w:w="0" w:type="dxa"/>
            </w:tcMar>
            <w:vAlign w:val="bottom"/>
            <w:hideMark/>
          </w:tcPr>
          <w:p w14:paraId="5414B616" w14:textId="77777777" w:rsidR="00000000" w:rsidRDefault="009027A3">
            <w:pPr>
              <w:rPr>
                <w:rFonts w:eastAsia="Times New Roman"/>
                <w:sz w:val="20"/>
                <w:szCs w:val="20"/>
              </w:rPr>
            </w:pPr>
            <w:r>
              <w:rPr>
                <w:rFonts w:eastAsia="Times New Roman"/>
                <w:sz w:val="20"/>
                <w:szCs w:val="20"/>
              </w:rPr>
              <w:t> </w:t>
            </w:r>
          </w:p>
        </w:tc>
      </w:tr>
      <w:tr w:rsidR="00000000" w14:paraId="1B486643" w14:textId="77777777">
        <w:trPr>
          <w:jc w:val="center"/>
        </w:trPr>
        <w:tc>
          <w:tcPr>
            <w:tcW w:w="0" w:type="auto"/>
            <w:shd w:val="clear" w:color="auto" w:fill="FFFFFF"/>
            <w:vAlign w:val="bottom"/>
            <w:hideMark/>
          </w:tcPr>
          <w:p w14:paraId="707099C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907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418FE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3B2A7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DA3B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3D72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016C0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9AFEC0"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2BBEEE" w14:textId="77777777" w:rsidR="00000000" w:rsidRDefault="009027A3">
            <w:pPr>
              <w:rPr>
                <w:rFonts w:eastAsia="Times New Roman"/>
                <w:sz w:val="20"/>
                <w:szCs w:val="20"/>
              </w:rPr>
            </w:pPr>
            <w:r>
              <w:rPr>
                <w:rFonts w:eastAsia="Times New Roman"/>
                <w:sz w:val="20"/>
                <w:szCs w:val="20"/>
              </w:rPr>
              <w:t> </w:t>
            </w:r>
          </w:p>
        </w:tc>
      </w:tr>
      <w:tr w:rsidR="00000000" w14:paraId="7AB56559" w14:textId="77777777">
        <w:trPr>
          <w:jc w:val="center"/>
        </w:trPr>
        <w:tc>
          <w:tcPr>
            <w:tcW w:w="0" w:type="auto"/>
            <w:shd w:val="clear" w:color="auto" w:fill="CCEEFF"/>
            <w:tcMar>
              <w:top w:w="0" w:type="dxa"/>
              <w:left w:w="200" w:type="dxa"/>
              <w:bottom w:w="0" w:type="dxa"/>
              <w:right w:w="0" w:type="dxa"/>
            </w:tcMar>
            <w:vAlign w:val="bottom"/>
            <w:hideMark/>
          </w:tcPr>
          <w:p w14:paraId="4387DBDA" w14:textId="77777777" w:rsidR="00000000" w:rsidRDefault="009027A3">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4E0A06E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B865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1D8A13" w14:textId="77777777" w:rsidR="00000000" w:rsidRDefault="009027A3">
            <w:pPr>
              <w:jc w:val="right"/>
              <w:rPr>
                <w:rFonts w:eastAsia="Times New Roman"/>
                <w:sz w:val="20"/>
                <w:szCs w:val="20"/>
              </w:rPr>
            </w:pPr>
            <w:r>
              <w:rPr>
                <w:rFonts w:eastAsia="Times New Roman"/>
                <w:sz w:val="20"/>
                <w:szCs w:val="20"/>
              </w:rPr>
              <w:t>(1,964</w:t>
            </w:r>
          </w:p>
        </w:tc>
        <w:tc>
          <w:tcPr>
            <w:tcW w:w="0" w:type="auto"/>
            <w:shd w:val="clear" w:color="auto" w:fill="CCEEFF"/>
            <w:vAlign w:val="bottom"/>
            <w:hideMark/>
          </w:tcPr>
          <w:p w14:paraId="6A46D470"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3A50CF3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A347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C927F" w14:textId="77777777" w:rsidR="00000000" w:rsidRDefault="009027A3">
            <w:pPr>
              <w:jc w:val="right"/>
              <w:rPr>
                <w:rFonts w:eastAsia="Times New Roman"/>
                <w:sz w:val="20"/>
                <w:szCs w:val="20"/>
              </w:rPr>
            </w:pPr>
            <w:r>
              <w:rPr>
                <w:rFonts w:eastAsia="Times New Roman"/>
                <w:sz w:val="20"/>
                <w:szCs w:val="20"/>
              </w:rPr>
              <w:t>(2,502</w:t>
            </w:r>
          </w:p>
        </w:tc>
        <w:tc>
          <w:tcPr>
            <w:tcW w:w="0" w:type="auto"/>
            <w:shd w:val="clear" w:color="auto" w:fill="CCEEFF"/>
            <w:vAlign w:val="bottom"/>
            <w:hideMark/>
          </w:tcPr>
          <w:p w14:paraId="0FFD1258" w14:textId="77777777" w:rsidR="00000000" w:rsidRDefault="009027A3">
            <w:pPr>
              <w:rPr>
                <w:rFonts w:eastAsia="Times New Roman"/>
                <w:sz w:val="20"/>
                <w:szCs w:val="20"/>
              </w:rPr>
            </w:pPr>
            <w:r>
              <w:rPr>
                <w:rFonts w:eastAsia="Times New Roman"/>
                <w:sz w:val="20"/>
                <w:szCs w:val="20"/>
              </w:rPr>
              <w:t>)</w:t>
            </w:r>
          </w:p>
        </w:tc>
      </w:tr>
      <w:tr w:rsidR="00000000" w14:paraId="0C1BD294" w14:textId="77777777">
        <w:trPr>
          <w:jc w:val="center"/>
        </w:trPr>
        <w:tc>
          <w:tcPr>
            <w:tcW w:w="0" w:type="auto"/>
            <w:shd w:val="clear" w:color="auto" w:fill="FFFFFF"/>
            <w:tcMar>
              <w:top w:w="0" w:type="dxa"/>
              <w:left w:w="200" w:type="dxa"/>
              <w:bottom w:w="0" w:type="dxa"/>
              <w:right w:w="0" w:type="dxa"/>
            </w:tcMar>
            <w:vAlign w:val="bottom"/>
            <w:hideMark/>
          </w:tcPr>
          <w:p w14:paraId="1BFE0E0E" w14:textId="77777777" w:rsidR="00000000" w:rsidRDefault="009027A3">
            <w:pPr>
              <w:rPr>
                <w:rFonts w:eastAsia="Times New Roman"/>
                <w:sz w:val="20"/>
                <w:szCs w:val="20"/>
              </w:rPr>
            </w:pPr>
            <w:r>
              <w:rPr>
                <w:rFonts w:eastAsia="Times New Roman"/>
                <w:sz w:val="20"/>
                <w:szCs w:val="20"/>
              </w:rPr>
              <w:t>(Benefit) provision for income taxes</w:t>
            </w:r>
          </w:p>
        </w:tc>
        <w:tc>
          <w:tcPr>
            <w:tcW w:w="0" w:type="auto"/>
            <w:shd w:val="clear" w:color="auto" w:fill="FFFFFF"/>
            <w:vAlign w:val="bottom"/>
            <w:hideMark/>
          </w:tcPr>
          <w:p w14:paraId="7C6DF9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358A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D7ED8"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14:paraId="04A825CD"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41BECA5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66480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E5D9C9" w14:textId="77777777" w:rsidR="00000000" w:rsidRDefault="009027A3">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14:paraId="09E0B210" w14:textId="77777777" w:rsidR="00000000" w:rsidRDefault="009027A3">
            <w:pPr>
              <w:rPr>
                <w:rFonts w:eastAsia="Times New Roman"/>
                <w:sz w:val="20"/>
                <w:szCs w:val="20"/>
              </w:rPr>
            </w:pPr>
            <w:r>
              <w:rPr>
                <w:rFonts w:eastAsia="Times New Roman"/>
                <w:sz w:val="20"/>
                <w:szCs w:val="20"/>
              </w:rPr>
              <w:t> </w:t>
            </w:r>
          </w:p>
        </w:tc>
      </w:tr>
      <w:tr w:rsidR="00000000" w14:paraId="2F0F11F6" w14:textId="77777777">
        <w:trPr>
          <w:jc w:val="center"/>
        </w:trPr>
        <w:tc>
          <w:tcPr>
            <w:tcW w:w="0" w:type="auto"/>
            <w:shd w:val="clear" w:color="auto" w:fill="CCEEFF"/>
            <w:tcMar>
              <w:top w:w="0" w:type="dxa"/>
              <w:left w:w="200" w:type="dxa"/>
              <w:bottom w:w="0" w:type="dxa"/>
              <w:right w:w="0" w:type="dxa"/>
            </w:tcMar>
            <w:vAlign w:val="bottom"/>
            <w:hideMark/>
          </w:tcPr>
          <w:p w14:paraId="226A252D" w14:textId="77777777" w:rsidR="00000000" w:rsidRDefault="009027A3">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5D20E5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7C56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D2362" w14:textId="77777777" w:rsidR="00000000" w:rsidRDefault="009027A3">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14:paraId="2E43696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05A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FE948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4F8A7" w14:textId="77777777" w:rsidR="00000000" w:rsidRDefault="009027A3">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0313F0F1" w14:textId="77777777" w:rsidR="00000000" w:rsidRDefault="009027A3">
            <w:pPr>
              <w:rPr>
                <w:rFonts w:eastAsia="Times New Roman"/>
                <w:sz w:val="20"/>
                <w:szCs w:val="20"/>
              </w:rPr>
            </w:pPr>
            <w:r>
              <w:rPr>
                <w:rFonts w:eastAsia="Times New Roman"/>
                <w:sz w:val="20"/>
                <w:szCs w:val="20"/>
              </w:rPr>
              <w:t> </w:t>
            </w:r>
          </w:p>
        </w:tc>
      </w:tr>
      <w:tr w:rsidR="00000000" w14:paraId="7468B464" w14:textId="77777777">
        <w:trPr>
          <w:jc w:val="center"/>
        </w:trPr>
        <w:tc>
          <w:tcPr>
            <w:tcW w:w="0" w:type="auto"/>
            <w:shd w:val="clear" w:color="auto" w:fill="FFFFFF"/>
            <w:tcMar>
              <w:top w:w="0" w:type="dxa"/>
              <w:left w:w="200" w:type="dxa"/>
              <w:bottom w:w="30" w:type="dxa"/>
              <w:right w:w="0" w:type="dxa"/>
            </w:tcMar>
            <w:vAlign w:val="bottom"/>
            <w:hideMark/>
          </w:tcPr>
          <w:p w14:paraId="7030DDFD" w14:textId="77777777" w:rsidR="00000000" w:rsidRDefault="009027A3">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14:paraId="1DC118A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DBFF0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D2D3FA" w14:textId="77777777" w:rsidR="00000000" w:rsidRDefault="009027A3">
            <w:pPr>
              <w:jc w:val="right"/>
              <w:rPr>
                <w:rFonts w:eastAsia="Times New Roman"/>
                <w:sz w:val="20"/>
                <w:szCs w:val="20"/>
              </w:rPr>
            </w:pPr>
            <w:r>
              <w:rPr>
                <w:rFonts w:eastAsia="Times New Roman"/>
                <w:sz w:val="20"/>
                <w:szCs w:val="20"/>
              </w:rPr>
              <w:t>220</w:t>
            </w:r>
          </w:p>
        </w:tc>
        <w:tc>
          <w:tcPr>
            <w:tcW w:w="0" w:type="auto"/>
            <w:shd w:val="clear" w:color="auto" w:fill="FFFFFF"/>
            <w:tcMar>
              <w:top w:w="0" w:type="dxa"/>
              <w:left w:w="0" w:type="dxa"/>
              <w:bottom w:w="30" w:type="dxa"/>
              <w:right w:w="0" w:type="dxa"/>
            </w:tcMar>
            <w:vAlign w:val="bottom"/>
            <w:hideMark/>
          </w:tcPr>
          <w:p w14:paraId="281B1F6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38F5B9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B9DF7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BF8F41" w14:textId="77777777" w:rsidR="00000000" w:rsidRDefault="009027A3">
            <w:pPr>
              <w:jc w:val="right"/>
              <w:rPr>
                <w:rFonts w:eastAsia="Times New Roman"/>
                <w:sz w:val="20"/>
                <w:szCs w:val="20"/>
              </w:rPr>
            </w:pPr>
            <w:r>
              <w:rPr>
                <w:rFonts w:eastAsia="Times New Roman"/>
                <w:sz w:val="20"/>
                <w:szCs w:val="20"/>
              </w:rPr>
              <w:t>(445</w:t>
            </w:r>
          </w:p>
        </w:tc>
        <w:tc>
          <w:tcPr>
            <w:tcW w:w="0" w:type="auto"/>
            <w:shd w:val="clear" w:color="auto" w:fill="FFFFFF"/>
            <w:tcMar>
              <w:top w:w="0" w:type="dxa"/>
              <w:left w:w="0" w:type="dxa"/>
              <w:bottom w:w="30" w:type="dxa"/>
              <w:right w:w="0" w:type="dxa"/>
            </w:tcMar>
            <w:vAlign w:val="bottom"/>
            <w:hideMark/>
          </w:tcPr>
          <w:p w14:paraId="15E7B072" w14:textId="77777777" w:rsidR="00000000" w:rsidRDefault="009027A3">
            <w:pPr>
              <w:rPr>
                <w:rFonts w:eastAsia="Times New Roman"/>
                <w:sz w:val="20"/>
                <w:szCs w:val="20"/>
              </w:rPr>
            </w:pPr>
            <w:r>
              <w:rPr>
                <w:rFonts w:eastAsia="Times New Roman"/>
                <w:sz w:val="20"/>
                <w:szCs w:val="20"/>
              </w:rPr>
              <w:t>)</w:t>
            </w:r>
          </w:p>
        </w:tc>
      </w:tr>
      <w:tr w:rsidR="00000000" w14:paraId="12382895" w14:textId="77777777">
        <w:trPr>
          <w:jc w:val="center"/>
        </w:trPr>
        <w:tc>
          <w:tcPr>
            <w:tcW w:w="0" w:type="auto"/>
            <w:shd w:val="clear" w:color="auto" w:fill="CCEEFF"/>
            <w:vAlign w:val="bottom"/>
            <w:hideMark/>
          </w:tcPr>
          <w:p w14:paraId="6FDD5C42" w14:textId="77777777" w:rsidR="00000000" w:rsidRDefault="009027A3">
            <w:pPr>
              <w:rPr>
                <w:rFonts w:eastAsia="Times New Roman"/>
                <w:sz w:val="20"/>
                <w:szCs w:val="20"/>
              </w:rPr>
            </w:pPr>
            <w:r>
              <w:rPr>
                <w:rFonts w:eastAsia="Times New Roman"/>
                <w:sz w:val="20"/>
                <w:szCs w:val="20"/>
              </w:rPr>
              <w:t>GAAP operating (loss) / income</w:t>
            </w:r>
          </w:p>
        </w:tc>
        <w:tc>
          <w:tcPr>
            <w:tcW w:w="0" w:type="auto"/>
            <w:shd w:val="clear" w:color="auto" w:fill="CCEEFF"/>
            <w:vAlign w:val="bottom"/>
            <w:hideMark/>
          </w:tcPr>
          <w:p w14:paraId="1A293A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9EBB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94365B" w14:textId="77777777" w:rsidR="00000000" w:rsidRDefault="009027A3">
            <w:pPr>
              <w:jc w:val="right"/>
              <w:rPr>
                <w:rFonts w:eastAsia="Times New Roman"/>
                <w:sz w:val="20"/>
                <w:szCs w:val="20"/>
              </w:rPr>
            </w:pPr>
            <w:r>
              <w:rPr>
                <w:rFonts w:eastAsia="Times New Roman"/>
                <w:sz w:val="20"/>
                <w:szCs w:val="20"/>
              </w:rPr>
              <w:t>(1,681</w:t>
            </w:r>
          </w:p>
        </w:tc>
        <w:tc>
          <w:tcPr>
            <w:tcW w:w="0" w:type="auto"/>
            <w:shd w:val="clear" w:color="auto" w:fill="CCEEFF"/>
            <w:vAlign w:val="bottom"/>
            <w:hideMark/>
          </w:tcPr>
          <w:p w14:paraId="15F5EBFF"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66B4C3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5689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55328" w14:textId="77777777" w:rsidR="00000000" w:rsidRDefault="009027A3">
            <w:pPr>
              <w:jc w:val="right"/>
              <w:rPr>
                <w:rFonts w:eastAsia="Times New Roman"/>
                <w:sz w:val="20"/>
                <w:szCs w:val="20"/>
              </w:rPr>
            </w:pPr>
            <w:r>
              <w:rPr>
                <w:rFonts w:eastAsia="Times New Roman"/>
                <w:sz w:val="20"/>
                <w:szCs w:val="20"/>
              </w:rPr>
              <w:t>(2,837</w:t>
            </w:r>
          </w:p>
        </w:tc>
        <w:tc>
          <w:tcPr>
            <w:tcW w:w="0" w:type="auto"/>
            <w:shd w:val="clear" w:color="auto" w:fill="CCEEFF"/>
            <w:vAlign w:val="bottom"/>
            <w:hideMark/>
          </w:tcPr>
          <w:p w14:paraId="3D84297B" w14:textId="77777777" w:rsidR="00000000" w:rsidRDefault="009027A3">
            <w:pPr>
              <w:rPr>
                <w:rFonts w:eastAsia="Times New Roman"/>
                <w:sz w:val="20"/>
                <w:szCs w:val="20"/>
              </w:rPr>
            </w:pPr>
            <w:r>
              <w:rPr>
                <w:rFonts w:eastAsia="Times New Roman"/>
                <w:sz w:val="20"/>
                <w:szCs w:val="20"/>
              </w:rPr>
              <w:t>)</w:t>
            </w:r>
          </w:p>
        </w:tc>
      </w:tr>
      <w:tr w:rsidR="00000000" w14:paraId="5F373664" w14:textId="77777777">
        <w:trPr>
          <w:jc w:val="center"/>
        </w:trPr>
        <w:tc>
          <w:tcPr>
            <w:tcW w:w="0" w:type="auto"/>
            <w:shd w:val="clear" w:color="auto" w:fill="FFFFFF"/>
            <w:tcMar>
              <w:top w:w="0" w:type="dxa"/>
              <w:left w:w="200" w:type="dxa"/>
              <w:bottom w:w="0" w:type="dxa"/>
              <w:right w:w="0" w:type="dxa"/>
            </w:tcMar>
            <w:vAlign w:val="bottom"/>
            <w:hideMark/>
          </w:tcPr>
          <w:p w14:paraId="0F7987E4" w14:textId="77777777" w:rsidR="00000000" w:rsidRDefault="009027A3">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445EEC4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C21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CADCBE" w14:textId="77777777" w:rsidR="00000000" w:rsidRDefault="009027A3">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14:paraId="4983423C"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4B90D02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DAE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B370B" w14:textId="77777777" w:rsidR="00000000" w:rsidRDefault="009027A3">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14:paraId="1F2B67BB" w14:textId="77777777" w:rsidR="00000000" w:rsidRDefault="009027A3">
            <w:pPr>
              <w:rPr>
                <w:rFonts w:eastAsia="Times New Roman"/>
                <w:sz w:val="20"/>
                <w:szCs w:val="20"/>
              </w:rPr>
            </w:pPr>
            <w:r>
              <w:rPr>
                <w:rFonts w:eastAsia="Times New Roman"/>
                <w:sz w:val="20"/>
                <w:szCs w:val="20"/>
              </w:rPr>
              <w:t>%)</w:t>
            </w:r>
          </w:p>
        </w:tc>
      </w:tr>
      <w:tr w:rsidR="00000000" w14:paraId="2F4C5661" w14:textId="77777777">
        <w:trPr>
          <w:jc w:val="center"/>
        </w:trPr>
        <w:tc>
          <w:tcPr>
            <w:tcW w:w="0" w:type="auto"/>
            <w:shd w:val="clear" w:color="auto" w:fill="CCEEFF"/>
            <w:vAlign w:val="bottom"/>
            <w:hideMark/>
          </w:tcPr>
          <w:p w14:paraId="642E82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BEE1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C92A5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92FFA"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627F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C0B9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4AE9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9B1F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FC260B" w14:textId="77777777" w:rsidR="00000000" w:rsidRDefault="009027A3">
            <w:pPr>
              <w:rPr>
                <w:rFonts w:eastAsia="Times New Roman"/>
                <w:sz w:val="20"/>
                <w:szCs w:val="20"/>
              </w:rPr>
            </w:pPr>
            <w:r>
              <w:rPr>
                <w:rFonts w:eastAsia="Times New Roman"/>
                <w:sz w:val="20"/>
                <w:szCs w:val="20"/>
              </w:rPr>
              <w:t> </w:t>
            </w:r>
          </w:p>
        </w:tc>
      </w:tr>
      <w:tr w:rsidR="00000000" w14:paraId="56BEFC4F" w14:textId="77777777">
        <w:trPr>
          <w:jc w:val="center"/>
        </w:trPr>
        <w:tc>
          <w:tcPr>
            <w:tcW w:w="0" w:type="auto"/>
            <w:shd w:val="clear" w:color="auto" w:fill="FFFFFF"/>
            <w:tcMar>
              <w:top w:w="0" w:type="dxa"/>
              <w:left w:w="200" w:type="dxa"/>
              <w:bottom w:w="0" w:type="dxa"/>
              <w:right w:w="0" w:type="dxa"/>
            </w:tcMar>
            <w:vAlign w:val="bottom"/>
            <w:hideMark/>
          </w:tcPr>
          <w:p w14:paraId="1E9A8DAC" w14:textId="77777777" w:rsidR="00000000" w:rsidRDefault="009027A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2A39CF6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7A7E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0DC7A" w14:textId="77777777" w:rsidR="00000000" w:rsidRDefault="009027A3">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14:paraId="2B26F77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013C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29B3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89CF6" w14:textId="77777777" w:rsidR="00000000" w:rsidRDefault="009027A3">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6B2A745D" w14:textId="77777777" w:rsidR="00000000" w:rsidRDefault="009027A3">
            <w:pPr>
              <w:rPr>
                <w:rFonts w:eastAsia="Times New Roman"/>
                <w:sz w:val="20"/>
                <w:szCs w:val="20"/>
              </w:rPr>
            </w:pPr>
            <w:r>
              <w:rPr>
                <w:rFonts w:eastAsia="Times New Roman"/>
                <w:sz w:val="20"/>
                <w:szCs w:val="20"/>
              </w:rPr>
              <w:t> </w:t>
            </w:r>
          </w:p>
        </w:tc>
      </w:tr>
      <w:tr w:rsidR="00000000" w14:paraId="56EDA498" w14:textId="77777777">
        <w:trPr>
          <w:jc w:val="center"/>
        </w:trPr>
        <w:tc>
          <w:tcPr>
            <w:tcW w:w="0" w:type="auto"/>
            <w:shd w:val="clear" w:color="auto" w:fill="CCEEFF"/>
            <w:tcMar>
              <w:top w:w="0" w:type="dxa"/>
              <w:left w:w="200" w:type="dxa"/>
              <w:bottom w:w="0" w:type="dxa"/>
              <w:right w:w="0" w:type="dxa"/>
            </w:tcMar>
            <w:vAlign w:val="bottom"/>
            <w:hideMark/>
          </w:tcPr>
          <w:p w14:paraId="77E24B85" w14:textId="77777777" w:rsidR="00000000" w:rsidRDefault="009027A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3F7831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20B18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46A297" w14:textId="77777777" w:rsidR="00000000" w:rsidRDefault="009027A3">
            <w:pPr>
              <w:jc w:val="right"/>
              <w:rPr>
                <w:rFonts w:eastAsia="Times New Roman"/>
                <w:sz w:val="20"/>
                <w:szCs w:val="20"/>
              </w:rPr>
            </w:pPr>
            <w:r>
              <w:rPr>
                <w:rFonts w:eastAsia="Times New Roman"/>
                <w:sz w:val="20"/>
                <w:szCs w:val="20"/>
              </w:rPr>
              <w:t>2,135</w:t>
            </w:r>
          </w:p>
        </w:tc>
        <w:tc>
          <w:tcPr>
            <w:tcW w:w="0" w:type="auto"/>
            <w:shd w:val="clear" w:color="auto" w:fill="CCEEFF"/>
            <w:vAlign w:val="bottom"/>
            <w:hideMark/>
          </w:tcPr>
          <w:p w14:paraId="56D856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C49E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CAB9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EA26E" w14:textId="77777777" w:rsidR="00000000" w:rsidRDefault="009027A3">
            <w:pPr>
              <w:jc w:val="right"/>
              <w:rPr>
                <w:rFonts w:eastAsia="Times New Roman"/>
                <w:sz w:val="20"/>
                <w:szCs w:val="20"/>
              </w:rPr>
            </w:pPr>
            <w:r>
              <w:rPr>
                <w:rFonts w:eastAsia="Times New Roman"/>
                <w:sz w:val="20"/>
                <w:szCs w:val="20"/>
              </w:rPr>
              <w:t>1,015</w:t>
            </w:r>
          </w:p>
        </w:tc>
        <w:tc>
          <w:tcPr>
            <w:tcW w:w="0" w:type="auto"/>
            <w:shd w:val="clear" w:color="auto" w:fill="CCEEFF"/>
            <w:vAlign w:val="bottom"/>
            <w:hideMark/>
          </w:tcPr>
          <w:p w14:paraId="6FBA3E1C" w14:textId="77777777" w:rsidR="00000000" w:rsidRDefault="009027A3">
            <w:pPr>
              <w:rPr>
                <w:rFonts w:eastAsia="Times New Roman"/>
                <w:sz w:val="20"/>
                <w:szCs w:val="20"/>
              </w:rPr>
            </w:pPr>
            <w:r>
              <w:rPr>
                <w:rFonts w:eastAsia="Times New Roman"/>
                <w:sz w:val="20"/>
                <w:szCs w:val="20"/>
              </w:rPr>
              <w:t> </w:t>
            </w:r>
          </w:p>
        </w:tc>
      </w:tr>
      <w:tr w:rsidR="00000000" w14:paraId="7E74D0CD" w14:textId="77777777">
        <w:trPr>
          <w:jc w:val="center"/>
        </w:trPr>
        <w:tc>
          <w:tcPr>
            <w:tcW w:w="0" w:type="auto"/>
            <w:shd w:val="clear" w:color="auto" w:fill="FFFFFF"/>
            <w:tcMar>
              <w:top w:w="0" w:type="dxa"/>
              <w:left w:w="200" w:type="dxa"/>
              <w:bottom w:w="0" w:type="dxa"/>
              <w:right w:w="0" w:type="dxa"/>
            </w:tcMar>
            <w:vAlign w:val="bottom"/>
            <w:hideMark/>
          </w:tcPr>
          <w:p w14:paraId="75D02EC3" w14:textId="77777777" w:rsidR="00000000" w:rsidRDefault="009027A3">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4E9EDCF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089F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A6B9B" w14:textId="77777777" w:rsidR="00000000" w:rsidRDefault="009027A3">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14:paraId="55CED1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50C4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2087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BF0FC" w14:textId="77777777" w:rsidR="00000000" w:rsidRDefault="009027A3">
            <w:pPr>
              <w:jc w:val="right"/>
              <w:rPr>
                <w:rFonts w:eastAsia="Times New Roman"/>
                <w:sz w:val="20"/>
                <w:szCs w:val="20"/>
              </w:rPr>
            </w:pPr>
            <w:r>
              <w:rPr>
                <w:rFonts w:eastAsia="Times New Roman"/>
                <w:sz w:val="20"/>
                <w:szCs w:val="20"/>
              </w:rPr>
              <w:t>646</w:t>
            </w:r>
          </w:p>
        </w:tc>
        <w:tc>
          <w:tcPr>
            <w:tcW w:w="0" w:type="auto"/>
            <w:shd w:val="clear" w:color="auto" w:fill="FFFFFF"/>
            <w:vAlign w:val="bottom"/>
            <w:hideMark/>
          </w:tcPr>
          <w:p w14:paraId="6DA8C404" w14:textId="77777777" w:rsidR="00000000" w:rsidRDefault="009027A3">
            <w:pPr>
              <w:rPr>
                <w:rFonts w:eastAsia="Times New Roman"/>
                <w:sz w:val="20"/>
                <w:szCs w:val="20"/>
              </w:rPr>
            </w:pPr>
            <w:r>
              <w:rPr>
                <w:rFonts w:eastAsia="Times New Roman"/>
                <w:sz w:val="20"/>
                <w:szCs w:val="20"/>
              </w:rPr>
              <w:t> </w:t>
            </w:r>
          </w:p>
        </w:tc>
      </w:tr>
      <w:tr w:rsidR="00000000" w14:paraId="78276945" w14:textId="77777777">
        <w:trPr>
          <w:jc w:val="center"/>
        </w:trPr>
        <w:tc>
          <w:tcPr>
            <w:tcW w:w="0" w:type="auto"/>
            <w:shd w:val="clear" w:color="auto" w:fill="CCEEFF"/>
            <w:tcMar>
              <w:top w:w="0" w:type="dxa"/>
              <w:left w:w="200" w:type="dxa"/>
              <w:bottom w:w="30" w:type="dxa"/>
              <w:right w:w="0" w:type="dxa"/>
            </w:tcMar>
            <w:vAlign w:val="bottom"/>
            <w:hideMark/>
          </w:tcPr>
          <w:p w14:paraId="627B3258"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14:paraId="2B474D2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66F22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64DC72"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CCEEFF"/>
            <w:tcMar>
              <w:top w:w="0" w:type="dxa"/>
              <w:left w:w="0" w:type="dxa"/>
              <w:bottom w:w="30" w:type="dxa"/>
              <w:right w:w="0" w:type="dxa"/>
            </w:tcMar>
            <w:vAlign w:val="bottom"/>
            <w:hideMark/>
          </w:tcPr>
          <w:p w14:paraId="1169DB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50A3E6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09460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CFFBAB"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CCEEFF"/>
            <w:tcMar>
              <w:top w:w="0" w:type="dxa"/>
              <w:left w:w="0" w:type="dxa"/>
              <w:bottom w:w="30" w:type="dxa"/>
              <w:right w:w="0" w:type="dxa"/>
            </w:tcMar>
            <w:vAlign w:val="bottom"/>
            <w:hideMark/>
          </w:tcPr>
          <w:p w14:paraId="08F69E66" w14:textId="77777777" w:rsidR="00000000" w:rsidRDefault="009027A3">
            <w:pPr>
              <w:rPr>
                <w:rFonts w:eastAsia="Times New Roman"/>
                <w:sz w:val="20"/>
                <w:szCs w:val="20"/>
              </w:rPr>
            </w:pPr>
            <w:r>
              <w:rPr>
                <w:rFonts w:eastAsia="Times New Roman"/>
                <w:sz w:val="20"/>
                <w:szCs w:val="20"/>
              </w:rPr>
              <w:t> </w:t>
            </w:r>
          </w:p>
        </w:tc>
      </w:tr>
      <w:tr w:rsidR="00000000" w14:paraId="0B6B6760" w14:textId="77777777">
        <w:trPr>
          <w:jc w:val="center"/>
        </w:trPr>
        <w:tc>
          <w:tcPr>
            <w:tcW w:w="0" w:type="auto"/>
            <w:shd w:val="clear" w:color="auto" w:fill="FFFFFF"/>
            <w:tcMar>
              <w:top w:w="0" w:type="dxa"/>
              <w:left w:w="0" w:type="dxa"/>
              <w:bottom w:w="50" w:type="dxa"/>
              <w:right w:w="0" w:type="dxa"/>
            </w:tcMar>
            <w:vAlign w:val="bottom"/>
            <w:hideMark/>
          </w:tcPr>
          <w:p w14:paraId="1AFE8171" w14:textId="77777777" w:rsidR="00000000" w:rsidRDefault="009027A3">
            <w:pPr>
              <w:rPr>
                <w:rFonts w:eastAsia="Times New Roman"/>
                <w:sz w:val="20"/>
                <w:szCs w:val="20"/>
              </w:rPr>
            </w:pPr>
            <w:r>
              <w:rPr>
                <w:rFonts w:eastAsia="Times New Roman"/>
                <w:sz w:val="20"/>
                <w:szCs w:val="20"/>
              </w:rPr>
              <w:t>Non-GAAP adjusted operating income</w:t>
            </w:r>
          </w:p>
        </w:tc>
        <w:tc>
          <w:tcPr>
            <w:tcW w:w="0" w:type="auto"/>
            <w:shd w:val="clear" w:color="auto" w:fill="FFFFFF"/>
            <w:tcMar>
              <w:top w:w="0" w:type="dxa"/>
              <w:left w:w="0" w:type="dxa"/>
              <w:bottom w:w="50" w:type="dxa"/>
              <w:right w:w="0" w:type="dxa"/>
            </w:tcMar>
            <w:vAlign w:val="bottom"/>
            <w:hideMark/>
          </w:tcPr>
          <w:p w14:paraId="30B88BD1"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2D89A82"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AAC2EF0" w14:textId="77777777" w:rsidR="00000000" w:rsidRDefault="009027A3">
            <w:pPr>
              <w:jc w:val="right"/>
              <w:rPr>
                <w:rFonts w:eastAsia="Times New Roman"/>
                <w:b/>
                <w:bCs/>
                <w:sz w:val="20"/>
                <w:szCs w:val="20"/>
              </w:rPr>
            </w:pPr>
            <w:r>
              <w:rPr>
                <w:rFonts w:eastAsia="Times New Roman"/>
                <w:b/>
                <w:bCs/>
                <w:sz w:val="20"/>
                <w:szCs w:val="20"/>
              </w:rPr>
              <w:t>2,971</w:t>
            </w:r>
          </w:p>
        </w:tc>
        <w:tc>
          <w:tcPr>
            <w:tcW w:w="0" w:type="auto"/>
            <w:shd w:val="clear" w:color="auto" w:fill="FFFFFF"/>
            <w:tcMar>
              <w:top w:w="0" w:type="dxa"/>
              <w:left w:w="0" w:type="dxa"/>
              <w:bottom w:w="50" w:type="dxa"/>
              <w:right w:w="0" w:type="dxa"/>
            </w:tcMar>
            <w:vAlign w:val="bottom"/>
            <w:hideMark/>
          </w:tcPr>
          <w:p w14:paraId="7A91927D" w14:textId="77777777" w:rsidR="00000000" w:rsidRDefault="009027A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3DADB56E"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C1605B7"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03E625A3" w14:textId="77777777" w:rsidR="00000000" w:rsidRDefault="009027A3">
            <w:pPr>
              <w:jc w:val="right"/>
              <w:rPr>
                <w:rFonts w:eastAsia="Times New Roman"/>
                <w:b/>
                <w:bCs/>
                <w:sz w:val="20"/>
                <w:szCs w:val="20"/>
              </w:rPr>
            </w:pPr>
            <w:r>
              <w:rPr>
                <w:rFonts w:eastAsia="Times New Roman"/>
                <w:b/>
                <w:bCs/>
                <w:sz w:val="20"/>
                <w:szCs w:val="20"/>
              </w:rPr>
              <w:t>428</w:t>
            </w:r>
          </w:p>
        </w:tc>
        <w:tc>
          <w:tcPr>
            <w:tcW w:w="0" w:type="auto"/>
            <w:shd w:val="clear" w:color="auto" w:fill="FFFFFF"/>
            <w:tcMar>
              <w:top w:w="0" w:type="dxa"/>
              <w:left w:w="0" w:type="dxa"/>
              <w:bottom w:w="50" w:type="dxa"/>
              <w:right w:w="0" w:type="dxa"/>
            </w:tcMar>
            <w:vAlign w:val="bottom"/>
            <w:hideMark/>
          </w:tcPr>
          <w:p w14:paraId="2F3E7DC3" w14:textId="77777777" w:rsidR="00000000" w:rsidRDefault="009027A3">
            <w:pPr>
              <w:rPr>
                <w:rFonts w:eastAsia="Times New Roman"/>
                <w:b/>
                <w:bCs/>
                <w:sz w:val="20"/>
                <w:szCs w:val="20"/>
              </w:rPr>
            </w:pPr>
            <w:r>
              <w:rPr>
                <w:rFonts w:eastAsia="Times New Roman"/>
                <w:b/>
                <w:bCs/>
                <w:sz w:val="20"/>
                <w:szCs w:val="20"/>
              </w:rPr>
              <w:t> </w:t>
            </w:r>
          </w:p>
        </w:tc>
      </w:tr>
      <w:tr w:rsidR="00000000" w14:paraId="6AAC96F1" w14:textId="77777777">
        <w:trPr>
          <w:jc w:val="center"/>
        </w:trPr>
        <w:tc>
          <w:tcPr>
            <w:tcW w:w="0" w:type="auto"/>
            <w:shd w:val="clear" w:color="auto" w:fill="CCEEFF"/>
            <w:tcMar>
              <w:top w:w="0" w:type="dxa"/>
              <w:left w:w="200" w:type="dxa"/>
              <w:bottom w:w="0" w:type="dxa"/>
              <w:right w:w="0" w:type="dxa"/>
            </w:tcMar>
            <w:vAlign w:val="bottom"/>
            <w:hideMark/>
          </w:tcPr>
          <w:p w14:paraId="326996EE" w14:textId="77777777" w:rsidR="00000000" w:rsidRDefault="009027A3">
            <w:pPr>
              <w:rPr>
                <w:rFonts w:eastAsia="Times New Roman"/>
                <w:sz w:val="20"/>
                <w:szCs w:val="20"/>
              </w:rPr>
            </w:pPr>
            <w:r>
              <w:rPr>
                <w:rFonts w:eastAsia="Times New Roman"/>
                <w:sz w:val="20"/>
                <w:szCs w:val="20"/>
              </w:rPr>
              <w:t>Non-GAAP adjusted operating margin</w:t>
            </w:r>
          </w:p>
        </w:tc>
        <w:tc>
          <w:tcPr>
            <w:tcW w:w="0" w:type="auto"/>
            <w:shd w:val="clear" w:color="auto" w:fill="CCEEFF"/>
            <w:vAlign w:val="bottom"/>
            <w:hideMark/>
          </w:tcPr>
          <w:p w14:paraId="17D0062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7AF0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34CC1" w14:textId="77777777" w:rsidR="00000000" w:rsidRDefault="009027A3">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78B46971"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3C3E126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3F6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AD963"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14:paraId="4AE26795" w14:textId="77777777" w:rsidR="00000000" w:rsidRDefault="009027A3">
            <w:pPr>
              <w:rPr>
                <w:rFonts w:eastAsia="Times New Roman"/>
                <w:sz w:val="20"/>
                <w:szCs w:val="20"/>
              </w:rPr>
            </w:pPr>
            <w:r>
              <w:rPr>
                <w:rFonts w:eastAsia="Times New Roman"/>
                <w:sz w:val="20"/>
                <w:szCs w:val="20"/>
              </w:rPr>
              <w:t>%</w:t>
            </w:r>
          </w:p>
        </w:tc>
      </w:tr>
    </w:tbl>
    <w:p w14:paraId="7A279741"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BE2948B"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1E69831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3E7B391" w14:textId="77777777">
        <w:tc>
          <w:tcPr>
            <w:tcW w:w="360" w:type="dxa"/>
            <w:hideMark/>
          </w:tcPr>
          <w:p w14:paraId="50D801F2" w14:textId="77777777" w:rsidR="00000000" w:rsidRDefault="009027A3">
            <w:pPr>
              <w:rPr>
                <w:rFonts w:eastAsia="Times New Roman"/>
                <w:sz w:val="20"/>
                <w:szCs w:val="20"/>
              </w:rPr>
            </w:pPr>
            <w:r>
              <w:rPr>
                <w:rFonts w:eastAsia="Times New Roman"/>
                <w:sz w:val="20"/>
                <w:szCs w:val="20"/>
              </w:rPr>
              <w:t> </w:t>
            </w:r>
          </w:p>
        </w:tc>
        <w:tc>
          <w:tcPr>
            <w:tcW w:w="360" w:type="dxa"/>
            <w:hideMark/>
          </w:tcPr>
          <w:p w14:paraId="09CF77E9" w14:textId="77777777" w:rsidR="00000000" w:rsidRDefault="009027A3">
            <w:pPr>
              <w:rPr>
                <w:rFonts w:eastAsia="Times New Roman"/>
                <w:sz w:val="20"/>
                <w:szCs w:val="20"/>
              </w:rPr>
            </w:pPr>
            <w:r>
              <w:rPr>
                <w:rFonts w:eastAsia="Times New Roman"/>
                <w:sz w:val="20"/>
                <w:szCs w:val="20"/>
              </w:rPr>
              <w:t>●</w:t>
            </w:r>
          </w:p>
        </w:tc>
        <w:tc>
          <w:tcPr>
            <w:tcW w:w="0" w:type="auto"/>
            <w:hideMark/>
          </w:tcPr>
          <w:p w14:paraId="7737D4B2" w14:textId="77777777" w:rsidR="00000000" w:rsidRDefault="009027A3">
            <w:pPr>
              <w:jc w:val="both"/>
              <w:rPr>
                <w:rFonts w:eastAsia="Times New Roman"/>
                <w:sz w:val="20"/>
                <w:szCs w:val="20"/>
              </w:rPr>
            </w:pPr>
            <w:r>
              <w:rPr>
                <w:rFonts w:eastAsia="Times New Roman"/>
                <w:sz w:val="20"/>
                <w:szCs w:val="20"/>
              </w:rPr>
              <w:t>Foreign currency gains and losses and other non-operating expenditures;</w:t>
            </w:r>
          </w:p>
        </w:tc>
      </w:tr>
      <w:tr w:rsidR="00000000" w14:paraId="054F9F81" w14:textId="77777777">
        <w:tc>
          <w:tcPr>
            <w:tcW w:w="0" w:type="auto"/>
            <w:hideMark/>
          </w:tcPr>
          <w:p w14:paraId="5AE081BD" w14:textId="77777777" w:rsidR="00000000" w:rsidRDefault="009027A3">
            <w:pPr>
              <w:rPr>
                <w:rFonts w:eastAsia="Times New Roman"/>
                <w:sz w:val="20"/>
                <w:szCs w:val="20"/>
              </w:rPr>
            </w:pPr>
            <w:r>
              <w:rPr>
                <w:rFonts w:eastAsia="Times New Roman"/>
                <w:sz w:val="20"/>
                <w:szCs w:val="20"/>
              </w:rPr>
              <w:t> </w:t>
            </w:r>
          </w:p>
        </w:tc>
        <w:tc>
          <w:tcPr>
            <w:tcW w:w="0" w:type="auto"/>
            <w:hideMark/>
          </w:tcPr>
          <w:p w14:paraId="71DE151C" w14:textId="77777777" w:rsidR="00000000" w:rsidRDefault="009027A3">
            <w:pPr>
              <w:rPr>
                <w:rFonts w:eastAsia="Times New Roman"/>
                <w:sz w:val="20"/>
                <w:szCs w:val="20"/>
              </w:rPr>
            </w:pPr>
            <w:r>
              <w:rPr>
                <w:rFonts w:eastAsia="Times New Roman"/>
                <w:sz w:val="20"/>
                <w:szCs w:val="20"/>
              </w:rPr>
              <w:t>●</w:t>
            </w:r>
          </w:p>
        </w:tc>
        <w:tc>
          <w:tcPr>
            <w:tcW w:w="0" w:type="auto"/>
            <w:hideMark/>
          </w:tcPr>
          <w:p w14:paraId="6FDCD120" w14:textId="77777777" w:rsidR="00000000" w:rsidRDefault="009027A3">
            <w:pPr>
              <w:jc w:val="both"/>
              <w:rPr>
                <w:rFonts w:eastAsia="Times New Roman"/>
                <w:sz w:val="20"/>
                <w:szCs w:val="20"/>
              </w:rPr>
            </w:pPr>
            <w:r>
              <w:rPr>
                <w:rFonts w:eastAsia="Times New Roman"/>
                <w:sz w:val="20"/>
                <w:szCs w:val="20"/>
              </w:rPr>
              <w:t>Stock-based compensation expense includes cash-sett</w:t>
            </w:r>
            <w:r>
              <w:rPr>
                <w:rFonts w:eastAsia="Times New Roman"/>
                <w:sz w:val="20"/>
                <w:szCs w:val="20"/>
              </w:rPr>
              <w:t>led awards and the related taxes, based on changes in the stock price;</w:t>
            </w:r>
          </w:p>
        </w:tc>
      </w:tr>
      <w:tr w:rsidR="00000000" w14:paraId="31377542" w14:textId="77777777">
        <w:tc>
          <w:tcPr>
            <w:tcW w:w="0" w:type="auto"/>
            <w:hideMark/>
          </w:tcPr>
          <w:p w14:paraId="5AA6DA79" w14:textId="77777777" w:rsidR="00000000" w:rsidRDefault="009027A3">
            <w:pPr>
              <w:rPr>
                <w:rFonts w:eastAsia="Times New Roman"/>
                <w:sz w:val="20"/>
                <w:szCs w:val="20"/>
              </w:rPr>
            </w:pPr>
            <w:r>
              <w:rPr>
                <w:rFonts w:eastAsia="Times New Roman"/>
                <w:sz w:val="20"/>
                <w:szCs w:val="20"/>
              </w:rPr>
              <w:t> </w:t>
            </w:r>
          </w:p>
        </w:tc>
        <w:tc>
          <w:tcPr>
            <w:tcW w:w="0" w:type="auto"/>
            <w:hideMark/>
          </w:tcPr>
          <w:p w14:paraId="4E184027" w14:textId="77777777" w:rsidR="00000000" w:rsidRDefault="009027A3">
            <w:pPr>
              <w:rPr>
                <w:rFonts w:eastAsia="Times New Roman"/>
                <w:sz w:val="20"/>
                <w:szCs w:val="20"/>
              </w:rPr>
            </w:pPr>
            <w:r>
              <w:rPr>
                <w:rFonts w:eastAsia="Times New Roman"/>
                <w:sz w:val="20"/>
                <w:szCs w:val="20"/>
              </w:rPr>
              <w:t>●</w:t>
            </w:r>
          </w:p>
        </w:tc>
        <w:tc>
          <w:tcPr>
            <w:tcW w:w="0" w:type="auto"/>
            <w:hideMark/>
          </w:tcPr>
          <w:p w14:paraId="1361FD19" w14:textId="77777777" w:rsidR="00000000" w:rsidRDefault="009027A3">
            <w:pPr>
              <w:jc w:val="both"/>
              <w:rPr>
                <w:rFonts w:eastAsia="Times New Roman"/>
                <w:sz w:val="20"/>
                <w:szCs w:val="20"/>
              </w:rPr>
            </w:pPr>
            <w:r>
              <w:rPr>
                <w:rFonts w:eastAsia="Times New Roman"/>
                <w:sz w:val="20"/>
                <w:szCs w:val="20"/>
              </w:rPr>
              <w:t>Amortization of purchased intangible assets;</w:t>
            </w:r>
          </w:p>
        </w:tc>
      </w:tr>
      <w:tr w:rsidR="00000000" w14:paraId="173D2703" w14:textId="77777777">
        <w:tc>
          <w:tcPr>
            <w:tcW w:w="0" w:type="auto"/>
            <w:hideMark/>
          </w:tcPr>
          <w:p w14:paraId="379A4243" w14:textId="77777777" w:rsidR="00000000" w:rsidRDefault="009027A3">
            <w:pPr>
              <w:rPr>
                <w:rFonts w:eastAsia="Times New Roman"/>
                <w:sz w:val="20"/>
                <w:szCs w:val="20"/>
              </w:rPr>
            </w:pPr>
            <w:r>
              <w:rPr>
                <w:rFonts w:eastAsia="Times New Roman"/>
                <w:sz w:val="20"/>
                <w:szCs w:val="20"/>
              </w:rPr>
              <w:t> </w:t>
            </w:r>
          </w:p>
        </w:tc>
        <w:tc>
          <w:tcPr>
            <w:tcW w:w="0" w:type="auto"/>
            <w:hideMark/>
          </w:tcPr>
          <w:p w14:paraId="33ECE3A6" w14:textId="77777777" w:rsidR="00000000" w:rsidRDefault="009027A3">
            <w:pPr>
              <w:rPr>
                <w:rFonts w:eastAsia="Times New Roman"/>
                <w:sz w:val="20"/>
                <w:szCs w:val="20"/>
              </w:rPr>
            </w:pPr>
            <w:r>
              <w:rPr>
                <w:rFonts w:eastAsia="Times New Roman"/>
                <w:sz w:val="20"/>
                <w:szCs w:val="20"/>
              </w:rPr>
              <w:t>●</w:t>
            </w:r>
          </w:p>
        </w:tc>
        <w:tc>
          <w:tcPr>
            <w:tcW w:w="0" w:type="auto"/>
            <w:hideMark/>
          </w:tcPr>
          <w:p w14:paraId="21E632F2" w14:textId="77777777" w:rsidR="00000000" w:rsidRDefault="009027A3">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614AE603" w14:textId="77777777">
        <w:tc>
          <w:tcPr>
            <w:tcW w:w="0" w:type="auto"/>
            <w:hideMark/>
          </w:tcPr>
          <w:p w14:paraId="200E614E" w14:textId="77777777" w:rsidR="00000000" w:rsidRDefault="009027A3">
            <w:pPr>
              <w:rPr>
                <w:rFonts w:eastAsia="Times New Roman"/>
                <w:sz w:val="20"/>
                <w:szCs w:val="20"/>
              </w:rPr>
            </w:pPr>
            <w:r>
              <w:rPr>
                <w:rFonts w:eastAsia="Times New Roman"/>
                <w:sz w:val="20"/>
                <w:szCs w:val="20"/>
              </w:rPr>
              <w:t> </w:t>
            </w:r>
          </w:p>
        </w:tc>
        <w:tc>
          <w:tcPr>
            <w:tcW w:w="0" w:type="auto"/>
            <w:hideMark/>
          </w:tcPr>
          <w:p w14:paraId="62B79E30" w14:textId="77777777" w:rsidR="00000000" w:rsidRDefault="009027A3">
            <w:pPr>
              <w:rPr>
                <w:rFonts w:eastAsia="Times New Roman"/>
                <w:sz w:val="20"/>
                <w:szCs w:val="20"/>
              </w:rPr>
            </w:pPr>
            <w:r>
              <w:rPr>
                <w:rFonts w:eastAsia="Times New Roman"/>
                <w:sz w:val="20"/>
                <w:szCs w:val="20"/>
              </w:rPr>
              <w:t>●</w:t>
            </w:r>
          </w:p>
        </w:tc>
        <w:tc>
          <w:tcPr>
            <w:tcW w:w="0" w:type="auto"/>
            <w:hideMark/>
          </w:tcPr>
          <w:p w14:paraId="393C81C3" w14:textId="77777777" w:rsidR="00000000" w:rsidRDefault="009027A3">
            <w:pPr>
              <w:jc w:val="both"/>
              <w:rPr>
                <w:rFonts w:eastAsia="Times New Roman"/>
                <w:sz w:val="20"/>
                <w:szCs w:val="20"/>
              </w:rPr>
            </w:pPr>
            <w:r>
              <w:rPr>
                <w:rFonts w:eastAsia="Times New Roman"/>
                <w:sz w:val="20"/>
                <w:szCs w:val="20"/>
              </w:rPr>
              <w:t>Impairment and unoccupied lease c</w:t>
            </w:r>
            <w:r>
              <w:rPr>
                <w:rFonts w:eastAsia="Times New Roman"/>
                <w:sz w:val="20"/>
                <w:szCs w:val="20"/>
              </w:rPr>
              <w:t>harges; and</w:t>
            </w:r>
          </w:p>
        </w:tc>
      </w:tr>
      <w:tr w:rsidR="00000000" w14:paraId="7AA47726" w14:textId="77777777">
        <w:tc>
          <w:tcPr>
            <w:tcW w:w="0" w:type="auto"/>
            <w:hideMark/>
          </w:tcPr>
          <w:p w14:paraId="1166E892" w14:textId="77777777" w:rsidR="00000000" w:rsidRDefault="009027A3">
            <w:pPr>
              <w:rPr>
                <w:rFonts w:eastAsia="Times New Roman"/>
                <w:sz w:val="20"/>
                <w:szCs w:val="20"/>
              </w:rPr>
            </w:pPr>
            <w:r>
              <w:rPr>
                <w:rFonts w:eastAsia="Times New Roman"/>
                <w:sz w:val="20"/>
                <w:szCs w:val="20"/>
              </w:rPr>
              <w:t> </w:t>
            </w:r>
          </w:p>
        </w:tc>
        <w:tc>
          <w:tcPr>
            <w:tcW w:w="0" w:type="auto"/>
            <w:hideMark/>
          </w:tcPr>
          <w:p w14:paraId="33F4D699" w14:textId="77777777" w:rsidR="00000000" w:rsidRDefault="009027A3">
            <w:pPr>
              <w:rPr>
                <w:rFonts w:eastAsia="Times New Roman"/>
                <w:sz w:val="20"/>
                <w:szCs w:val="20"/>
              </w:rPr>
            </w:pPr>
            <w:r>
              <w:rPr>
                <w:rFonts w:eastAsia="Times New Roman"/>
                <w:sz w:val="20"/>
                <w:szCs w:val="20"/>
              </w:rPr>
              <w:t>●</w:t>
            </w:r>
          </w:p>
        </w:tc>
        <w:tc>
          <w:tcPr>
            <w:tcW w:w="0" w:type="auto"/>
            <w:hideMark/>
          </w:tcPr>
          <w:p w14:paraId="52D96FD7" w14:textId="77777777" w:rsidR="00000000" w:rsidRDefault="009027A3">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14:paraId="127BEA2A" w14:textId="77777777" w:rsidR="00000000" w:rsidRDefault="009027A3">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294578" w14:textId="77777777">
        <w:trPr>
          <w:divId w:val="1360278509"/>
        </w:trPr>
        <w:tc>
          <w:tcPr>
            <w:tcW w:w="5000" w:type="pct"/>
            <w:hideMark/>
          </w:tcPr>
          <w:p w14:paraId="36D2FC63"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C88F382" w14:textId="77777777">
        <w:tc>
          <w:tcPr>
            <w:tcW w:w="5000" w:type="pct"/>
            <w:hideMark/>
          </w:tcPr>
          <w:p w14:paraId="655AEED3" w14:textId="77777777" w:rsidR="00000000" w:rsidRDefault="009027A3">
            <w:pPr>
              <w:rPr>
                <w:rFonts w:eastAsia="Times New Roman"/>
                <w:sz w:val="20"/>
                <w:szCs w:val="20"/>
              </w:rPr>
            </w:pPr>
            <w:r>
              <w:rPr>
                <w:rFonts w:eastAsia="Times New Roman"/>
                <w:sz w:val="20"/>
                <w:szCs w:val="20"/>
              </w:rPr>
              <w:t> </w:t>
            </w:r>
          </w:p>
        </w:tc>
      </w:tr>
    </w:tbl>
    <w:p w14:paraId="5CF2C0C7"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67DA8A8D" w14:textId="77777777" w:rsidR="00000000" w:rsidRDefault="009027A3">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to non-GAAP adjusted net income for the three months ended March 31, 2021 and 2020:</w:t>
      </w:r>
    </w:p>
    <w:p w14:paraId="46023184"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14:paraId="4098D625" w14:textId="77777777">
        <w:tc>
          <w:tcPr>
            <w:tcW w:w="0" w:type="auto"/>
            <w:vAlign w:val="bottom"/>
            <w:hideMark/>
          </w:tcPr>
          <w:p w14:paraId="5D327D2D"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F91A96"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37DD445"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5D452492" w14:textId="77777777" w:rsidR="00000000" w:rsidRDefault="009027A3">
            <w:pPr>
              <w:rPr>
                <w:rFonts w:eastAsia="Times New Roman"/>
                <w:b/>
                <w:bCs/>
                <w:sz w:val="20"/>
                <w:szCs w:val="20"/>
              </w:rPr>
            </w:pPr>
            <w:r>
              <w:rPr>
                <w:rFonts w:eastAsia="Times New Roman"/>
                <w:b/>
                <w:bCs/>
                <w:sz w:val="20"/>
                <w:szCs w:val="20"/>
              </w:rPr>
              <w:t> </w:t>
            </w:r>
          </w:p>
        </w:tc>
      </w:tr>
      <w:tr w:rsidR="00000000" w14:paraId="631ECA51" w14:textId="77777777">
        <w:tc>
          <w:tcPr>
            <w:tcW w:w="0" w:type="auto"/>
            <w:vAlign w:val="bottom"/>
            <w:hideMark/>
          </w:tcPr>
          <w:p w14:paraId="425C32DE"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1837ED"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2671AA"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FE3562F"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6E113C"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97DB34"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8C11A68" w14:textId="77777777" w:rsidR="00000000" w:rsidRDefault="009027A3">
            <w:pPr>
              <w:rPr>
                <w:rFonts w:eastAsia="Times New Roman"/>
                <w:b/>
                <w:bCs/>
                <w:sz w:val="20"/>
                <w:szCs w:val="20"/>
              </w:rPr>
            </w:pPr>
            <w:r>
              <w:rPr>
                <w:rFonts w:eastAsia="Times New Roman"/>
                <w:b/>
                <w:bCs/>
                <w:sz w:val="20"/>
                <w:szCs w:val="20"/>
              </w:rPr>
              <w:t> </w:t>
            </w:r>
          </w:p>
        </w:tc>
      </w:tr>
      <w:tr w:rsidR="00000000" w14:paraId="137D312D" w14:textId="77777777">
        <w:tc>
          <w:tcPr>
            <w:tcW w:w="0" w:type="auto"/>
            <w:vAlign w:val="bottom"/>
            <w:hideMark/>
          </w:tcPr>
          <w:p w14:paraId="2F446AA8"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6EBC71B7" w14:textId="77777777" w:rsidR="00000000" w:rsidRDefault="009027A3">
            <w:pPr>
              <w:rPr>
                <w:rFonts w:eastAsia="Times New Roman"/>
                <w:sz w:val="20"/>
                <w:szCs w:val="20"/>
              </w:rPr>
            </w:pPr>
            <w:r>
              <w:rPr>
                <w:rFonts w:eastAsia="Times New Roman"/>
                <w:sz w:val="20"/>
                <w:szCs w:val="20"/>
              </w:rPr>
              <w:t> </w:t>
            </w:r>
          </w:p>
        </w:tc>
        <w:tc>
          <w:tcPr>
            <w:tcW w:w="0" w:type="auto"/>
            <w:gridSpan w:val="6"/>
            <w:vAlign w:val="bottom"/>
            <w:hideMark/>
          </w:tcPr>
          <w:p w14:paraId="4E636CA5" w14:textId="77777777" w:rsidR="00000000" w:rsidRDefault="009027A3">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14:paraId="574BD6D3" w14:textId="77777777" w:rsidR="00000000" w:rsidRDefault="009027A3">
            <w:pPr>
              <w:rPr>
                <w:rFonts w:eastAsia="Times New Roman"/>
                <w:sz w:val="20"/>
                <w:szCs w:val="20"/>
              </w:rPr>
            </w:pPr>
            <w:r>
              <w:rPr>
                <w:rFonts w:eastAsia="Times New Roman"/>
                <w:sz w:val="20"/>
                <w:szCs w:val="20"/>
              </w:rPr>
              <w:t> </w:t>
            </w:r>
          </w:p>
        </w:tc>
      </w:tr>
      <w:tr w:rsidR="00000000" w14:paraId="49EB6673" w14:textId="77777777">
        <w:tc>
          <w:tcPr>
            <w:tcW w:w="2800" w:type="pct"/>
            <w:shd w:val="clear" w:color="auto" w:fill="CCEEFF"/>
            <w:vAlign w:val="bottom"/>
            <w:hideMark/>
          </w:tcPr>
          <w:p w14:paraId="44D43AA1" w14:textId="77777777" w:rsidR="00000000" w:rsidRDefault="009027A3">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14:paraId="1CD9FD9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E17DA9" w14:textId="77777777" w:rsidR="00000000" w:rsidRDefault="009027A3">
            <w:pPr>
              <w:rPr>
                <w:rFonts w:eastAsia="Times New Roman"/>
                <w:sz w:val="20"/>
                <w:szCs w:val="20"/>
              </w:rPr>
            </w:pPr>
            <w:r>
              <w:rPr>
                <w:rFonts w:eastAsia="Times New Roman"/>
                <w:sz w:val="20"/>
                <w:szCs w:val="20"/>
              </w:rPr>
              <w:t>$</w:t>
            </w:r>
          </w:p>
        </w:tc>
        <w:tc>
          <w:tcPr>
            <w:tcW w:w="900" w:type="pct"/>
            <w:shd w:val="clear" w:color="auto" w:fill="CCEEFF"/>
            <w:vAlign w:val="bottom"/>
            <w:hideMark/>
          </w:tcPr>
          <w:p w14:paraId="729EC25D" w14:textId="77777777" w:rsidR="00000000" w:rsidRDefault="009027A3">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14:paraId="4F93614C"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64086FA8"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07213" w14:textId="77777777" w:rsidR="00000000" w:rsidRDefault="009027A3">
            <w:pPr>
              <w:rPr>
                <w:rFonts w:eastAsia="Times New Roman"/>
                <w:sz w:val="20"/>
                <w:szCs w:val="20"/>
              </w:rPr>
            </w:pPr>
            <w:r>
              <w:rPr>
                <w:rFonts w:eastAsia="Times New Roman"/>
                <w:sz w:val="20"/>
                <w:szCs w:val="20"/>
              </w:rPr>
              <w:t>$</w:t>
            </w:r>
          </w:p>
        </w:tc>
        <w:tc>
          <w:tcPr>
            <w:tcW w:w="900" w:type="pct"/>
            <w:shd w:val="clear" w:color="auto" w:fill="CCEEFF"/>
            <w:vAlign w:val="bottom"/>
            <w:hideMark/>
          </w:tcPr>
          <w:p w14:paraId="361507EA" w14:textId="77777777" w:rsidR="00000000" w:rsidRDefault="009027A3">
            <w:pPr>
              <w:jc w:val="right"/>
              <w:rPr>
                <w:rFonts w:eastAsia="Times New Roman"/>
                <w:sz w:val="20"/>
                <w:szCs w:val="20"/>
              </w:rPr>
            </w:pPr>
            <w:r>
              <w:rPr>
                <w:rFonts w:eastAsia="Times New Roman"/>
                <w:sz w:val="20"/>
                <w:szCs w:val="20"/>
              </w:rPr>
              <w:t>(2,502</w:t>
            </w:r>
          </w:p>
        </w:tc>
        <w:tc>
          <w:tcPr>
            <w:tcW w:w="50" w:type="pct"/>
            <w:shd w:val="clear" w:color="auto" w:fill="CCEEFF"/>
            <w:vAlign w:val="bottom"/>
            <w:hideMark/>
          </w:tcPr>
          <w:p w14:paraId="5FDD5AA5" w14:textId="77777777" w:rsidR="00000000" w:rsidRDefault="009027A3">
            <w:pPr>
              <w:rPr>
                <w:rFonts w:eastAsia="Times New Roman"/>
                <w:sz w:val="20"/>
                <w:szCs w:val="20"/>
              </w:rPr>
            </w:pPr>
            <w:r>
              <w:rPr>
                <w:rFonts w:eastAsia="Times New Roman"/>
                <w:sz w:val="20"/>
                <w:szCs w:val="20"/>
              </w:rPr>
              <w:t>)</w:t>
            </w:r>
          </w:p>
        </w:tc>
      </w:tr>
      <w:tr w:rsidR="00000000" w14:paraId="2B93588C" w14:textId="77777777">
        <w:tc>
          <w:tcPr>
            <w:tcW w:w="0" w:type="auto"/>
            <w:shd w:val="clear" w:color="auto" w:fill="FFFFFF"/>
            <w:vAlign w:val="bottom"/>
            <w:hideMark/>
          </w:tcPr>
          <w:p w14:paraId="66C622F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7573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1A70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A8BD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84625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BE9C1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821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1C70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5E669C" w14:textId="77777777" w:rsidR="00000000" w:rsidRDefault="009027A3">
            <w:pPr>
              <w:rPr>
                <w:rFonts w:eastAsia="Times New Roman"/>
                <w:sz w:val="20"/>
                <w:szCs w:val="20"/>
              </w:rPr>
            </w:pPr>
            <w:r>
              <w:rPr>
                <w:rFonts w:eastAsia="Times New Roman"/>
                <w:sz w:val="20"/>
                <w:szCs w:val="20"/>
              </w:rPr>
              <w:t> </w:t>
            </w:r>
          </w:p>
        </w:tc>
      </w:tr>
      <w:tr w:rsidR="00000000" w14:paraId="04E11917" w14:textId="77777777">
        <w:tc>
          <w:tcPr>
            <w:tcW w:w="0" w:type="auto"/>
            <w:shd w:val="clear" w:color="auto" w:fill="CCEEFF"/>
            <w:tcMar>
              <w:top w:w="0" w:type="dxa"/>
              <w:left w:w="200" w:type="dxa"/>
              <w:bottom w:w="0" w:type="dxa"/>
              <w:right w:w="0" w:type="dxa"/>
            </w:tcMar>
            <w:vAlign w:val="bottom"/>
            <w:hideMark/>
          </w:tcPr>
          <w:p w14:paraId="4EB8BF96" w14:textId="77777777" w:rsidR="00000000" w:rsidRDefault="009027A3">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209AB7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809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33F9D" w14:textId="77777777" w:rsidR="00000000" w:rsidRDefault="009027A3">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14:paraId="6F7C384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72E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001A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FDF6C" w14:textId="77777777" w:rsidR="00000000" w:rsidRDefault="009027A3">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14:paraId="7AFADC44" w14:textId="77777777" w:rsidR="00000000" w:rsidRDefault="009027A3">
            <w:pPr>
              <w:rPr>
                <w:rFonts w:eastAsia="Times New Roman"/>
                <w:sz w:val="20"/>
                <w:szCs w:val="20"/>
              </w:rPr>
            </w:pPr>
            <w:r>
              <w:rPr>
                <w:rFonts w:eastAsia="Times New Roman"/>
                <w:sz w:val="20"/>
                <w:szCs w:val="20"/>
              </w:rPr>
              <w:t>)</w:t>
            </w:r>
          </w:p>
        </w:tc>
      </w:tr>
      <w:tr w:rsidR="00000000" w14:paraId="390262D6" w14:textId="77777777">
        <w:tc>
          <w:tcPr>
            <w:tcW w:w="0" w:type="auto"/>
            <w:shd w:val="clear" w:color="auto" w:fill="FFFFFF"/>
            <w:tcMar>
              <w:top w:w="0" w:type="dxa"/>
              <w:left w:w="200" w:type="dxa"/>
              <w:bottom w:w="0" w:type="dxa"/>
              <w:right w:w="0" w:type="dxa"/>
            </w:tcMar>
            <w:vAlign w:val="bottom"/>
            <w:hideMark/>
          </w:tcPr>
          <w:p w14:paraId="4A8C288C" w14:textId="77777777" w:rsidR="00000000" w:rsidRDefault="009027A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7DFC6E9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C11C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3585D" w14:textId="77777777" w:rsidR="00000000" w:rsidRDefault="009027A3">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14:paraId="5451A36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77CE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80018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C8C203" w14:textId="77777777" w:rsidR="00000000" w:rsidRDefault="009027A3">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70C7B89D" w14:textId="77777777" w:rsidR="00000000" w:rsidRDefault="009027A3">
            <w:pPr>
              <w:rPr>
                <w:rFonts w:eastAsia="Times New Roman"/>
                <w:sz w:val="20"/>
                <w:szCs w:val="20"/>
              </w:rPr>
            </w:pPr>
            <w:r>
              <w:rPr>
                <w:rFonts w:eastAsia="Times New Roman"/>
                <w:sz w:val="20"/>
                <w:szCs w:val="20"/>
              </w:rPr>
              <w:t> </w:t>
            </w:r>
          </w:p>
        </w:tc>
      </w:tr>
      <w:tr w:rsidR="00000000" w14:paraId="23B7BEA1" w14:textId="77777777">
        <w:tc>
          <w:tcPr>
            <w:tcW w:w="0" w:type="auto"/>
            <w:shd w:val="clear" w:color="auto" w:fill="CCEEFF"/>
            <w:tcMar>
              <w:top w:w="0" w:type="dxa"/>
              <w:left w:w="200" w:type="dxa"/>
              <w:bottom w:w="0" w:type="dxa"/>
              <w:right w:w="0" w:type="dxa"/>
            </w:tcMar>
            <w:vAlign w:val="bottom"/>
            <w:hideMark/>
          </w:tcPr>
          <w:p w14:paraId="2B9672B3" w14:textId="77777777" w:rsidR="00000000" w:rsidRDefault="009027A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45BB176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7D336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A4C6A" w14:textId="77777777" w:rsidR="00000000" w:rsidRDefault="009027A3">
            <w:pPr>
              <w:jc w:val="right"/>
              <w:rPr>
                <w:rFonts w:eastAsia="Times New Roman"/>
                <w:sz w:val="20"/>
                <w:szCs w:val="20"/>
              </w:rPr>
            </w:pPr>
            <w:r>
              <w:rPr>
                <w:rFonts w:eastAsia="Times New Roman"/>
                <w:sz w:val="20"/>
                <w:szCs w:val="20"/>
              </w:rPr>
              <w:t>2,135</w:t>
            </w:r>
          </w:p>
        </w:tc>
        <w:tc>
          <w:tcPr>
            <w:tcW w:w="0" w:type="auto"/>
            <w:shd w:val="clear" w:color="auto" w:fill="CCEEFF"/>
            <w:vAlign w:val="bottom"/>
            <w:hideMark/>
          </w:tcPr>
          <w:p w14:paraId="34C24F5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B2F8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AFCE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93E502" w14:textId="77777777" w:rsidR="00000000" w:rsidRDefault="009027A3">
            <w:pPr>
              <w:jc w:val="right"/>
              <w:rPr>
                <w:rFonts w:eastAsia="Times New Roman"/>
                <w:sz w:val="20"/>
                <w:szCs w:val="20"/>
              </w:rPr>
            </w:pPr>
            <w:r>
              <w:rPr>
                <w:rFonts w:eastAsia="Times New Roman"/>
                <w:sz w:val="20"/>
                <w:szCs w:val="20"/>
              </w:rPr>
              <w:t>1,015</w:t>
            </w:r>
          </w:p>
        </w:tc>
        <w:tc>
          <w:tcPr>
            <w:tcW w:w="0" w:type="auto"/>
            <w:shd w:val="clear" w:color="auto" w:fill="CCEEFF"/>
            <w:vAlign w:val="bottom"/>
            <w:hideMark/>
          </w:tcPr>
          <w:p w14:paraId="58C54A14" w14:textId="77777777" w:rsidR="00000000" w:rsidRDefault="009027A3">
            <w:pPr>
              <w:rPr>
                <w:rFonts w:eastAsia="Times New Roman"/>
                <w:sz w:val="20"/>
                <w:szCs w:val="20"/>
              </w:rPr>
            </w:pPr>
            <w:r>
              <w:rPr>
                <w:rFonts w:eastAsia="Times New Roman"/>
                <w:sz w:val="20"/>
                <w:szCs w:val="20"/>
              </w:rPr>
              <w:t> </w:t>
            </w:r>
          </w:p>
        </w:tc>
      </w:tr>
      <w:tr w:rsidR="00000000" w14:paraId="010F0134" w14:textId="77777777">
        <w:tc>
          <w:tcPr>
            <w:tcW w:w="0" w:type="auto"/>
            <w:shd w:val="clear" w:color="auto" w:fill="FFFFFF"/>
            <w:tcMar>
              <w:top w:w="0" w:type="dxa"/>
              <w:left w:w="200" w:type="dxa"/>
              <w:bottom w:w="0" w:type="dxa"/>
              <w:right w:w="0" w:type="dxa"/>
            </w:tcMar>
            <w:vAlign w:val="bottom"/>
            <w:hideMark/>
          </w:tcPr>
          <w:p w14:paraId="5B18E667" w14:textId="77777777" w:rsidR="00000000" w:rsidRDefault="009027A3">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654BD4E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4B4A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37715" w14:textId="77777777" w:rsidR="00000000" w:rsidRDefault="009027A3">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14:paraId="2DFC49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085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09B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768E7" w14:textId="77777777" w:rsidR="00000000" w:rsidRDefault="009027A3">
            <w:pPr>
              <w:jc w:val="right"/>
              <w:rPr>
                <w:rFonts w:eastAsia="Times New Roman"/>
                <w:sz w:val="20"/>
                <w:szCs w:val="20"/>
              </w:rPr>
            </w:pPr>
            <w:r>
              <w:rPr>
                <w:rFonts w:eastAsia="Times New Roman"/>
                <w:sz w:val="20"/>
                <w:szCs w:val="20"/>
              </w:rPr>
              <w:t>646</w:t>
            </w:r>
          </w:p>
        </w:tc>
        <w:tc>
          <w:tcPr>
            <w:tcW w:w="0" w:type="auto"/>
            <w:shd w:val="clear" w:color="auto" w:fill="FFFFFF"/>
            <w:vAlign w:val="bottom"/>
            <w:hideMark/>
          </w:tcPr>
          <w:p w14:paraId="2CB04335" w14:textId="77777777" w:rsidR="00000000" w:rsidRDefault="009027A3">
            <w:pPr>
              <w:rPr>
                <w:rFonts w:eastAsia="Times New Roman"/>
                <w:sz w:val="20"/>
                <w:szCs w:val="20"/>
              </w:rPr>
            </w:pPr>
            <w:r>
              <w:rPr>
                <w:rFonts w:eastAsia="Times New Roman"/>
                <w:sz w:val="20"/>
                <w:szCs w:val="20"/>
              </w:rPr>
              <w:t> </w:t>
            </w:r>
          </w:p>
        </w:tc>
      </w:tr>
      <w:tr w:rsidR="00000000" w14:paraId="3612166C" w14:textId="77777777">
        <w:tc>
          <w:tcPr>
            <w:tcW w:w="0" w:type="auto"/>
            <w:shd w:val="clear" w:color="auto" w:fill="CCEEFF"/>
            <w:tcMar>
              <w:top w:w="0" w:type="dxa"/>
              <w:left w:w="200" w:type="dxa"/>
              <w:bottom w:w="0" w:type="dxa"/>
              <w:right w:w="0" w:type="dxa"/>
            </w:tcMar>
            <w:vAlign w:val="bottom"/>
            <w:hideMark/>
          </w:tcPr>
          <w:p w14:paraId="37ADDD2A"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240A73B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6288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D4584"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14:paraId="7A70B29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F47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28FA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E40D4"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CCEEFF"/>
            <w:vAlign w:val="bottom"/>
            <w:hideMark/>
          </w:tcPr>
          <w:p w14:paraId="0F89D737" w14:textId="77777777" w:rsidR="00000000" w:rsidRDefault="009027A3">
            <w:pPr>
              <w:rPr>
                <w:rFonts w:eastAsia="Times New Roman"/>
                <w:sz w:val="20"/>
                <w:szCs w:val="20"/>
              </w:rPr>
            </w:pPr>
            <w:r>
              <w:rPr>
                <w:rFonts w:eastAsia="Times New Roman"/>
                <w:sz w:val="20"/>
                <w:szCs w:val="20"/>
              </w:rPr>
              <w:t> </w:t>
            </w:r>
          </w:p>
        </w:tc>
      </w:tr>
      <w:tr w:rsidR="00000000" w14:paraId="6B9D109F" w14:textId="77777777">
        <w:tc>
          <w:tcPr>
            <w:tcW w:w="0" w:type="auto"/>
            <w:shd w:val="clear" w:color="auto" w:fill="FFFFFF"/>
            <w:tcMar>
              <w:top w:w="0" w:type="dxa"/>
              <w:left w:w="200" w:type="dxa"/>
              <w:bottom w:w="30" w:type="dxa"/>
              <w:right w:w="0" w:type="dxa"/>
            </w:tcMar>
            <w:vAlign w:val="bottom"/>
            <w:hideMark/>
          </w:tcPr>
          <w:p w14:paraId="6EF304F9" w14:textId="77777777" w:rsidR="00000000" w:rsidRDefault="009027A3">
            <w:pPr>
              <w:rPr>
                <w:rFonts w:eastAsia="Times New Roman"/>
                <w:sz w:val="20"/>
                <w:szCs w:val="20"/>
              </w:rPr>
            </w:pPr>
            <w:r>
              <w:rPr>
                <w:rFonts w:eastAsia="Times New Roman"/>
                <w:sz w:val="20"/>
                <w:szCs w:val="20"/>
              </w:rPr>
              <w:t>Income tax (benefit) expense related to goodwill</w:t>
            </w:r>
          </w:p>
        </w:tc>
        <w:tc>
          <w:tcPr>
            <w:tcW w:w="0" w:type="auto"/>
            <w:shd w:val="clear" w:color="auto" w:fill="FFFFFF"/>
            <w:tcMar>
              <w:top w:w="0" w:type="dxa"/>
              <w:left w:w="0" w:type="dxa"/>
              <w:bottom w:w="30" w:type="dxa"/>
              <w:right w:w="0" w:type="dxa"/>
            </w:tcMar>
            <w:vAlign w:val="bottom"/>
            <w:hideMark/>
          </w:tcPr>
          <w:p w14:paraId="7C12B93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578D0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C9311C" w14:textId="77777777" w:rsidR="00000000" w:rsidRDefault="009027A3">
            <w:pPr>
              <w:jc w:val="right"/>
              <w:rPr>
                <w:rFonts w:eastAsia="Times New Roman"/>
                <w:sz w:val="20"/>
                <w:szCs w:val="20"/>
              </w:rPr>
            </w:pPr>
            <w:r>
              <w:rPr>
                <w:rFonts w:eastAsia="Times New Roman"/>
                <w:sz w:val="20"/>
                <w:szCs w:val="20"/>
              </w:rPr>
              <w:t>(36</w:t>
            </w:r>
          </w:p>
        </w:tc>
        <w:tc>
          <w:tcPr>
            <w:tcW w:w="0" w:type="auto"/>
            <w:shd w:val="clear" w:color="auto" w:fill="FFFFFF"/>
            <w:tcMar>
              <w:top w:w="0" w:type="dxa"/>
              <w:left w:w="0" w:type="dxa"/>
              <w:bottom w:w="30" w:type="dxa"/>
              <w:right w:w="0" w:type="dxa"/>
            </w:tcMar>
            <w:vAlign w:val="bottom"/>
            <w:hideMark/>
          </w:tcPr>
          <w:p w14:paraId="536DDF9B"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9280E6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BC8D9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916280" w14:textId="77777777" w:rsidR="00000000" w:rsidRDefault="009027A3">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14:paraId="207CB79F" w14:textId="77777777" w:rsidR="00000000" w:rsidRDefault="009027A3">
            <w:pPr>
              <w:rPr>
                <w:rFonts w:eastAsia="Times New Roman"/>
                <w:sz w:val="20"/>
                <w:szCs w:val="20"/>
              </w:rPr>
            </w:pPr>
            <w:r>
              <w:rPr>
                <w:rFonts w:eastAsia="Times New Roman"/>
                <w:sz w:val="20"/>
                <w:szCs w:val="20"/>
              </w:rPr>
              <w:t> </w:t>
            </w:r>
          </w:p>
        </w:tc>
      </w:tr>
      <w:tr w:rsidR="00000000" w14:paraId="0F9DA9A2" w14:textId="77777777">
        <w:tc>
          <w:tcPr>
            <w:tcW w:w="0" w:type="auto"/>
            <w:shd w:val="clear" w:color="auto" w:fill="CCEEFF"/>
            <w:tcMar>
              <w:top w:w="0" w:type="dxa"/>
              <w:left w:w="0" w:type="dxa"/>
              <w:bottom w:w="50" w:type="dxa"/>
              <w:right w:w="0" w:type="dxa"/>
            </w:tcMar>
            <w:vAlign w:val="bottom"/>
            <w:hideMark/>
          </w:tcPr>
          <w:p w14:paraId="03939701" w14:textId="77777777" w:rsidR="00000000" w:rsidRDefault="009027A3">
            <w:pPr>
              <w:rPr>
                <w:rFonts w:eastAsia="Times New Roman"/>
                <w:sz w:val="20"/>
                <w:szCs w:val="20"/>
              </w:rPr>
            </w:pPr>
            <w:r>
              <w:rPr>
                <w:rFonts w:eastAsia="Times New Roman"/>
                <w:sz w:val="20"/>
                <w:szCs w:val="20"/>
              </w:rPr>
              <w:t>Non-GAAP adjusted net income</w:t>
            </w:r>
          </w:p>
        </w:tc>
        <w:tc>
          <w:tcPr>
            <w:tcW w:w="0" w:type="auto"/>
            <w:shd w:val="clear" w:color="auto" w:fill="CCEEFF"/>
            <w:tcMar>
              <w:top w:w="0" w:type="dxa"/>
              <w:left w:w="0" w:type="dxa"/>
              <w:bottom w:w="50" w:type="dxa"/>
              <w:right w:w="0" w:type="dxa"/>
            </w:tcMar>
            <w:vAlign w:val="bottom"/>
            <w:hideMark/>
          </w:tcPr>
          <w:p w14:paraId="5014C2ED"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786D577"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AB80821" w14:textId="77777777" w:rsidR="00000000" w:rsidRDefault="009027A3">
            <w:pPr>
              <w:jc w:val="right"/>
              <w:rPr>
                <w:rFonts w:eastAsia="Times New Roman"/>
                <w:b/>
                <w:bCs/>
                <w:sz w:val="20"/>
                <w:szCs w:val="20"/>
              </w:rPr>
            </w:pPr>
            <w:r>
              <w:rPr>
                <w:rFonts w:eastAsia="Times New Roman"/>
                <w:b/>
                <w:bCs/>
                <w:sz w:val="20"/>
                <w:szCs w:val="20"/>
              </w:rPr>
              <w:t>2,896</w:t>
            </w:r>
          </w:p>
        </w:tc>
        <w:tc>
          <w:tcPr>
            <w:tcW w:w="0" w:type="auto"/>
            <w:shd w:val="clear" w:color="auto" w:fill="CCEEFF"/>
            <w:tcMar>
              <w:top w:w="0" w:type="dxa"/>
              <w:left w:w="0" w:type="dxa"/>
              <w:bottom w:w="50" w:type="dxa"/>
              <w:right w:w="0" w:type="dxa"/>
            </w:tcMar>
            <w:vAlign w:val="bottom"/>
            <w:hideMark/>
          </w:tcPr>
          <w:p w14:paraId="211CA1EC" w14:textId="77777777" w:rsidR="00000000" w:rsidRDefault="009027A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27C9C98"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1906675"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BB77E47" w14:textId="77777777" w:rsidR="00000000" w:rsidRDefault="009027A3">
            <w:pPr>
              <w:jc w:val="right"/>
              <w:rPr>
                <w:rFonts w:eastAsia="Times New Roman"/>
                <w:b/>
                <w:bCs/>
                <w:sz w:val="20"/>
                <w:szCs w:val="20"/>
              </w:rPr>
            </w:pPr>
            <w:r>
              <w:rPr>
                <w:rFonts w:eastAsia="Times New Roman"/>
                <w:b/>
                <w:bCs/>
                <w:sz w:val="20"/>
                <w:szCs w:val="20"/>
              </w:rPr>
              <w:t>354</w:t>
            </w:r>
          </w:p>
        </w:tc>
        <w:tc>
          <w:tcPr>
            <w:tcW w:w="0" w:type="auto"/>
            <w:shd w:val="clear" w:color="auto" w:fill="CCEEFF"/>
            <w:tcMar>
              <w:top w:w="0" w:type="dxa"/>
              <w:left w:w="0" w:type="dxa"/>
              <w:bottom w:w="50" w:type="dxa"/>
              <w:right w:w="0" w:type="dxa"/>
            </w:tcMar>
            <w:vAlign w:val="bottom"/>
            <w:hideMark/>
          </w:tcPr>
          <w:p w14:paraId="49745996" w14:textId="77777777" w:rsidR="00000000" w:rsidRDefault="009027A3">
            <w:pPr>
              <w:rPr>
                <w:rFonts w:eastAsia="Times New Roman"/>
                <w:b/>
                <w:bCs/>
                <w:sz w:val="20"/>
                <w:szCs w:val="20"/>
              </w:rPr>
            </w:pPr>
            <w:r>
              <w:rPr>
                <w:rFonts w:eastAsia="Times New Roman"/>
                <w:b/>
                <w:bCs/>
                <w:sz w:val="20"/>
                <w:szCs w:val="20"/>
              </w:rPr>
              <w:t> </w:t>
            </w:r>
          </w:p>
        </w:tc>
      </w:tr>
    </w:tbl>
    <w:p w14:paraId="2E817309"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726E92D"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14:paraId="6ACC3312"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14:paraId="555EE259" w14:textId="77777777">
        <w:tc>
          <w:tcPr>
            <w:tcW w:w="0" w:type="auto"/>
            <w:vAlign w:val="bottom"/>
            <w:hideMark/>
          </w:tcPr>
          <w:p w14:paraId="36D01D92"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90B3065"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D4C8208"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2B2569F7" w14:textId="77777777" w:rsidR="00000000" w:rsidRDefault="009027A3">
            <w:pPr>
              <w:rPr>
                <w:rFonts w:eastAsia="Times New Roman"/>
                <w:b/>
                <w:bCs/>
                <w:sz w:val="20"/>
                <w:szCs w:val="20"/>
              </w:rPr>
            </w:pPr>
            <w:r>
              <w:rPr>
                <w:rFonts w:eastAsia="Times New Roman"/>
                <w:b/>
                <w:bCs/>
                <w:sz w:val="20"/>
                <w:szCs w:val="20"/>
              </w:rPr>
              <w:t> </w:t>
            </w:r>
          </w:p>
        </w:tc>
      </w:tr>
      <w:tr w:rsidR="00000000" w14:paraId="6FAE952D" w14:textId="77777777">
        <w:tc>
          <w:tcPr>
            <w:tcW w:w="0" w:type="auto"/>
            <w:vAlign w:val="bottom"/>
            <w:hideMark/>
          </w:tcPr>
          <w:p w14:paraId="341E6452"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FB7E86"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731A144"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604653A"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1AC2C66"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302617"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331FC73" w14:textId="77777777" w:rsidR="00000000" w:rsidRDefault="009027A3">
            <w:pPr>
              <w:rPr>
                <w:rFonts w:eastAsia="Times New Roman"/>
                <w:b/>
                <w:bCs/>
                <w:sz w:val="20"/>
                <w:szCs w:val="20"/>
              </w:rPr>
            </w:pPr>
            <w:r>
              <w:rPr>
                <w:rFonts w:eastAsia="Times New Roman"/>
                <w:b/>
                <w:bCs/>
                <w:sz w:val="20"/>
                <w:szCs w:val="20"/>
              </w:rPr>
              <w:t> </w:t>
            </w:r>
          </w:p>
        </w:tc>
      </w:tr>
      <w:tr w:rsidR="00000000" w14:paraId="33971A87" w14:textId="77777777">
        <w:tc>
          <w:tcPr>
            <w:tcW w:w="2800" w:type="pct"/>
            <w:shd w:val="clear" w:color="auto" w:fill="CCEEFF"/>
            <w:vAlign w:val="bottom"/>
            <w:hideMark/>
          </w:tcPr>
          <w:p w14:paraId="179DD18B" w14:textId="77777777" w:rsidR="00000000" w:rsidRDefault="009027A3">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14:paraId="1C7C6E15"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97D206" w14:textId="77777777" w:rsidR="00000000" w:rsidRDefault="009027A3">
            <w:pPr>
              <w:rPr>
                <w:rFonts w:eastAsia="Times New Roman"/>
                <w:sz w:val="20"/>
                <w:szCs w:val="20"/>
              </w:rPr>
            </w:pPr>
            <w:r>
              <w:rPr>
                <w:rFonts w:eastAsia="Times New Roman"/>
                <w:sz w:val="20"/>
                <w:szCs w:val="20"/>
              </w:rPr>
              <w:t>$</w:t>
            </w:r>
          </w:p>
        </w:tc>
        <w:tc>
          <w:tcPr>
            <w:tcW w:w="900" w:type="pct"/>
            <w:shd w:val="clear" w:color="auto" w:fill="CCEEFF"/>
            <w:vAlign w:val="bottom"/>
            <w:hideMark/>
          </w:tcPr>
          <w:p w14:paraId="17612B71" w14:textId="77777777" w:rsidR="00000000" w:rsidRDefault="009027A3">
            <w:pPr>
              <w:jc w:val="right"/>
              <w:rPr>
                <w:rFonts w:eastAsia="Times New Roman"/>
                <w:sz w:val="20"/>
                <w:szCs w:val="20"/>
              </w:rPr>
            </w:pPr>
            <w:r>
              <w:rPr>
                <w:rFonts w:eastAsia="Times New Roman"/>
                <w:sz w:val="20"/>
                <w:szCs w:val="20"/>
              </w:rPr>
              <w:t>(0.36</w:t>
            </w:r>
          </w:p>
        </w:tc>
        <w:tc>
          <w:tcPr>
            <w:tcW w:w="50" w:type="pct"/>
            <w:shd w:val="clear" w:color="auto" w:fill="CCEEFF"/>
            <w:vAlign w:val="bottom"/>
            <w:hideMark/>
          </w:tcPr>
          <w:p w14:paraId="05CC39E3"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06D576E9"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3F7A06" w14:textId="77777777" w:rsidR="00000000" w:rsidRDefault="009027A3">
            <w:pPr>
              <w:rPr>
                <w:rFonts w:eastAsia="Times New Roman"/>
                <w:sz w:val="20"/>
                <w:szCs w:val="20"/>
              </w:rPr>
            </w:pPr>
            <w:r>
              <w:rPr>
                <w:rFonts w:eastAsia="Times New Roman"/>
                <w:sz w:val="20"/>
                <w:szCs w:val="20"/>
              </w:rPr>
              <w:t>$</w:t>
            </w:r>
          </w:p>
        </w:tc>
        <w:tc>
          <w:tcPr>
            <w:tcW w:w="900" w:type="pct"/>
            <w:shd w:val="clear" w:color="auto" w:fill="CCEEFF"/>
            <w:vAlign w:val="bottom"/>
            <w:hideMark/>
          </w:tcPr>
          <w:p w14:paraId="0C39068F" w14:textId="77777777" w:rsidR="00000000" w:rsidRDefault="009027A3">
            <w:pPr>
              <w:jc w:val="right"/>
              <w:rPr>
                <w:rFonts w:eastAsia="Times New Roman"/>
                <w:sz w:val="20"/>
                <w:szCs w:val="20"/>
              </w:rPr>
            </w:pPr>
            <w:r>
              <w:rPr>
                <w:rFonts w:eastAsia="Times New Roman"/>
                <w:sz w:val="20"/>
                <w:szCs w:val="20"/>
              </w:rPr>
              <w:t>(0.42</w:t>
            </w:r>
          </w:p>
        </w:tc>
        <w:tc>
          <w:tcPr>
            <w:tcW w:w="50" w:type="pct"/>
            <w:shd w:val="clear" w:color="auto" w:fill="CCEEFF"/>
            <w:vAlign w:val="bottom"/>
            <w:hideMark/>
          </w:tcPr>
          <w:p w14:paraId="02BD4F47" w14:textId="77777777" w:rsidR="00000000" w:rsidRDefault="009027A3">
            <w:pPr>
              <w:rPr>
                <w:rFonts w:eastAsia="Times New Roman"/>
                <w:sz w:val="20"/>
                <w:szCs w:val="20"/>
              </w:rPr>
            </w:pPr>
            <w:r>
              <w:rPr>
                <w:rFonts w:eastAsia="Times New Roman"/>
                <w:sz w:val="20"/>
                <w:szCs w:val="20"/>
              </w:rPr>
              <w:t>)</w:t>
            </w:r>
          </w:p>
        </w:tc>
      </w:tr>
      <w:tr w:rsidR="00000000" w14:paraId="423C068E" w14:textId="77777777">
        <w:tc>
          <w:tcPr>
            <w:tcW w:w="0" w:type="auto"/>
            <w:shd w:val="clear" w:color="auto" w:fill="FFFFFF"/>
            <w:tcMar>
              <w:top w:w="0" w:type="dxa"/>
              <w:left w:w="200" w:type="dxa"/>
              <w:bottom w:w="30" w:type="dxa"/>
              <w:right w:w="0" w:type="dxa"/>
            </w:tcMar>
            <w:vAlign w:val="bottom"/>
            <w:hideMark/>
          </w:tcPr>
          <w:p w14:paraId="46E18EAD" w14:textId="77777777" w:rsidR="00000000" w:rsidRDefault="009027A3">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562B675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27CB3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ACFF89" w14:textId="77777777" w:rsidR="00000000" w:rsidRDefault="009027A3">
            <w:pPr>
              <w:jc w:val="right"/>
              <w:rPr>
                <w:rFonts w:eastAsia="Times New Roman"/>
                <w:sz w:val="20"/>
                <w:szCs w:val="20"/>
              </w:rPr>
            </w:pPr>
            <w:r>
              <w:rPr>
                <w:rFonts w:eastAsia="Times New Roman"/>
                <w:sz w:val="20"/>
                <w:szCs w:val="20"/>
              </w:rPr>
              <w:t>0.22</w:t>
            </w:r>
          </w:p>
        </w:tc>
        <w:tc>
          <w:tcPr>
            <w:tcW w:w="0" w:type="auto"/>
            <w:shd w:val="clear" w:color="auto" w:fill="FFFFFF"/>
            <w:tcMar>
              <w:top w:w="0" w:type="dxa"/>
              <w:left w:w="0" w:type="dxa"/>
              <w:bottom w:w="30" w:type="dxa"/>
              <w:right w:w="0" w:type="dxa"/>
            </w:tcMar>
            <w:vAlign w:val="bottom"/>
            <w:hideMark/>
          </w:tcPr>
          <w:p w14:paraId="5ED407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73D40C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EB20A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50AB5D" w14:textId="77777777" w:rsidR="00000000" w:rsidRDefault="009027A3">
            <w:pPr>
              <w:jc w:val="right"/>
              <w:rPr>
                <w:rFonts w:eastAsia="Times New Roman"/>
                <w:sz w:val="20"/>
                <w:szCs w:val="20"/>
              </w:rPr>
            </w:pPr>
            <w:r>
              <w:rPr>
                <w:rFonts w:eastAsia="Times New Roman"/>
                <w:sz w:val="20"/>
                <w:szCs w:val="20"/>
              </w:rPr>
              <w:t>0.22</w:t>
            </w:r>
          </w:p>
        </w:tc>
        <w:tc>
          <w:tcPr>
            <w:tcW w:w="0" w:type="auto"/>
            <w:shd w:val="clear" w:color="auto" w:fill="FFFFFF"/>
            <w:tcMar>
              <w:top w:w="0" w:type="dxa"/>
              <w:left w:w="0" w:type="dxa"/>
              <w:bottom w:w="30" w:type="dxa"/>
              <w:right w:w="0" w:type="dxa"/>
            </w:tcMar>
            <w:vAlign w:val="bottom"/>
            <w:hideMark/>
          </w:tcPr>
          <w:p w14:paraId="77CB02EC" w14:textId="77777777" w:rsidR="00000000" w:rsidRDefault="009027A3">
            <w:pPr>
              <w:rPr>
                <w:rFonts w:eastAsia="Times New Roman"/>
                <w:sz w:val="20"/>
                <w:szCs w:val="20"/>
              </w:rPr>
            </w:pPr>
            <w:r>
              <w:rPr>
                <w:rFonts w:eastAsia="Times New Roman"/>
                <w:sz w:val="20"/>
                <w:szCs w:val="20"/>
              </w:rPr>
              <w:t> </w:t>
            </w:r>
          </w:p>
        </w:tc>
      </w:tr>
      <w:tr w:rsidR="00000000" w14:paraId="7C6DAFBA" w14:textId="77777777">
        <w:tc>
          <w:tcPr>
            <w:tcW w:w="0" w:type="auto"/>
            <w:shd w:val="clear" w:color="auto" w:fill="CCEEFF"/>
            <w:vAlign w:val="bottom"/>
            <w:hideMark/>
          </w:tcPr>
          <w:p w14:paraId="13D441F1" w14:textId="77777777" w:rsidR="00000000" w:rsidRDefault="009027A3">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50F271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AEE2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E8C3B" w14:textId="77777777" w:rsidR="00000000" w:rsidRDefault="009027A3">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14:paraId="6FA6934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646C7DC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213E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5D7DEE" w14:textId="77777777" w:rsidR="00000000" w:rsidRDefault="009027A3">
            <w:pPr>
              <w:jc w:val="right"/>
              <w:rPr>
                <w:rFonts w:eastAsia="Times New Roman"/>
                <w:sz w:val="20"/>
                <w:szCs w:val="20"/>
              </w:rPr>
            </w:pPr>
            <w:r>
              <w:rPr>
                <w:rFonts w:eastAsia="Times New Roman"/>
                <w:sz w:val="20"/>
                <w:szCs w:val="20"/>
              </w:rPr>
              <w:t>(0.20</w:t>
            </w:r>
          </w:p>
        </w:tc>
        <w:tc>
          <w:tcPr>
            <w:tcW w:w="0" w:type="auto"/>
            <w:shd w:val="clear" w:color="auto" w:fill="CCEEFF"/>
            <w:vAlign w:val="bottom"/>
            <w:hideMark/>
          </w:tcPr>
          <w:p w14:paraId="14B4F026" w14:textId="77777777" w:rsidR="00000000" w:rsidRDefault="009027A3">
            <w:pPr>
              <w:rPr>
                <w:rFonts w:eastAsia="Times New Roman"/>
                <w:sz w:val="20"/>
                <w:szCs w:val="20"/>
              </w:rPr>
            </w:pPr>
            <w:r>
              <w:rPr>
                <w:rFonts w:eastAsia="Times New Roman"/>
                <w:sz w:val="20"/>
                <w:szCs w:val="20"/>
              </w:rPr>
              <w:t>)</w:t>
            </w:r>
          </w:p>
        </w:tc>
      </w:tr>
      <w:tr w:rsidR="00000000" w14:paraId="2B337E56" w14:textId="77777777">
        <w:tc>
          <w:tcPr>
            <w:tcW w:w="0" w:type="auto"/>
            <w:shd w:val="clear" w:color="auto" w:fill="FFFFFF"/>
            <w:vAlign w:val="bottom"/>
            <w:hideMark/>
          </w:tcPr>
          <w:p w14:paraId="16FB6F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E4ED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6DD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A899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AE9AD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6EA2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02591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0057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57F9994" w14:textId="77777777" w:rsidR="00000000" w:rsidRDefault="009027A3">
            <w:pPr>
              <w:rPr>
                <w:rFonts w:eastAsia="Times New Roman"/>
                <w:sz w:val="20"/>
                <w:szCs w:val="20"/>
              </w:rPr>
            </w:pPr>
            <w:r>
              <w:rPr>
                <w:rFonts w:eastAsia="Times New Roman"/>
                <w:sz w:val="20"/>
                <w:szCs w:val="20"/>
              </w:rPr>
              <w:t> </w:t>
            </w:r>
          </w:p>
        </w:tc>
      </w:tr>
      <w:tr w:rsidR="00000000" w14:paraId="37CB47BE" w14:textId="77777777">
        <w:tc>
          <w:tcPr>
            <w:tcW w:w="0" w:type="auto"/>
            <w:shd w:val="clear" w:color="auto" w:fill="CCEEFF"/>
            <w:tcMar>
              <w:top w:w="0" w:type="dxa"/>
              <w:left w:w="200" w:type="dxa"/>
              <w:bottom w:w="0" w:type="dxa"/>
              <w:right w:w="0" w:type="dxa"/>
            </w:tcMar>
            <w:vAlign w:val="bottom"/>
            <w:hideMark/>
          </w:tcPr>
          <w:p w14:paraId="71826C3A" w14:textId="77777777" w:rsidR="00000000" w:rsidRDefault="009027A3">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337ED5B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AD0C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8850A" w14:textId="77777777" w:rsidR="00000000" w:rsidRDefault="009027A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3C64983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2F55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3CD8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1A691" w14:textId="77777777" w:rsidR="00000000" w:rsidRDefault="009027A3">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14:paraId="016FC453" w14:textId="77777777" w:rsidR="00000000" w:rsidRDefault="009027A3">
            <w:pPr>
              <w:rPr>
                <w:rFonts w:eastAsia="Times New Roman"/>
                <w:sz w:val="20"/>
                <w:szCs w:val="20"/>
              </w:rPr>
            </w:pPr>
            <w:r>
              <w:rPr>
                <w:rFonts w:eastAsia="Times New Roman"/>
                <w:sz w:val="20"/>
                <w:szCs w:val="20"/>
              </w:rPr>
              <w:t>)</w:t>
            </w:r>
          </w:p>
        </w:tc>
      </w:tr>
      <w:tr w:rsidR="00000000" w14:paraId="75E470CA" w14:textId="77777777">
        <w:tc>
          <w:tcPr>
            <w:tcW w:w="0" w:type="auto"/>
            <w:shd w:val="clear" w:color="auto" w:fill="FFFFFF"/>
            <w:tcMar>
              <w:top w:w="0" w:type="dxa"/>
              <w:left w:w="200" w:type="dxa"/>
              <w:bottom w:w="0" w:type="dxa"/>
              <w:right w:w="0" w:type="dxa"/>
            </w:tcMar>
            <w:vAlign w:val="bottom"/>
            <w:hideMark/>
          </w:tcPr>
          <w:p w14:paraId="0C8C2895" w14:textId="77777777" w:rsidR="00000000" w:rsidRDefault="009027A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77FD91E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D41AF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B8F42" w14:textId="77777777" w:rsidR="00000000" w:rsidRDefault="009027A3">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14:paraId="4D53B7C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BE679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825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F1A89" w14:textId="77777777" w:rsidR="00000000" w:rsidRDefault="009027A3">
            <w:pPr>
              <w:jc w:val="right"/>
              <w:rPr>
                <w:rFonts w:eastAsia="Times New Roman"/>
                <w:sz w:val="20"/>
                <w:szCs w:val="20"/>
              </w:rPr>
            </w:pPr>
            <w:r>
              <w:rPr>
                <w:rFonts w:eastAsia="Times New Roman"/>
                <w:sz w:val="20"/>
                <w:szCs w:val="20"/>
              </w:rPr>
              <w:t>0.11</w:t>
            </w:r>
          </w:p>
        </w:tc>
        <w:tc>
          <w:tcPr>
            <w:tcW w:w="0" w:type="auto"/>
            <w:shd w:val="clear" w:color="auto" w:fill="FFFFFF"/>
            <w:vAlign w:val="bottom"/>
            <w:hideMark/>
          </w:tcPr>
          <w:p w14:paraId="70D9FDA4" w14:textId="77777777" w:rsidR="00000000" w:rsidRDefault="009027A3">
            <w:pPr>
              <w:rPr>
                <w:rFonts w:eastAsia="Times New Roman"/>
                <w:sz w:val="20"/>
                <w:szCs w:val="20"/>
              </w:rPr>
            </w:pPr>
            <w:r>
              <w:rPr>
                <w:rFonts w:eastAsia="Times New Roman"/>
                <w:sz w:val="20"/>
                <w:szCs w:val="20"/>
              </w:rPr>
              <w:t> </w:t>
            </w:r>
          </w:p>
        </w:tc>
      </w:tr>
      <w:tr w:rsidR="00000000" w14:paraId="64AD6228" w14:textId="77777777">
        <w:tc>
          <w:tcPr>
            <w:tcW w:w="0" w:type="auto"/>
            <w:shd w:val="clear" w:color="auto" w:fill="CCEEFF"/>
            <w:tcMar>
              <w:top w:w="0" w:type="dxa"/>
              <w:left w:w="200" w:type="dxa"/>
              <w:bottom w:w="0" w:type="dxa"/>
              <w:right w:w="0" w:type="dxa"/>
            </w:tcMar>
            <w:vAlign w:val="bottom"/>
            <w:hideMark/>
          </w:tcPr>
          <w:p w14:paraId="57C7EB18" w14:textId="77777777" w:rsidR="00000000" w:rsidRDefault="009027A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2B92DF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8F14D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EC508" w14:textId="77777777" w:rsidR="00000000" w:rsidRDefault="009027A3">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14:paraId="2F79B0B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CB95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DF112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A2CBA2" w14:textId="77777777" w:rsidR="00000000" w:rsidRDefault="009027A3">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5D6AC8FC" w14:textId="77777777" w:rsidR="00000000" w:rsidRDefault="009027A3">
            <w:pPr>
              <w:rPr>
                <w:rFonts w:eastAsia="Times New Roman"/>
                <w:sz w:val="20"/>
                <w:szCs w:val="20"/>
              </w:rPr>
            </w:pPr>
            <w:r>
              <w:rPr>
                <w:rFonts w:eastAsia="Times New Roman"/>
                <w:sz w:val="20"/>
                <w:szCs w:val="20"/>
              </w:rPr>
              <w:t> </w:t>
            </w:r>
          </w:p>
        </w:tc>
      </w:tr>
      <w:tr w:rsidR="00000000" w14:paraId="4ED130B1" w14:textId="77777777">
        <w:tc>
          <w:tcPr>
            <w:tcW w:w="0" w:type="auto"/>
            <w:shd w:val="clear" w:color="auto" w:fill="FFFFFF"/>
            <w:tcMar>
              <w:top w:w="0" w:type="dxa"/>
              <w:left w:w="200" w:type="dxa"/>
              <w:bottom w:w="0" w:type="dxa"/>
              <w:right w:w="0" w:type="dxa"/>
            </w:tcMar>
            <w:vAlign w:val="bottom"/>
            <w:hideMark/>
          </w:tcPr>
          <w:p w14:paraId="6A9B9270" w14:textId="77777777" w:rsidR="00000000" w:rsidRDefault="009027A3">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6D4DC0D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EB85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3C651" w14:textId="77777777" w:rsidR="00000000" w:rsidRDefault="009027A3">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14:paraId="2C8BD9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2E0C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6F5D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1D2A7" w14:textId="77777777" w:rsidR="00000000" w:rsidRDefault="009027A3">
            <w:pPr>
              <w:jc w:val="right"/>
              <w:rPr>
                <w:rFonts w:eastAsia="Times New Roman"/>
                <w:sz w:val="20"/>
                <w:szCs w:val="20"/>
              </w:rPr>
            </w:pPr>
            <w:r>
              <w:rPr>
                <w:rFonts w:eastAsia="Times New Roman"/>
                <w:sz w:val="20"/>
                <w:szCs w:val="20"/>
              </w:rPr>
              <w:t>0.05</w:t>
            </w:r>
          </w:p>
        </w:tc>
        <w:tc>
          <w:tcPr>
            <w:tcW w:w="0" w:type="auto"/>
            <w:shd w:val="clear" w:color="auto" w:fill="FFFFFF"/>
            <w:vAlign w:val="bottom"/>
            <w:hideMark/>
          </w:tcPr>
          <w:p w14:paraId="6A0B4E8C" w14:textId="77777777" w:rsidR="00000000" w:rsidRDefault="009027A3">
            <w:pPr>
              <w:rPr>
                <w:rFonts w:eastAsia="Times New Roman"/>
                <w:sz w:val="20"/>
                <w:szCs w:val="20"/>
              </w:rPr>
            </w:pPr>
            <w:r>
              <w:rPr>
                <w:rFonts w:eastAsia="Times New Roman"/>
                <w:sz w:val="20"/>
                <w:szCs w:val="20"/>
              </w:rPr>
              <w:t> </w:t>
            </w:r>
          </w:p>
        </w:tc>
      </w:tr>
      <w:tr w:rsidR="00000000" w14:paraId="4B4987BF" w14:textId="77777777">
        <w:tc>
          <w:tcPr>
            <w:tcW w:w="0" w:type="auto"/>
            <w:shd w:val="clear" w:color="auto" w:fill="CCEEFF"/>
            <w:tcMar>
              <w:top w:w="0" w:type="dxa"/>
              <w:left w:w="200" w:type="dxa"/>
              <w:bottom w:w="0" w:type="dxa"/>
              <w:right w:w="0" w:type="dxa"/>
            </w:tcMar>
            <w:vAlign w:val="bottom"/>
            <w:hideMark/>
          </w:tcPr>
          <w:p w14:paraId="4A45DC5A"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752351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0F95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697D5B" w14:textId="77777777" w:rsidR="00000000" w:rsidRDefault="009027A3">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08FAD93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6CB0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ABF4F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076D4" w14:textId="77777777" w:rsidR="00000000" w:rsidRDefault="009027A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473B5C1C" w14:textId="77777777" w:rsidR="00000000" w:rsidRDefault="009027A3">
            <w:pPr>
              <w:rPr>
                <w:rFonts w:eastAsia="Times New Roman"/>
                <w:sz w:val="20"/>
                <w:szCs w:val="20"/>
              </w:rPr>
            </w:pPr>
            <w:r>
              <w:rPr>
                <w:rFonts w:eastAsia="Times New Roman"/>
                <w:sz w:val="20"/>
                <w:szCs w:val="20"/>
              </w:rPr>
              <w:t> </w:t>
            </w:r>
          </w:p>
        </w:tc>
      </w:tr>
      <w:tr w:rsidR="00000000" w14:paraId="40440D27" w14:textId="77777777">
        <w:tc>
          <w:tcPr>
            <w:tcW w:w="0" w:type="auto"/>
            <w:shd w:val="clear" w:color="auto" w:fill="FFFFFF"/>
            <w:tcMar>
              <w:top w:w="0" w:type="dxa"/>
              <w:left w:w="200" w:type="dxa"/>
              <w:bottom w:w="30" w:type="dxa"/>
              <w:right w:w="0" w:type="dxa"/>
            </w:tcMar>
            <w:vAlign w:val="bottom"/>
            <w:hideMark/>
          </w:tcPr>
          <w:p w14:paraId="5EE9819A" w14:textId="77777777" w:rsidR="00000000" w:rsidRDefault="009027A3">
            <w:pPr>
              <w:rPr>
                <w:rFonts w:eastAsia="Times New Roman"/>
                <w:sz w:val="20"/>
                <w:szCs w:val="20"/>
              </w:rPr>
            </w:pPr>
            <w:r>
              <w:rPr>
                <w:rFonts w:eastAsia="Times New Roman"/>
                <w:sz w:val="20"/>
                <w:szCs w:val="20"/>
              </w:rPr>
              <w:t>Income tax (benefit) expense related to goodwill</w:t>
            </w:r>
          </w:p>
        </w:tc>
        <w:tc>
          <w:tcPr>
            <w:tcW w:w="0" w:type="auto"/>
            <w:shd w:val="clear" w:color="auto" w:fill="FFFFFF"/>
            <w:tcMar>
              <w:top w:w="0" w:type="dxa"/>
              <w:left w:w="0" w:type="dxa"/>
              <w:bottom w:w="30" w:type="dxa"/>
              <w:right w:w="0" w:type="dxa"/>
            </w:tcMar>
            <w:vAlign w:val="bottom"/>
            <w:hideMark/>
          </w:tcPr>
          <w:p w14:paraId="3F1DDB4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71B63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6929A2" w14:textId="77777777" w:rsidR="00000000" w:rsidRDefault="009027A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14:paraId="3D6F2636"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C19B0D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A2366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0D9822" w14:textId="77777777" w:rsidR="00000000" w:rsidRDefault="009027A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14:paraId="56922937" w14:textId="77777777" w:rsidR="00000000" w:rsidRDefault="009027A3">
            <w:pPr>
              <w:rPr>
                <w:rFonts w:eastAsia="Times New Roman"/>
                <w:sz w:val="20"/>
                <w:szCs w:val="20"/>
              </w:rPr>
            </w:pPr>
            <w:r>
              <w:rPr>
                <w:rFonts w:eastAsia="Times New Roman"/>
                <w:sz w:val="20"/>
                <w:szCs w:val="20"/>
              </w:rPr>
              <w:t> </w:t>
            </w:r>
          </w:p>
        </w:tc>
      </w:tr>
      <w:tr w:rsidR="00000000" w14:paraId="5DEB1E4F" w14:textId="77777777">
        <w:tc>
          <w:tcPr>
            <w:tcW w:w="0" w:type="auto"/>
            <w:shd w:val="clear" w:color="auto" w:fill="CCEEFF"/>
            <w:tcMar>
              <w:top w:w="0" w:type="dxa"/>
              <w:left w:w="0" w:type="dxa"/>
              <w:bottom w:w="50" w:type="dxa"/>
              <w:right w:w="0" w:type="dxa"/>
            </w:tcMar>
            <w:vAlign w:val="bottom"/>
            <w:hideMark/>
          </w:tcPr>
          <w:p w14:paraId="0DB979C5" w14:textId="77777777" w:rsidR="00000000" w:rsidRDefault="009027A3">
            <w:pPr>
              <w:rPr>
                <w:rFonts w:eastAsia="Times New Roman"/>
                <w:sz w:val="20"/>
                <w:szCs w:val="20"/>
              </w:rPr>
            </w:pPr>
            <w:r>
              <w:rPr>
                <w:rFonts w:eastAsia="Times New Roman"/>
                <w:sz w:val="20"/>
                <w:szCs w:val="20"/>
              </w:rPr>
              <w:t>Non-GAAP adjusted earnings per share</w:t>
            </w:r>
          </w:p>
        </w:tc>
        <w:tc>
          <w:tcPr>
            <w:tcW w:w="0" w:type="auto"/>
            <w:shd w:val="clear" w:color="auto" w:fill="CCEEFF"/>
            <w:tcMar>
              <w:top w:w="0" w:type="dxa"/>
              <w:left w:w="0" w:type="dxa"/>
              <w:bottom w:w="50" w:type="dxa"/>
              <w:right w:w="0" w:type="dxa"/>
            </w:tcMar>
            <w:vAlign w:val="bottom"/>
            <w:hideMark/>
          </w:tcPr>
          <w:p w14:paraId="1F8143EC"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D1787E8"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AC59A95" w14:textId="77777777" w:rsidR="00000000" w:rsidRDefault="009027A3">
            <w:pPr>
              <w:jc w:val="right"/>
              <w:rPr>
                <w:rFonts w:eastAsia="Times New Roman"/>
                <w:b/>
                <w:bCs/>
                <w:sz w:val="20"/>
                <w:szCs w:val="20"/>
              </w:rPr>
            </w:pPr>
            <w:r>
              <w:rPr>
                <w:rFonts w:eastAsia="Times New Roman"/>
                <w:b/>
                <w:bCs/>
                <w:sz w:val="20"/>
                <w:szCs w:val="20"/>
              </w:rPr>
              <w:t>0.20</w:t>
            </w:r>
          </w:p>
        </w:tc>
        <w:tc>
          <w:tcPr>
            <w:tcW w:w="0" w:type="auto"/>
            <w:shd w:val="clear" w:color="auto" w:fill="CCEEFF"/>
            <w:tcMar>
              <w:top w:w="0" w:type="dxa"/>
              <w:left w:w="0" w:type="dxa"/>
              <w:bottom w:w="50" w:type="dxa"/>
              <w:right w:w="0" w:type="dxa"/>
            </w:tcMar>
            <w:vAlign w:val="bottom"/>
            <w:hideMark/>
          </w:tcPr>
          <w:p w14:paraId="19C83507" w14:textId="77777777" w:rsidR="00000000" w:rsidRDefault="009027A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0A6FA6D"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0E1F9DF"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83BA46C" w14:textId="77777777" w:rsidR="00000000" w:rsidRDefault="009027A3">
            <w:pPr>
              <w:jc w:val="right"/>
              <w:rPr>
                <w:rFonts w:eastAsia="Times New Roman"/>
                <w:b/>
                <w:bCs/>
                <w:sz w:val="20"/>
                <w:szCs w:val="20"/>
              </w:rPr>
            </w:pPr>
            <w:r>
              <w:rPr>
                <w:rFonts w:eastAsia="Times New Roman"/>
                <w:b/>
                <w:bCs/>
                <w:sz w:val="20"/>
                <w:szCs w:val="20"/>
              </w:rPr>
              <w:t>0.03</w:t>
            </w:r>
          </w:p>
        </w:tc>
        <w:tc>
          <w:tcPr>
            <w:tcW w:w="0" w:type="auto"/>
            <w:shd w:val="clear" w:color="auto" w:fill="CCEEFF"/>
            <w:tcMar>
              <w:top w:w="0" w:type="dxa"/>
              <w:left w:w="0" w:type="dxa"/>
              <w:bottom w:w="50" w:type="dxa"/>
              <w:right w:w="0" w:type="dxa"/>
            </w:tcMar>
            <w:vAlign w:val="bottom"/>
            <w:hideMark/>
          </w:tcPr>
          <w:p w14:paraId="331F96DB" w14:textId="77777777" w:rsidR="00000000" w:rsidRDefault="009027A3">
            <w:pPr>
              <w:rPr>
                <w:rFonts w:eastAsia="Times New Roman"/>
                <w:b/>
                <w:bCs/>
                <w:sz w:val="20"/>
                <w:szCs w:val="20"/>
              </w:rPr>
            </w:pPr>
            <w:r>
              <w:rPr>
                <w:rFonts w:eastAsia="Times New Roman"/>
                <w:b/>
                <w:bCs/>
                <w:sz w:val="20"/>
                <w:szCs w:val="20"/>
              </w:rPr>
              <w:t> </w:t>
            </w:r>
          </w:p>
        </w:tc>
      </w:tr>
      <w:tr w:rsidR="00000000" w14:paraId="6F43A2C3" w14:textId="77777777">
        <w:tc>
          <w:tcPr>
            <w:tcW w:w="0" w:type="auto"/>
            <w:shd w:val="clear" w:color="auto" w:fill="FFFFFF"/>
            <w:vAlign w:val="bottom"/>
            <w:hideMark/>
          </w:tcPr>
          <w:p w14:paraId="1FF692D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D24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05C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CA25D"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AD824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6BDC5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114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F037F"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55E51E" w14:textId="77777777" w:rsidR="00000000" w:rsidRDefault="009027A3">
            <w:pPr>
              <w:rPr>
                <w:rFonts w:eastAsia="Times New Roman"/>
                <w:sz w:val="20"/>
                <w:szCs w:val="20"/>
              </w:rPr>
            </w:pPr>
            <w:r>
              <w:rPr>
                <w:rFonts w:eastAsia="Times New Roman"/>
                <w:sz w:val="20"/>
                <w:szCs w:val="20"/>
              </w:rPr>
              <w:t> </w:t>
            </w:r>
          </w:p>
        </w:tc>
      </w:tr>
      <w:tr w:rsidR="00000000" w14:paraId="5F8402AE" w14:textId="77777777">
        <w:tc>
          <w:tcPr>
            <w:tcW w:w="0" w:type="auto"/>
            <w:shd w:val="clear" w:color="auto" w:fill="CCEEFF"/>
            <w:vAlign w:val="bottom"/>
            <w:hideMark/>
          </w:tcPr>
          <w:p w14:paraId="10C7FE37" w14:textId="77777777" w:rsidR="00000000" w:rsidRDefault="009027A3">
            <w:pPr>
              <w:rPr>
                <w:rFonts w:eastAsia="Times New Roman"/>
                <w:sz w:val="20"/>
                <w:szCs w:val="20"/>
              </w:rPr>
            </w:pPr>
            <w:r>
              <w:rPr>
                <w:rFonts w:eastAsia="Times New Roman"/>
                <w:sz w:val="20"/>
                <w:szCs w:val="20"/>
              </w:rPr>
              <w:t>End-of-period common shares</w:t>
            </w:r>
          </w:p>
        </w:tc>
        <w:tc>
          <w:tcPr>
            <w:tcW w:w="0" w:type="auto"/>
            <w:shd w:val="clear" w:color="auto" w:fill="CCEEFF"/>
            <w:vAlign w:val="bottom"/>
            <w:hideMark/>
          </w:tcPr>
          <w:p w14:paraId="637042B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B81C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6E8457" w14:textId="77777777" w:rsidR="00000000" w:rsidRDefault="009027A3">
            <w:pPr>
              <w:jc w:val="right"/>
              <w:rPr>
                <w:rFonts w:eastAsia="Times New Roman"/>
                <w:sz w:val="20"/>
                <w:szCs w:val="20"/>
              </w:rPr>
            </w:pPr>
            <w:r>
              <w:rPr>
                <w:rFonts w:eastAsia="Times New Roman"/>
                <w:sz w:val="20"/>
                <w:szCs w:val="20"/>
              </w:rPr>
              <w:t>14,399,790</w:t>
            </w:r>
          </w:p>
        </w:tc>
        <w:tc>
          <w:tcPr>
            <w:tcW w:w="0" w:type="auto"/>
            <w:shd w:val="clear" w:color="auto" w:fill="CCEEFF"/>
            <w:vAlign w:val="bottom"/>
            <w:hideMark/>
          </w:tcPr>
          <w:p w14:paraId="12D7B74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9FD99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A6C4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C919D7" w14:textId="77777777" w:rsidR="00000000" w:rsidRDefault="009027A3">
            <w:pPr>
              <w:jc w:val="right"/>
              <w:rPr>
                <w:rFonts w:eastAsia="Times New Roman"/>
                <w:sz w:val="20"/>
                <w:szCs w:val="20"/>
              </w:rPr>
            </w:pPr>
            <w:r>
              <w:rPr>
                <w:rFonts w:eastAsia="Times New Roman"/>
                <w:sz w:val="20"/>
                <w:szCs w:val="20"/>
              </w:rPr>
              <w:t>12,367,293</w:t>
            </w:r>
          </w:p>
        </w:tc>
        <w:tc>
          <w:tcPr>
            <w:tcW w:w="0" w:type="auto"/>
            <w:shd w:val="clear" w:color="auto" w:fill="CCEEFF"/>
            <w:vAlign w:val="bottom"/>
            <w:hideMark/>
          </w:tcPr>
          <w:p w14:paraId="15F12779" w14:textId="77777777" w:rsidR="00000000" w:rsidRDefault="009027A3">
            <w:pPr>
              <w:rPr>
                <w:rFonts w:eastAsia="Times New Roman"/>
                <w:sz w:val="20"/>
                <w:szCs w:val="20"/>
              </w:rPr>
            </w:pPr>
            <w:r>
              <w:rPr>
                <w:rFonts w:eastAsia="Times New Roman"/>
                <w:sz w:val="20"/>
                <w:szCs w:val="20"/>
              </w:rPr>
              <w:t> </w:t>
            </w:r>
          </w:p>
        </w:tc>
      </w:tr>
      <w:tr w:rsidR="00000000" w14:paraId="091D438D" w14:textId="77777777">
        <w:tc>
          <w:tcPr>
            <w:tcW w:w="0" w:type="auto"/>
            <w:shd w:val="clear" w:color="auto" w:fill="FFFFFF"/>
            <w:tcMar>
              <w:top w:w="0" w:type="dxa"/>
              <w:left w:w="0" w:type="dxa"/>
              <w:bottom w:w="30" w:type="dxa"/>
              <w:right w:w="0" w:type="dxa"/>
            </w:tcMar>
            <w:vAlign w:val="bottom"/>
            <w:hideMark/>
          </w:tcPr>
          <w:p w14:paraId="6667B01D" w14:textId="77777777" w:rsidR="00000000" w:rsidRDefault="009027A3">
            <w:pPr>
              <w:rPr>
                <w:rFonts w:eastAsia="Times New Roman"/>
                <w:sz w:val="20"/>
                <w:szCs w:val="20"/>
              </w:rPr>
            </w:pPr>
            <w:r>
              <w:rPr>
                <w:rFonts w:eastAsia="Times New Roman"/>
                <w:sz w:val="20"/>
                <w:szCs w:val="20"/>
              </w:rPr>
              <w:t>In-the-money warrants and outstanding unvested RSUs</w:t>
            </w:r>
          </w:p>
        </w:tc>
        <w:tc>
          <w:tcPr>
            <w:tcW w:w="0" w:type="auto"/>
            <w:shd w:val="clear" w:color="auto" w:fill="FFFFFF"/>
            <w:tcMar>
              <w:top w:w="0" w:type="dxa"/>
              <w:left w:w="0" w:type="dxa"/>
              <w:bottom w:w="30" w:type="dxa"/>
              <w:right w:w="0" w:type="dxa"/>
            </w:tcMar>
            <w:vAlign w:val="bottom"/>
            <w:hideMark/>
          </w:tcPr>
          <w:p w14:paraId="32DC3FB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865BD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7E8F64" w14:textId="77777777" w:rsidR="00000000" w:rsidRDefault="009027A3">
            <w:pPr>
              <w:jc w:val="right"/>
              <w:rPr>
                <w:rFonts w:eastAsia="Times New Roman"/>
                <w:sz w:val="20"/>
                <w:szCs w:val="20"/>
              </w:rPr>
            </w:pPr>
            <w:r>
              <w:rPr>
                <w:rFonts w:eastAsia="Times New Roman"/>
                <w:sz w:val="20"/>
                <w:szCs w:val="20"/>
              </w:rPr>
              <w:t>2,698,127</w:t>
            </w:r>
          </w:p>
        </w:tc>
        <w:tc>
          <w:tcPr>
            <w:tcW w:w="0" w:type="auto"/>
            <w:shd w:val="clear" w:color="auto" w:fill="FFFFFF"/>
            <w:tcMar>
              <w:top w:w="0" w:type="dxa"/>
              <w:left w:w="0" w:type="dxa"/>
              <w:bottom w:w="30" w:type="dxa"/>
              <w:right w:w="0" w:type="dxa"/>
            </w:tcMar>
            <w:vAlign w:val="bottom"/>
            <w:hideMark/>
          </w:tcPr>
          <w:p w14:paraId="314FB6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A2AC7B8"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3CBB35"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E6A02B" w14:textId="77777777" w:rsidR="00000000" w:rsidRDefault="009027A3">
            <w:pPr>
              <w:jc w:val="right"/>
              <w:rPr>
                <w:rFonts w:eastAsia="Times New Roman"/>
                <w:sz w:val="20"/>
                <w:szCs w:val="20"/>
              </w:rPr>
            </w:pPr>
            <w:r>
              <w:rPr>
                <w:rFonts w:eastAsia="Times New Roman"/>
                <w:sz w:val="20"/>
                <w:szCs w:val="20"/>
              </w:rPr>
              <w:t>708,600</w:t>
            </w:r>
          </w:p>
        </w:tc>
        <w:tc>
          <w:tcPr>
            <w:tcW w:w="0" w:type="auto"/>
            <w:shd w:val="clear" w:color="auto" w:fill="FFFFFF"/>
            <w:tcMar>
              <w:top w:w="0" w:type="dxa"/>
              <w:left w:w="0" w:type="dxa"/>
              <w:bottom w:w="30" w:type="dxa"/>
              <w:right w:w="0" w:type="dxa"/>
            </w:tcMar>
            <w:vAlign w:val="bottom"/>
            <w:hideMark/>
          </w:tcPr>
          <w:p w14:paraId="749B6922" w14:textId="77777777" w:rsidR="00000000" w:rsidRDefault="009027A3">
            <w:pPr>
              <w:rPr>
                <w:rFonts w:eastAsia="Times New Roman"/>
                <w:sz w:val="20"/>
                <w:szCs w:val="20"/>
              </w:rPr>
            </w:pPr>
            <w:r>
              <w:rPr>
                <w:rFonts w:eastAsia="Times New Roman"/>
                <w:sz w:val="20"/>
                <w:szCs w:val="20"/>
              </w:rPr>
              <w:t> </w:t>
            </w:r>
          </w:p>
        </w:tc>
      </w:tr>
      <w:tr w:rsidR="00000000" w14:paraId="4D46F10C" w14:textId="77777777">
        <w:tc>
          <w:tcPr>
            <w:tcW w:w="0" w:type="auto"/>
            <w:shd w:val="clear" w:color="auto" w:fill="CCEEFF"/>
            <w:tcMar>
              <w:top w:w="0" w:type="dxa"/>
              <w:left w:w="0" w:type="dxa"/>
              <w:bottom w:w="50" w:type="dxa"/>
              <w:right w:w="0" w:type="dxa"/>
            </w:tcMar>
            <w:vAlign w:val="bottom"/>
            <w:hideMark/>
          </w:tcPr>
          <w:p w14:paraId="42B537FD" w14:textId="77777777" w:rsidR="00000000" w:rsidRDefault="009027A3">
            <w:pPr>
              <w:rPr>
                <w:rFonts w:eastAsia="Times New Roman"/>
                <w:sz w:val="20"/>
                <w:szCs w:val="20"/>
              </w:rPr>
            </w:pPr>
            <w:r>
              <w:rPr>
                <w:rFonts w:eastAsia="Times New Roman"/>
                <w:sz w:val="20"/>
                <w:szCs w:val="20"/>
              </w:rPr>
              <w:t>Total fully diluted shares</w:t>
            </w:r>
          </w:p>
        </w:tc>
        <w:tc>
          <w:tcPr>
            <w:tcW w:w="0" w:type="auto"/>
            <w:shd w:val="clear" w:color="auto" w:fill="CCEEFF"/>
            <w:tcMar>
              <w:top w:w="0" w:type="dxa"/>
              <w:left w:w="0" w:type="dxa"/>
              <w:bottom w:w="50" w:type="dxa"/>
              <w:right w:w="0" w:type="dxa"/>
            </w:tcMar>
            <w:vAlign w:val="bottom"/>
            <w:hideMark/>
          </w:tcPr>
          <w:p w14:paraId="3D31AE7E"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FFD97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3474F5A" w14:textId="77777777" w:rsidR="00000000" w:rsidRDefault="009027A3">
            <w:pPr>
              <w:jc w:val="right"/>
              <w:rPr>
                <w:rFonts w:eastAsia="Times New Roman"/>
                <w:sz w:val="20"/>
                <w:szCs w:val="20"/>
              </w:rPr>
            </w:pPr>
            <w:r>
              <w:rPr>
                <w:rFonts w:eastAsia="Times New Roman"/>
                <w:sz w:val="20"/>
                <w:szCs w:val="20"/>
              </w:rPr>
              <w:t>17,097,917</w:t>
            </w:r>
          </w:p>
        </w:tc>
        <w:tc>
          <w:tcPr>
            <w:tcW w:w="0" w:type="auto"/>
            <w:shd w:val="clear" w:color="auto" w:fill="CCEEFF"/>
            <w:tcMar>
              <w:top w:w="0" w:type="dxa"/>
              <w:left w:w="0" w:type="dxa"/>
              <w:bottom w:w="50" w:type="dxa"/>
              <w:right w:w="0" w:type="dxa"/>
            </w:tcMar>
            <w:vAlign w:val="bottom"/>
            <w:hideMark/>
          </w:tcPr>
          <w:p w14:paraId="51BBF9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359BA6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4FD60F"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5D3C77A" w14:textId="77777777" w:rsidR="00000000" w:rsidRDefault="009027A3">
            <w:pPr>
              <w:jc w:val="right"/>
              <w:rPr>
                <w:rFonts w:eastAsia="Times New Roman"/>
                <w:sz w:val="20"/>
                <w:szCs w:val="20"/>
              </w:rPr>
            </w:pPr>
            <w:r>
              <w:rPr>
                <w:rFonts w:eastAsia="Times New Roman"/>
                <w:sz w:val="20"/>
                <w:szCs w:val="20"/>
              </w:rPr>
              <w:t>13,075,893</w:t>
            </w:r>
          </w:p>
        </w:tc>
        <w:tc>
          <w:tcPr>
            <w:tcW w:w="0" w:type="auto"/>
            <w:shd w:val="clear" w:color="auto" w:fill="CCEEFF"/>
            <w:tcMar>
              <w:top w:w="0" w:type="dxa"/>
              <w:left w:w="0" w:type="dxa"/>
              <w:bottom w:w="50" w:type="dxa"/>
              <w:right w:w="0" w:type="dxa"/>
            </w:tcMar>
            <w:vAlign w:val="bottom"/>
            <w:hideMark/>
          </w:tcPr>
          <w:p w14:paraId="38987ED8" w14:textId="77777777" w:rsidR="00000000" w:rsidRDefault="009027A3">
            <w:pPr>
              <w:rPr>
                <w:rFonts w:eastAsia="Times New Roman"/>
                <w:sz w:val="20"/>
                <w:szCs w:val="20"/>
              </w:rPr>
            </w:pPr>
            <w:r>
              <w:rPr>
                <w:rFonts w:eastAsia="Times New Roman"/>
                <w:sz w:val="20"/>
                <w:szCs w:val="20"/>
              </w:rPr>
              <w:t> </w:t>
            </w:r>
          </w:p>
        </w:tc>
      </w:tr>
      <w:tr w:rsidR="00000000" w14:paraId="4AA2CC4E" w14:textId="77777777">
        <w:tc>
          <w:tcPr>
            <w:tcW w:w="0" w:type="auto"/>
            <w:shd w:val="clear" w:color="auto" w:fill="FFFFFF"/>
            <w:tcMar>
              <w:top w:w="0" w:type="dxa"/>
              <w:left w:w="0" w:type="dxa"/>
              <w:bottom w:w="50" w:type="dxa"/>
              <w:right w:w="0" w:type="dxa"/>
            </w:tcMar>
            <w:vAlign w:val="bottom"/>
            <w:hideMark/>
          </w:tcPr>
          <w:p w14:paraId="359A2543" w14:textId="77777777" w:rsidR="00000000" w:rsidRDefault="009027A3">
            <w:pPr>
              <w:rPr>
                <w:rFonts w:eastAsia="Times New Roman"/>
                <w:sz w:val="20"/>
                <w:szCs w:val="20"/>
              </w:rPr>
            </w:pPr>
            <w:r>
              <w:rPr>
                <w:rFonts w:eastAsia="Times New Roman"/>
                <w:sz w:val="20"/>
                <w:szCs w:val="20"/>
              </w:rPr>
              <w:t>Non-GAAP adjusted diluted earnings per share</w:t>
            </w:r>
          </w:p>
        </w:tc>
        <w:tc>
          <w:tcPr>
            <w:tcW w:w="0" w:type="auto"/>
            <w:shd w:val="clear" w:color="auto" w:fill="FFFFFF"/>
            <w:tcMar>
              <w:top w:w="0" w:type="dxa"/>
              <w:left w:w="0" w:type="dxa"/>
              <w:bottom w:w="50" w:type="dxa"/>
              <w:right w:w="0" w:type="dxa"/>
            </w:tcMar>
            <w:vAlign w:val="bottom"/>
            <w:hideMark/>
          </w:tcPr>
          <w:p w14:paraId="75945540"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6977741"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0BC6CDF6" w14:textId="77777777" w:rsidR="00000000" w:rsidRDefault="009027A3">
            <w:pPr>
              <w:jc w:val="right"/>
              <w:rPr>
                <w:rFonts w:eastAsia="Times New Roman"/>
                <w:b/>
                <w:bCs/>
                <w:sz w:val="20"/>
                <w:szCs w:val="20"/>
              </w:rPr>
            </w:pPr>
            <w:r>
              <w:rPr>
                <w:rFonts w:eastAsia="Times New Roman"/>
                <w:b/>
                <w:bCs/>
                <w:sz w:val="20"/>
                <w:szCs w:val="20"/>
              </w:rPr>
              <w:t>0.17</w:t>
            </w:r>
          </w:p>
        </w:tc>
        <w:tc>
          <w:tcPr>
            <w:tcW w:w="0" w:type="auto"/>
            <w:shd w:val="clear" w:color="auto" w:fill="FFFFFF"/>
            <w:tcMar>
              <w:top w:w="0" w:type="dxa"/>
              <w:left w:w="0" w:type="dxa"/>
              <w:bottom w:w="50" w:type="dxa"/>
              <w:right w:w="0" w:type="dxa"/>
            </w:tcMar>
            <w:vAlign w:val="bottom"/>
            <w:hideMark/>
          </w:tcPr>
          <w:p w14:paraId="64D80592" w14:textId="77777777" w:rsidR="00000000" w:rsidRDefault="009027A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E5A9C83" w14:textId="77777777" w:rsidR="00000000" w:rsidRDefault="009027A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5332BB4" w14:textId="77777777" w:rsidR="00000000" w:rsidRDefault="009027A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7205144" w14:textId="77777777" w:rsidR="00000000" w:rsidRDefault="009027A3">
            <w:pPr>
              <w:jc w:val="right"/>
              <w:rPr>
                <w:rFonts w:eastAsia="Times New Roman"/>
                <w:b/>
                <w:bCs/>
                <w:sz w:val="20"/>
                <w:szCs w:val="20"/>
              </w:rPr>
            </w:pPr>
            <w:r>
              <w:rPr>
                <w:rFonts w:eastAsia="Times New Roman"/>
                <w:b/>
                <w:bCs/>
                <w:sz w:val="20"/>
                <w:szCs w:val="20"/>
              </w:rPr>
              <w:t>0.03</w:t>
            </w:r>
          </w:p>
        </w:tc>
        <w:tc>
          <w:tcPr>
            <w:tcW w:w="0" w:type="auto"/>
            <w:shd w:val="clear" w:color="auto" w:fill="FFFFFF"/>
            <w:tcMar>
              <w:top w:w="0" w:type="dxa"/>
              <w:left w:w="0" w:type="dxa"/>
              <w:bottom w:w="50" w:type="dxa"/>
              <w:right w:w="0" w:type="dxa"/>
            </w:tcMar>
            <w:vAlign w:val="bottom"/>
            <w:hideMark/>
          </w:tcPr>
          <w:p w14:paraId="4DDA4C02" w14:textId="77777777" w:rsidR="00000000" w:rsidRDefault="009027A3">
            <w:pPr>
              <w:rPr>
                <w:rFonts w:eastAsia="Times New Roman"/>
                <w:b/>
                <w:bCs/>
                <w:sz w:val="20"/>
                <w:szCs w:val="20"/>
              </w:rPr>
            </w:pPr>
            <w:r>
              <w:rPr>
                <w:rFonts w:eastAsia="Times New Roman"/>
                <w:b/>
                <w:bCs/>
                <w:sz w:val="20"/>
                <w:szCs w:val="20"/>
              </w:rPr>
              <w:t> </w:t>
            </w:r>
          </w:p>
        </w:tc>
      </w:tr>
    </w:tbl>
    <w:p w14:paraId="6284B589" w14:textId="77777777" w:rsidR="00000000" w:rsidRDefault="009027A3">
      <w:pPr>
        <w:pStyle w:val="a3"/>
        <w:shd w:val="clear" w:color="auto" w:fill="FFFFFF"/>
        <w:spacing w:before="0" w:beforeAutospacing="0" w:after="0" w:afterAutospacing="0"/>
        <w:rPr>
          <w:sz w:val="20"/>
          <w:szCs w:val="20"/>
        </w:rPr>
      </w:pPr>
      <w:r>
        <w:rPr>
          <w:b/>
          <w:bCs/>
          <w:sz w:val="20"/>
          <w:szCs w:val="20"/>
        </w:rPr>
        <w:t> </w:t>
      </w:r>
    </w:p>
    <w:p w14:paraId="18352383" w14:textId="77777777" w:rsidR="00000000" w:rsidRDefault="009027A3">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March 31, 2021 and 2020. Non-GAAP adjusted diluted earnings per share was computed using an as-converted method and include</w:t>
      </w:r>
      <w:r>
        <w:rPr>
          <w:sz w:val="20"/>
          <w:szCs w:val="20"/>
          <w:shd w:val="clear" w:color="auto" w:fill="FFFFFF"/>
        </w:rPr>
        <w:t xml:space="preserve">s warrants that are in-the-money as of that date as well as outstanding unvested RSUs. Non-GAAP adjusted earnings per share and non-GAAP adjusted diluted earnings per share do not take into account dividends paid on Preferred Stock. No tax effect has been </w:t>
      </w:r>
      <w:r>
        <w:rPr>
          <w:sz w:val="20"/>
          <w:szCs w:val="20"/>
          <w:shd w:val="clear" w:color="auto" w:fill="FFFFFF"/>
        </w:rPr>
        <w:t>provided in computing non-GAAP adjusted earnings per share and non-GAAP adjusted diluted earnings per share as the Company has sufficient carry forward net operating losses to offset the applicable income taxes.</w:t>
      </w:r>
    </w:p>
    <w:p w14:paraId="49A00ACB"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0688B14" w14:textId="77777777">
        <w:trPr>
          <w:divId w:val="233515090"/>
        </w:trPr>
        <w:tc>
          <w:tcPr>
            <w:tcW w:w="5000" w:type="pct"/>
            <w:hideMark/>
          </w:tcPr>
          <w:p w14:paraId="1BCADC0C"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52CAB24E" w14:textId="77777777">
        <w:tc>
          <w:tcPr>
            <w:tcW w:w="5000" w:type="pct"/>
            <w:hideMark/>
          </w:tcPr>
          <w:p w14:paraId="55AC6C7C" w14:textId="77777777" w:rsidR="00000000" w:rsidRDefault="009027A3">
            <w:pPr>
              <w:rPr>
                <w:rFonts w:eastAsia="Times New Roman"/>
                <w:sz w:val="20"/>
                <w:szCs w:val="20"/>
              </w:rPr>
            </w:pPr>
            <w:r>
              <w:rPr>
                <w:rFonts w:eastAsia="Times New Roman"/>
                <w:sz w:val="20"/>
                <w:szCs w:val="20"/>
              </w:rPr>
              <w:t> </w:t>
            </w:r>
          </w:p>
        </w:tc>
      </w:tr>
    </w:tbl>
    <w:p w14:paraId="45272B55"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0AB64349" w14:textId="77777777" w:rsidR="00000000" w:rsidRDefault="009027A3">
      <w:pPr>
        <w:pStyle w:val="a3"/>
        <w:spacing w:before="0" w:beforeAutospacing="0" w:after="0" w:afterAutospacing="0"/>
        <w:rPr>
          <w:sz w:val="20"/>
          <w:szCs w:val="20"/>
        </w:rPr>
      </w:pPr>
      <w:r>
        <w:rPr>
          <w:b/>
          <w:bCs/>
          <w:sz w:val="20"/>
          <w:szCs w:val="20"/>
        </w:rPr>
        <w:t>Key Metrics</w:t>
      </w:r>
    </w:p>
    <w:p w14:paraId="0D3FEE1C" w14:textId="77777777" w:rsidR="00000000" w:rsidRDefault="009027A3">
      <w:pPr>
        <w:pStyle w:val="a3"/>
        <w:spacing w:before="0" w:beforeAutospacing="0" w:after="0" w:afterAutospacing="0"/>
        <w:rPr>
          <w:sz w:val="20"/>
          <w:szCs w:val="20"/>
        </w:rPr>
      </w:pPr>
      <w:r>
        <w:rPr>
          <w:b/>
          <w:bCs/>
          <w:sz w:val="20"/>
          <w:szCs w:val="20"/>
        </w:rPr>
        <w:t> </w:t>
      </w:r>
    </w:p>
    <w:p w14:paraId="689E708D"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condensed consolidated financial statements, we regularly review the following metrics. We believe information on these metrics is useful for investors to understand the underlying trends in our business.</w:t>
      </w:r>
    </w:p>
    <w:p w14:paraId="2150BCE6"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16B77B5" w14:textId="77777777" w:rsidR="00000000" w:rsidRDefault="009027A3">
      <w:pPr>
        <w:pStyle w:val="a3"/>
        <w:shd w:val="clear" w:color="auto" w:fill="FFFFFF"/>
        <w:spacing w:before="0" w:beforeAutospacing="0" w:after="0" w:afterAutospacing="0"/>
        <w:jc w:val="both"/>
        <w:rPr>
          <w:sz w:val="20"/>
          <w:szCs w:val="20"/>
        </w:rPr>
      </w:pPr>
      <w:r>
        <w:rPr>
          <w:b/>
          <w:bCs/>
          <w:i/>
          <w:iCs/>
          <w:sz w:val="20"/>
          <w:szCs w:val="20"/>
        </w:rPr>
        <w:t>Providers and P</w:t>
      </w:r>
      <w:r>
        <w:rPr>
          <w:b/>
          <w:bCs/>
          <w:i/>
          <w:iCs/>
          <w:sz w:val="20"/>
          <w:szCs w:val="20"/>
        </w:rPr>
        <w:t>ractices Served:</w:t>
      </w:r>
      <w:r>
        <w:rPr>
          <w:sz w:val="20"/>
          <w:szCs w:val="20"/>
        </w:rPr>
        <w:t xml:space="preserve"> As of March 31, 2021, we provided services to an estimated universe of more than 40,000 providers (which we define as physicians, nurses, nurse practitioners, physician assistants and other clinical staff that render bills for their servic</w:t>
      </w:r>
      <w:r>
        <w:rPr>
          <w:sz w:val="20"/>
          <w:szCs w:val="20"/>
        </w:rPr>
        <w:t>es), representing approximately 2,600 independent medical practices and hospitals. In addition, we served approximately 200 clients who were not medical practices, but are service organizations who serve the healthcare community. The foregoing numbers incl</w:t>
      </w:r>
      <w:r>
        <w:rPr>
          <w:sz w:val="20"/>
          <w:szCs w:val="20"/>
        </w:rPr>
        <w:t>ude clients leveraging any of our products or services and are based in part upon estimates in cases where the precise number of practices or providers is unknown.</w:t>
      </w:r>
    </w:p>
    <w:p w14:paraId="02DC1E6B" w14:textId="77777777" w:rsidR="00000000" w:rsidRDefault="009027A3">
      <w:pPr>
        <w:pStyle w:val="a3"/>
        <w:shd w:val="clear" w:color="auto" w:fill="FFFFFF"/>
        <w:spacing w:before="0" w:beforeAutospacing="0" w:after="0" w:afterAutospacing="0"/>
        <w:jc w:val="both"/>
        <w:rPr>
          <w:sz w:val="20"/>
          <w:szCs w:val="20"/>
        </w:rPr>
      </w:pPr>
      <w:r>
        <w:rPr>
          <w:b/>
          <w:bCs/>
          <w:sz w:val="20"/>
          <w:szCs w:val="20"/>
        </w:rPr>
        <w:t> </w:t>
      </w:r>
    </w:p>
    <w:p w14:paraId="5187A32C" w14:textId="77777777" w:rsidR="00000000" w:rsidRDefault="009027A3">
      <w:pPr>
        <w:pStyle w:val="a3"/>
        <w:shd w:val="clear" w:color="auto" w:fill="FFFFFF"/>
        <w:spacing w:before="0" w:beforeAutospacing="0" w:after="0" w:afterAutospacing="0"/>
        <w:jc w:val="both"/>
        <w:rPr>
          <w:sz w:val="20"/>
          <w:szCs w:val="20"/>
        </w:rPr>
      </w:pPr>
      <w:r>
        <w:rPr>
          <w:b/>
          <w:bCs/>
          <w:sz w:val="20"/>
          <w:szCs w:val="20"/>
        </w:rPr>
        <w:t>Sources of Revenue</w:t>
      </w:r>
    </w:p>
    <w:p w14:paraId="5B8BA095"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169C5D8E" w14:textId="77777777" w:rsidR="00000000" w:rsidRDefault="009027A3">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w:t>
      </w:r>
      <w:r>
        <w:rPr>
          <w:sz w:val="20"/>
          <w:szCs w:val="20"/>
        </w:rPr>
        <w:t>nt services and bundled services, reported in our Healthcare IT segment, which is typically billed as a percentage of payments collected by our customers. This fee includes RCM, as well as the ability to use our EHR and practice management software as part</w:t>
      </w:r>
      <w:r>
        <w:rPr>
          <w:sz w:val="20"/>
          <w:szCs w:val="20"/>
        </w:rPr>
        <w:t xml:space="preserve"> of the bundled fee. These bundled fees are included in revenue cycle management revenue. These services accounted for approximately 65% and 60% of our revenues during the three months ended March 31, 2021 and 2020, respectively. Software-as-a-service fees</w:t>
      </w:r>
      <w:r>
        <w:rPr>
          <w:sz w:val="20"/>
          <w:szCs w:val="20"/>
        </w:rPr>
        <w:t xml:space="preserve">, for clients not utilizing revenue cycle management services, accounted for approximately 18% and 17% of revenue during the three months ended March 31, 2021, and 2020, respectively. Other Healthcare IT services, including printing and mailing operations </w:t>
      </w:r>
      <w:r>
        <w:rPr>
          <w:sz w:val="20"/>
          <w:szCs w:val="20"/>
        </w:rPr>
        <w:t>and professional services, represented approximately 8% and 9% of revenu</w:t>
      </w:r>
      <w:r>
        <w:rPr>
          <w:color w:val="000000"/>
          <w:sz w:val="20"/>
          <w:szCs w:val="20"/>
        </w:rPr>
        <w:t>es for the three months ended March 31, 2021 and 2020, respectively.</w:t>
      </w:r>
    </w:p>
    <w:p w14:paraId="07BDD9D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95BE5DA" w14:textId="77777777" w:rsidR="00000000" w:rsidRDefault="009027A3">
      <w:pPr>
        <w:pStyle w:val="a3"/>
        <w:shd w:val="clear" w:color="auto" w:fill="FFFFFF"/>
        <w:spacing w:before="0" w:beforeAutospacing="0" w:after="0" w:afterAutospacing="0"/>
        <w:jc w:val="both"/>
        <w:rPr>
          <w:sz w:val="20"/>
          <w:szCs w:val="20"/>
        </w:rPr>
      </w:pPr>
      <w:r>
        <w:rPr>
          <w:sz w:val="20"/>
          <w:szCs w:val="20"/>
        </w:rPr>
        <w:t>We earned approximately 9% and 14% of our revenue from practice management services during the three months ended</w:t>
      </w:r>
      <w:r>
        <w:rPr>
          <w:sz w:val="20"/>
          <w:szCs w:val="20"/>
        </w:rPr>
        <w:t xml:space="preserve"> March 31, 2021 and 2020, respectively. This revenue represents fees based on our actual costs plus a percentage of the operating profit and is reported in our Practice Management segment.</w:t>
      </w:r>
    </w:p>
    <w:p w14:paraId="758DAB9E"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6FDBAEB" w14:textId="77777777" w:rsidR="00000000" w:rsidRDefault="009027A3">
      <w:pPr>
        <w:pStyle w:val="a3"/>
        <w:spacing w:before="0" w:beforeAutospacing="0" w:after="0" w:afterAutospacing="0"/>
        <w:jc w:val="both"/>
        <w:rPr>
          <w:sz w:val="20"/>
          <w:szCs w:val="20"/>
        </w:rPr>
      </w:pPr>
      <w:r>
        <w:rPr>
          <w:b/>
          <w:bCs/>
          <w:sz w:val="20"/>
          <w:szCs w:val="20"/>
        </w:rPr>
        <w:t>Operating Expenses</w:t>
      </w:r>
    </w:p>
    <w:p w14:paraId="5EF8A036" w14:textId="77777777" w:rsidR="00000000" w:rsidRDefault="009027A3">
      <w:pPr>
        <w:pStyle w:val="a3"/>
        <w:spacing w:before="0" w:beforeAutospacing="0" w:after="0" w:afterAutospacing="0"/>
        <w:jc w:val="both"/>
        <w:rPr>
          <w:sz w:val="20"/>
          <w:szCs w:val="20"/>
        </w:rPr>
      </w:pPr>
      <w:r>
        <w:rPr>
          <w:i/>
          <w:iCs/>
          <w:sz w:val="20"/>
          <w:szCs w:val="20"/>
        </w:rPr>
        <w:t> </w:t>
      </w:r>
    </w:p>
    <w:p w14:paraId="03272577" w14:textId="77777777" w:rsidR="00000000" w:rsidRDefault="009027A3">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w:t>
      </w:r>
      <w:r>
        <w:rPr>
          <w:sz w:val="20"/>
          <w:szCs w:val="20"/>
        </w:rPr>
        <w:t>t consists primarily of salaries and benefits related to personnel who provide services to our customers, claims processing costs, costs to operate the three managed practices, including facility lease costs, supplies, insurance and other direct costs rela</w:t>
      </w:r>
      <w:r>
        <w:rPr>
          <w:sz w:val="20"/>
          <w:szCs w:val="20"/>
        </w:rPr>
        <w:t>ted to our services. Costs associated with the implementation of new customers are expensed as incurred. The reported amounts of direct operating costs do not include depreciation and amortization, which are broken out separately in the condensed consolida</w:t>
      </w:r>
      <w:r>
        <w:rPr>
          <w:sz w:val="20"/>
          <w:szCs w:val="20"/>
        </w:rPr>
        <w:t>ted statements of operations.</w:t>
      </w:r>
    </w:p>
    <w:p w14:paraId="0FD504A6"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A20138B"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14:paraId="3B9AB807"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992BA30"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w:t>
      </w:r>
      <w:r>
        <w:rPr>
          <w:sz w:val="20"/>
          <w:szCs w:val="20"/>
        </w:rPr>
        <w:t>ense consists primarily of personnel-related expense for administrative employees, including compensation, benefits, travel, facility lease costs and insurance, software license fees and outside professional fees.</w:t>
      </w:r>
    </w:p>
    <w:p w14:paraId="4CFD8E84"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65137F1"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Research </w:t>
      </w:r>
      <w:r>
        <w:rPr>
          <w:i/>
          <w:iCs/>
          <w:sz w:val="20"/>
          <w:szCs w:val="20"/>
        </w:rPr>
        <w:t xml:space="preserve">and Development Expense. </w:t>
      </w:r>
      <w:r>
        <w:rPr>
          <w:sz w:val="20"/>
          <w:szCs w:val="20"/>
        </w:rPr>
        <w:t>Research and development expense consists primarily of personnel-related costs and third-party contractor costs.</w:t>
      </w:r>
    </w:p>
    <w:p w14:paraId="64DBF828"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65CC0E0A"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w:t>
      </w:r>
      <w:r>
        <w:rPr>
          <w:sz w:val="20"/>
          <w:szCs w:val="20"/>
        </w:rPr>
        <w:t xml:space="preserve"> some of our acquisitions, the amount of which is based on the achievement of defined performance measures contained in the purchase agreements. Contingent consideration is adjusted to fair value at the end of each reporting period.</w:t>
      </w:r>
      <w:r>
        <w:rPr>
          <w:sz w:val="20"/>
          <w:szCs w:val="20"/>
        </w:rPr>
        <w:tab/>
      </w:r>
    </w:p>
    <w:p w14:paraId="60438AF8"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A37372B" w14:textId="77777777" w:rsidR="00000000" w:rsidRDefault="009027A3">
      <w:pPr>
        <w:pStyle w:val="a3"/>
        <w:shd w:val="clear" w:color="auto" w:fill="FFFFFF"/>
        <w:spacing w:before="0" w:beforeAutospacing="0" w:after="0" w:afterAutospacing="0"/>
        <w:jc w:val="both"/>
        <w:rPr>
          <w:sz w:val="20"/>
          <w:szCs w:val="20"/>
        </w:rPr>
      </w:pPr>
      <w:r>
        <w:rPr>
          <w:i/>
          <w:iCs/>
          <w:sz w:val="20"/>
          <w:szCs w:val="20"/>
        </w:rPr>
        <w:t>Depreciation and Amo</w:t>
      </w:r>
      <w:r>
        <w:rPr>
          <w:i/>
          <w:iCs/>
          <w:sz w:val="20"/>
          <w:szCs w:val="20"/>
        </w:rPr>
        <w:t xml:space="preserve">rtization Expense. </w:t>
      </w:r>
      <w:r>
        <w:rPr>
          <w:sz w:val="20"/>
          <w:szCs w:val="20"/>
        </w:rPr>
        <w:t>Depreciation expense is charged using the straight-line method over the estimated lives of the assets ranging from three to five years. Amortization expense is charged on either an accelerated or on a straight-line basis over a period of</w:t>
      </w:r>
      <w:r>
        <w:rPr>
          <w:sz w:val="20"/>
          <w:szCs w:val="20"/>
        </w:rPr>
        <w:t xml:space="preserve"> three or four years for most intangible assets acquired in connection with acquisitions including those intangibles related to the group purchasing services. Amortization expense related to the value of our practice management clients is amortized on a st</w:t>
      </w:r>
      <w:r>
        <w:rPr>
          <w:sz w:val="20"/>
          <w:szCs w:val="20"/>
        </w:rPr>
        <w:t>raight-line basis over a period of twelve years.</w:t>
      </w:r>
    </w:p>
    <w:p w14:paraId="534C35C0"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2DB6EB61"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Impairment and Unoccupied Lease Charges. </w:t>
      </w:r>
      <w:r>
        <w:rPr>
          <w:sz w:val="20"/>
          <w:szCs w:val="20"/>
        </w:rPr>
        <w:t>Impairment charges represent charges recorded for a leased facility no longer being used by the Company and a non-cancellable vendor contract where the services are</w:t>
      </w:r>
      <w:r>
        <w:rPr>
          <w:sz w:val="20"/>
          <w:szCs w:val="20"/>
        </w:rPr>
        <w:t xml:space="preserve"> no longer being used. Unoccupied lease charges represent the portion of lease and related costs for vacant space not being utilized by the Company. The Company is marketing both the unused facility and the unused space for sub-lease.</w:t>
      </w:r>
    </w:p>
    <w:p w14:paraId="5D70BFE7"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97B3C0" w14:textId="77777777">
        <w:trPr>
          <w:divId w:val="807164158"/>
        </w:trPr>
        <w:tc>
          <w:tcPr>
            <w:tcW w:w="5000" w:type="pct"/>
            <w:hideMark/>
          </w:tcPr>
          <w:p w14:paraId="497EEEB0"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3C06753" w14:textId="77777777">
        <w:tc>
          <w:tcPr>
            <w:tcW w:w="5000" w:type="pct"/>
            <w:hideMark/>
          </w:tcPr>
          <w:p w14:paraId="47D7901C" w14:textId="77777777" w:rsidR="00000000" w:rsidRDefault="009027A3">
            <w:pPr>
              <w:rPr>
                <w:rFonts w:eastAsia="Times New Roman"/>
                <w:sz w:val="20"/>
                <w:szCs w:val="20"/>
              </w:rPr>
            </w:pPr>
            <w:r>
              <w:rPr>
                <w:rFonts w:eastAsia="Times New Roman"/>
                <w:sz w:val="20"/>
                <w:szCs w:val="20"/>
              </w:rPr>
              <w:t> </w:t>
            </w:r>
          </w:p>
        </w:tc>
      </w:tr>
    </w:tbl>
    <w:p w14:paraId="7748BD3B"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C9077B8"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Interest </w:t>
      </w:r>
      <w:r>
        <w:rPr>
          <w:i/>
          <w:iCs/>
          <w:sz w:val="20"/>
          <w:szCs w:val="20"/>
        </w:rPr>
        <w:t>and Other Income (Expense).</w:t>
      </w:r>
      <w:r>
        <w:rPr>
          <w:sz w:val="20"/>
          <w:szCs w:val="20"/>
        </w:rPr>
        <w:t xml:space="preserve"> Interest expense consists primarily of interest costs related to our line of credit, term loans and amounts due in connection with acquisitions, offset by interest income. Other income (expense) results primarily from foreign cu</w:t>
      </w:r>
      <w:r>
        <w:rPr>
          <w:sz w:val="20"/>
          <w:szCs w:val="20"/>
        </w:rPr>
        <w:t>rrency transaction gains (losses) and income earned from temporary cash investments.</w:t>
      </w:r>
    </w:p>
    <w:p w14:paraId="0D4DAE48"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823AADD" w14:textId="77777777" w:rsidR="00000000" w:rsidRDefault="009027A3">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process involve</w:t>
      </w:r>
      <w:r>
        <w:rPr>
          <w:sz w:val="20"/>
          <w:szCs w:val="20"/>
        </w:rPr>
        <w:t>s estimating actual current tax exposure together with assessing temporary differences resulting from differing treatment of items for tax and financial reporting purposes. These differences result in deferred income tax assets and liabilities. Although th</w:t>
      </w:r>
      <w:r>
        <w:rPr>
          <w:sz w:val="20"/>
          <w:szCs w:val="20"/>
        </w:rPr>
        <w:t>e Company is forecasting a return to profitability, it incurred losses historically and there is uncertainty regarding future U.S. taxable income, which makes realization of a deferred tax asset difficult to support in accordance with ASC 740. Accordingly,</w:t>
      </w:r>
      <w:r>
        <w:rPr>
          <w:sz w:val="20"/>
          <w:szCs w:val="20"/>
        </w:rPr>
        <w:t xml:space="preserve"> a valuation allowance has been recorded against all deferred tax assets as of March 31, 2021 and December 31, 2020.</w:t>
      </w:r>
    </w:p>
    <w:p w14:paraId="0B5ECEA8"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F2ACBF0" w14:textId="77777777" w:rsidR="00000000" w:rsidRDefault="009027A3">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37DE85E9"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6EC41FAC" w14:textId="77777777" w:rsidR="00000000" w:rsidRDefault="009027A3">
      <w:pPr>
        <w:pStyle w:val="a3"/>
        <w:spacing w:before="0" w:beforeAutospacing="0" w:after="0" w:afterAutospacing="0"/>
        <w:jc w:val="both"/>
        <w:rPr>
          <w:sz w:val="20"/>
          <w:szCs w:val="20"/>
        </w:rPr>
      </w:pPr>
      <w:r>
        <w:rPr>
          <w:sz w:val="20"/>
          <w:szCs w:val="20"/>
        </w:rPr>
        <w:t xml:space="preserve">The </w:t>
      </w:r>
      <w:r>
        <w:rPr>
          <w:sz w:val="20"/>
          <w:szCs w:val="20"/>
        </w:rPr>
        <w:t>critical accounting policies and estimates used in the preparation of our condensed consolidated financial statements that we believe affect our more significant judgments and estimates used in the preparation of our condensed consolidated financial statem</w:t>
      </w:r>
      <w:r>
        <w:rPr>
          <w:sz w:val="20"/>
          <w:szCs w:val="20"/>
        </w:rPr>
        <w:t>ents presented in this Report are described in Management’s Discussion and Analysis of Financial Condition and Results of Operations and in the Notes to the consolidated financial statements included in our Annual Report on Form 10-K for the year ended Dec</w:t>
      </w:r>
      <w:r>
        <w:rPr>
          <w:sz w:val="20"/>
          <w:szCs w:val="20"/>
        </w:rPr>
        <w:t>ember 31, 2020.</w:t>
      </w:r>
    </w:p>
    <w:p w14:paraId="74FFF621"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A923884" w14:textId="77777777" w:rsidR="00000000" w:rsidRDefault="009027A3">
      <w:pPr>
        <w:pStyle w:val="a3"/>
        <w:shd w:val="clear" w:color="auto" w:fill="FFFFFF"/>
        <w:spacing w:before="0" w:beforeAutospacing="0" w:after="0" w:afterAutospacing="0"/>
        <w:jc w:val="both"/>
        <w:rPr>
          <w:sz w:val="20"/>
          <w:szCs w:val="20"/>
        </w:rPr>
      </w:pPr>
      <w:r>
        <w:rPr>
          <w:i/>
          <w:iCs/>
          <w:sz w:val="20"/>
          <w:szCs w:val="20"/>
        </w:rPr>
        <w:t>Leases:</w:t>
      </w:r>
    </w:p>
    <w:p w14:paraId="768EE269"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6290DAC4" w14:textId="77777777" w:rsidR="00000000" w:rsidRDefault="009027A3">
      <w:pPr>
        <w:pStyle w:val="a3"/>
        <w:spacing w:before="0" w:beforeAutospacing="0" w:after="0" w:afterAutospacing="0"/>
        <w:jc w:val="both"/>
        <w:rPr>
          <w:sz w:val="20"/>
          <w:szCs w:val="20"/>
        </w:rPr>
      </w:pPr>
      <w:r>
        <w:rPr>
          <w:sz w:val="20"/>
          <w:szCs w:val="20"/>
        </w:rPr>
        <w:t>We determine if an arrangement is a lease at inception. Operating leases are included in operating lease right-of-use (“ROU”) assets, operating lease liability (current portion) and operating lease liability (noncurrent portion)</w:t>
      </w:r>
      <w:r>
        <w:rPr>
          <w:sz w:val="20"/>
          <w:szCs w:val="20"/>
        </w:rPr>
        <w:t xml:space="preserve"> in our condensed consolidated balance sheets at March 31, 2021 and December 31, 2020. The Company does not have any finance leases.</w:t>
      </w:r>
    </w:p>
    <w:p w14:paraId="6A257E85" w14:textId="77777777" w:rsidR="00000000" w:rsidRDefault="009027A3">
      <w:pPr>
        <w:pStyle w:val="a3"/>
        <w:spacing w:before="0" w:beforeAutospacing="0" w:after="0" w:afterAutospacing="0"/>
        <w:jc w:val="both"/>
        <w:rPr>
          <w:sz w:val="20"/>
          <w:szCs w:val="20"/>
        </w:rPr>
      </w:pPr>
      <w:r>
        <w:rPr>
          <w:sz w:val="20"/>
          <w:szCs w:val="20"/>
        </w:rPr>
        <w:t> </w:t>
      </w:r>
    </w:p>
    <w:p w14:paraId="3B73B50B" w14:textId="77777777" w:rsidR="00000000" w:rsidRDefault="009027A3">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w:t>
      </w:r>
      <w:r>
        <w:rPr>
          <w:sz w:val="20"/>
          <w:szCs w:val="20"/>
        </w:rPr>
        <w:t>on to make lease payments arising from the lease. ROU assets and liabilities are recognized at the lease commencement date based on the estimated present value of lease payments over the lease term.</w:t>
      </w:r>
    </w:p>
    <w:p w14:paraId="60F54315" w14:textId="77777777" w:rsidR="00000000" w:rsidRDefault="009027A3">
      <w:pPr>
        <w:pStyle w:val="a3"/>
        <w:spacing w:before="0" w:beforeAutospacing="0" w:after="0" w:afterAutospacing="0"/>
        <w:jc w:val="both"/>
        <w:rPr>
          <w:sz w:val="20"/>
          <w:szCs w:val="20"/>
        </w:rPr>
      </w:pPr>
      <w:r>
        <w:rPr>
          <w:sz w:val="20"/>
          <w:szCs w:val="20"/>
        </w:rPr>
        <w:t> </w:t>
      </w:r>
    </w:p>
    <w:p w14:paraId="3C1B5F89" w14:textId="77777777" w:rsidR="00000000" w:rsidRDefault="009027A3">
      <w:pPr>
        <w:pStyle w:val="a3"/>
        <w:spacing w:before="0" w:beforeAutospacing="0" w:after="0" w:afterAutospacing="0"/>
        <w:jc w:val="both"/>
        <w:rPr>
          <w:sz w:val="20"/>
          <w:szCs w:val="20"/>
        </w:rPr>
      </w:pPr>
      <w:r>
        <w:rPr>
          <w:sz w:val="20"/>
          <w:szCs w:val="20"/>
        </w:rPr>
        <w:t>We use our estimated incremental borrowing rates, which</w:t>
      </w:r>
      <w:r>
        <w:rPr>
          <w:sz w:val="20"/>
          <w:szCs w:val="20"/>
        </w:rPr>
        <w:t xml:space="preserve"> are derived from information available at the lease commencement date, in determining the present value of lease payments. We give consideration to bank financing arrangements, geographical location and collateralization of assets when calculating our inc</w:t>
      </w:r>
      <w:r>
        <w:rPr>
          <w:sz w:val="20"/>
          <w:szCs w:val="20"/>
        </w:rPr>
        <w:t>remental borrowing rates.</w:t>
      </w:r>
    </w:p>
    <w:p w14:paraId="012CDB9F" w14:textId="77777777" w:rsidR="00000000" w:rsidRDefault="009027A3">
      <w:pPr>
        <w:pStyle w:val="a3"/>
        <w:spacing w:before="0" w:beforeAutospacing="0" w:after="0" w:afterAutospacing="0"/>
        <w:jc w:val="both"/>
        <w:rPr>
          <w:sz w:val="20"/>
          <w:szCs w:val="20"/>
        </w:rPr>
      </w:pPr>
      <w:r>
        <w:rPr>
          <w:sz w:val="20"/>
          <w:szCs w:val="20"/>
        </w:rPr>
        <w:t> </w:t>
      </w:r>
    </w:p>
    <w:p w14:paraId="30F215DD" w14:textId="77777777" w:rsidR="00000000" w:rsidRDefault="009027A3">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that option. Leases with a term of less than 12 months are not recorded in the condensed consolidated balance sheet. Our lea</w:t>
      </w:r>
      <w:r>
        <w:rPr>
          <w:sz w:val="20"/>
          <w:szCs w:val="20"/>
        </w:rPr>
        <w:t>se agreements do not contain any residual value guarantees. For real estate leases, we account for the leased and non-leased components as a single lease component. Some leases include escalation clauses and termination options that are factored into the d</w:t>
      </w:r>
      <w:r>
        <w:rPr>
          <w:sz w:val="20"/>
          <w:szCs w:val="20"/>
        </w:rPr>
        <w:t>etermination of the future lease payments when appropriate.</w:t>
      </w:r>
    </w:p>
    <w:p w14:paraId="523D947B" w14:textId="77777777" w:rsidR="00000000" w:rsidRDefault="009027A3">
      <w:pPr>
        <w:pStyle w:val="a3"/>
        <w:spacing w:before="0" w:beforeAutospacing="0" w:after="0" w:afterAutospacing="0"/>
        <w:jc w:val="both"/>
        <w:rPr>
          <w:sz w:val="20"/>
          <w:szCs w:val="20"/>
        </w:rPr>
      </w:pPr>
      <w:r>
        <w:rPr>
          <w:sz w:val="20"/>
          <w:szCs w:val="20"/>
        </w:rPr>
        <w:t> </w:t>
      </w:r>
    </w:p>
    <w:p w14:paraId="1F7605D2" w14:textId="77777777" w:rsidR="00000000" w:rsidRDefault="009027A3">
      <w:pPr>
        <w:pStyle w:val="a3"/>
        <w:spacing w:before="0" w:beforeAutospacing="0" w:after="0" w:afterAutospacing="0"/>
        <w:rPr>
          <w:sz w:val="20"/>
          <w:szCs w:val="20"/>
        </w:rPr>
      </w:pPr>
      <w:r>
        <w:rPr>
          <w:i/>
          <w:iCs/>
          <w:sz w:val="20"/>
          <w:szCs w:val="20"/>
        </w:rPr>
        <w:t>Capitalized software costs</w:t>
      </w:r>
      <w:r>
        <w:rPr>
          <w:sz w:val="20"/>
          <w:szCs w:val="20"/>
        </w:rPr>
        <w:t>:</w:t>
      </w:r>
    </w:p>
    <w:p w14:paraId="0DC9FDE4" w14:textId="77777777" w:rsidR="00000000" w:rsidRDefault="009027A3">
      <w:pPr>
        <w:pStyle w:val="a3"/>
        <w:spacing w:before="0" w:beforeAutospacing="0" w:after="0" w:afterAutospacing="0"/>
        <w:rPr>
          <w:sz w:val="20"/>
          <w:szCs w:val="20"/>
        </w:rPr>
      </w:pPr>
      <w:r>
        <w:rPr>
          <w:sz w:val="20"/>
          <w:szCs w:val="20"/>
        </w:rPr>
        <w:t> </w:t>
      </w:r>
    </w:p>
    <w:p w14:paraId="191DDAF0" w14:textId="77777777" w:rsidR="00000000" w:rsidRDefault="009027A3">
      <w:pPr>
        <w:pStyle w:val="a3"/>
        <w:spacing w:before="0" w:beforeAutospacing="0" w:after="0" w:afterAutospacing="0"/>
        <w:jc w:val="both"/>
        <w:rPr>
          <w:sz w:val="20"/>
          <w:szCs w:val="20"/>
        </w:rPr>
      </w:pPr>
      <w:r>
        <w:rPr>
          <w:sz w:val="20"/>
          <w:szCs w:val="20"/>
        </w:rPr>
        <w:t>All of our software is considered internal use for accounting purposes, as we do not market or sell our software. As a result, we capitalize certain costs associate</w:t>
      </w:r>
      <w:r>
        <w:rPr>
          <w:sz w:val="20"/>
          <w:szCs w:val="20"/>
        </w:rPr>
        <w:t>d with the creation of internally-developed software for internal use. The total of these costs is recorded in Intangible assets - net in our condensed consolidated balance sheets.</w:t>
      </w:r>
    </w:p>
    <w:p w14:paraId="2964EB20" w14:textId="77777777" w:rsidR="00000000" w:rsidRDefault="009027A3">
      <w:pPr>
        <w:pStyle w:val="a3"/>
        <w:spacing w:before="0" w:beforeAutospacing="0" w:after="0" w:afterAutospacing="0"/>
        <w:jc w:val="both"/>
        <w:rPr>
          <w:sz w:val="20"/>
          <w:szCs w:val="20"/>
        </w:rPr>
      </w:pPr>
      <w:r>
        <w:rPr>
          <w:sz w:val="20"/>
          <w:szCs w:val="20"/>
        </w:rPr>
        <w:t> </w:t>
      </w:r>
    </w:p>
    <w:p w14:paraId="1F9CFE79" w14:textId="77777777" w:rsidR="00000000" w:rsidRDefault="009027A3">
      <w:pPr>
        <w:pStyle w:val="a3"/>
        <w:spacing w:before="0" w:beforeAutospacing="0" w:after="0" w:afterAutospacing="0"/>
        <w:jc w:val="both"/>
        <w:rPr>
          <w:sz w:val="20"/>
          <w:szCs w:val="20"/>
        </w:rPr>
      </w:pPr>
      <w:r>
        <w:rPr>
          <w:sz w:val="20"/>
          <w:szCs w:val="20"/>
        </w:rPr>
        <w:t>We capitalized costs incurred during the application development stage re</w:t>
      </w:r>
      <w:r>
        <w:rPr>
          <w:sz w:val="20"/>
          <w:szCs w:val="20"/>
        </w:rPr>
        <w:t>lated to our internal use software. Costs incurred during the application development phase are capitalized only when we believe it is probable that the development will result in new or additional functionality. The types of costs capitalized during the a</w:t>
      </w:r>
      <w:r>
        <w:rPr>
          <w:sz w:val="20"/>
          <w:szCs w:val="20"/>
        </w:rPr>
        <w:t>pplication development phase consist of employee compensation, employee benefits and employee stock- based compensation. Costs related to the preliminary project stage and post-implementation activities are expensed as incurred. Capitalized internal-use so</w:t>
      </w:r>
      <w:r>
        <w:rPr>
          <w:sz w:val="20"/>
          <w:szCs w:val="20"/>
        </w:rPr>
        <w:t>ftware is amortized on a straight-line basis over its estimated useful life when the asset has been placed in service for general availability.</w:t>
      </w:r>
    </w:p>
    <w:p w14:paraId="64DB253F"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F739B4" w14:textId="77777777">
        <w:trPr>
          <w:divId w:val="1483615305"/>
        </w:trPr>
        <w:tc>
          <w:tcPr>
            <w:tcW w:w="5000" w:type="pct"/>
            <w:hideMark/>
          </w:tcPr>
          <w:p w14:paraId="4630D20E"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10ED92A9" w14:textId="77777777">
        <w:tc>
          <w:tcPr>
            <w:tcW w:w="5000" w:type="pct"/>
            <w:hideMark/>
          </w:tcPr>
          <w:p w14:paraId="7C6D8754" w14:textId="77777777" w:rsidR="00000000" w:rsidRDefault="009027A3">
            <w:pPr>
              <w:rPr>
                <w:rFonts w:eastAsia="Times New Roman"/>
                <w:sz w:val="20"/>
                <w:szCs w:val="20"/>
              </w:rPr>
            </w:pPr>
            <w:r>
              <w:rPr>
                <w:rFonts w:eastAsia="Times New Roman"/>
                <w:sz w:val="20"/>
                <w:szCs w:val="20"/>
              </w:rPr>
              <w:t> </w:t>
            </w:r>
          </w:p>
        </w:tc>
      </w:tr>
    </w:tbl>
    <w:p w14:paraId="05201BAA" w14:textId="77777777" w:rsidR="00000000" w:rsidRDefault="009027A3">
      <w:pPr>
        <w:pStyle w:val="a3"/>
        <w:spacing w:before="0" w:beforeAutospacing="0" w:after="0" w:afterAutospacing="0"/>
        <w:jc w:val="both"/>
        <w:rPr>
          <w:sz w:val="20"/>
          <w:szCs w:val="20"/>
        </w:rPr>
      </w:pPr>
      <w:r>
        <w:rPr>
          <w:sz w:val="20"/>
          <w:szCs w:val="20"/>
        </w:rPr>
        <w:t> </w:t>
      </w:r>
    </w:p>
    <w:p w14:paraId="3BD1FA10" w14:textId="77777777" w:rsidR="00000000" w:rsidRDefault="009027A3">
      <w:pPr>
        <w:pStyle w:val="a3"/>
        <w:spacing w:before="0" w:beforeAutospacing="0" w:after="0" w:afterAutospacing="0"/>
        <w:jc w:val="both"/>
        <w:rPr>
          <w:sz w:val="20"/>
          <w:szCs w:val="20"/>
        </w:rPr>
      </w:pPr>
      <w:r>
        <w:rPr>
          <w:sz w:val="20"/>
          <w:szCs w:val="20"/>
        </w:rPr>
        <w:t xml:space="preserve">Significant </w:t>
      </w:r>
      <w:r>
        <w:rPr>
          <w:sz w:val="20"/>
          <w:szCs w:val="20"/>
        </w:rPr>
        <w:t>judgments related to internally-developed software include determining whether it is probable that projects will result in new or additional functionality; concluding on when the application development phase starts and ends; and deciding which costs, espe</w:t>
      </w:r>
      <w:r>
        <w:rPr>
          <w:sz w:val="20"/>
          <w:szCs w:val="20"/>
        </w:rPr>
        <w:t>cially employee compensation costs, should be capitalized. Additionally, there is judgment applied to the useful lives of capitalized software; we have concluded that the useful lives for capitalized internally-developed software is three years.</w:t>
      </w:r>
    </w:p>
    <w:p w14:paraId="0172FF39" w14:textId="77777777" w:rsidR="00000000" w:rsidRDefault="009027A3">
      <w:pPr>
        <w:pStyle w:val="a3"/>
        <w:spacing w:before="0" w:beforeAutospacing="0" w:after="0" w:afterAutospacing="0"/>
        <w:jc w:val="both"/>
        <w:rPr>
          <w:sz w:val="20"/>
          <w:szCs w:val="20"/>
        </w:rPr>
      </w:pPr>
      <w:r>
        <w:rPr>
          <w:sz w:val="20"/>
          <w:szCs w:val="20"/>
        </w:rPr>
        <w:t> </w:t>
      </w:r>
    </w:p>
    <w:p w14:paraId="33B5E528" w14:textId="77777777" w:rsidR="00000000" w:rsidRDefault="009027A3">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14:paraId="6424F2E4" w14:textId="77777777" w:rsidR="00000000" w:rsidRDefault="009027A3">
      <w:pPr>
        <w:pStyle w:val="a3"/>
        <w:spacing w:before="0" w:beforeAutospacing="0" w:after="0" w:afterAutospacing="0"/>
        <w:jc w:val="both"/>
        <w:rPr>
          <w:sz w:val="20"/>
          <w:szCs w:val="20"/>
        </w:rPr>
      </w:pPr>
      <w:r>
        <w:rPr>
          <w:sz w:val="20"/>
          <w:szCs w:val="20"/>
        </w:rPr>
        <w:t> </w:t>
      </w:r>
    </w:p>
    <w:p w14:paraId="7887057B" w14:textId="77777777" w:rsidR="00000000" w:rsidRDefault="009027A3">
      <w:pPr>
        <w:pStyle w:val="a3"/>
        <w:spacing w:before="0" w:beforeAutospacing="0" w:after="0" w:afterAutospacing="0"/>
        <w:jc w:val="both"/>
        <w:rPr>
          <w:sz w:val="20"/>
          <w:szCs w:val="20"/>
        </w:rPr>
      </w:pPr>
      <w:r>
        <w:rPr>
          <w:sz w:val="20"/>
          <w:szCs w:val="20"/>
        </w:rPr>
        <w:t>As of March 31, 2021 and December 31, 2020, the carrying amounts of internally-developed capitalized software was $6.8 m</w:t>
      </w:r>
      <w:r>
        <w:rPr>
          <w:sz w:val="20"/>
          <w:szCs w:val="20"/>
        </w:rPr>
        <w:t>illion and $5.5 million, respectively. The increase in the capitalized software costs represents the continued investment in proprietary technology.</w:t>
      </w:r>
    </w:p>
    <w:p w14:paraId="6EEA3060"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294EB3E9" w14:textId="77777777" w:rsidR="00000000" w:rsidRDefault="009027A3">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w:t>
      </w:r>
      <w:r>
        <w:rPr>
          <w:sz w:val="20"/>
          <w:szCs w:val="20"/>
        </w:rPr>
        <w:t>d in the Management’s Discussion and Analysis of Financial Condition and Results of Operations, included in our Annual Report on Form 10-K for the year ended December 31, 2020, filed with the SEC on February 25, 2021.</w:t>
      </w:r>
    </w:p>
    <w:p w14:paraId="4B58ADD0" w14:textId="77777777" w:rsidR="00000000" w:rsidRDefault="009027A3">
      <w:pPr>
        <w:pStyle w:val="a3"/>
        <w:shd w:val="clear" w:color="auto" w:fill="FFFFFF"/>
        <w:spacing w:before="0" w:beforeAutospacing="0" w:after="0" w:afterAutospacing="0"/>
        <w:jc w:val="both"/>
        <w:rPr>
          <w:sz w:val="20"/>
          <w:szCs w:val="20"/>
        </w:rPr>
      </w:pPr>
      <w:r>
        <w:rPr>
          <w:b/>
          <w:bCs/>
          <w:sz w:val="20"/>
          <w:szCs w:val="20"/>
        </w:rPr>
        <w:t> </w:t>
      </w:r>
    </w:p>
    <w:p w14:paraId="2410D8EF" w14:textId="77777777" w:rsidR="00000000" w:rsidRDefault="009027A3">
      <w:pPr>
        <w:pStyle w:val="a3"/>
        <w:shd w:val="clear" w:color="auto" w:fill="FFFFFF"/>
        <w:spacing w:before="0" w:beforeAutospacing="0" w:after="0" w:afterAutospacing="0"/>
        <w:jc w:val="both"/>
        <w:rPr>
          <w:sz w:val="20"/>
          <w:szCs w:val="20"/>
        </w:rPr>
      </w:pPr>
      <w:r>
        <w:rPr>
          <w:b/>
          <w:bCs/>
          <w:sz w:val="20"/>
          <w:szCs w:val="20"/>
        </w:rPr>
        <w:t>Results of Operations</w:t>
      </w:r>
    </w:p>
    <w:p w14:paraId="355F1088" w14:textId="77777777" w:rsidR="00000000" w:rsidRDefault="009027A3">
      <w:pPr>
        <w:pStyle w:val="a3"/>
        <w:shd w:val="clear" w:color="auto" w:fill="FFFFFF"/>
        <w:spacing w:before="0" w:beforeAutospacing="0" w:after="0" w:afterAutospacing="0"/>
        <w:jc w:val="both"/>
        <w:rPr>
          <w:sz w:val="20"/>
          <w:szCs w:val="20"/>
        </w:rPr>
      </w:pPr>
      <w:r>
        <w:rPr>
          <w:b/>
          <w:bCs/>
          <w:sz w:val="20"/>
          <w:szCs w:val="20"/>
        </w:rPr>
        <w:t> </w:t>
      </w:r>
    </w:p>
    <w:p w14:paraId="1B0A04BB" w14:textId="77777777" w:rsidR="00000000" w:rsidRDefault="009027A3">
      <w:pPr>
        <w:pStyle w:val="a3"/>
        <w:spacing w:before="0" w:beforeAutospacing="0" w:after="0" w:afterAutospacing="0"/>
        <w:jc w:val="both"/>
        <w:rPr>
          <w:sz w:val="20"/>
          <w:szCs w:val="20"/>
        </w:rPr>
      </w:pPr>
      <w:r>
        <w:rPr>
          <w:sz w:val="20"/>
          <w:szCs w:val="20"/>
        </w:rPr>
        <w:t>The followin</w:t>
      </w:r>
      <w:r>
        <w:rPr>
          <w:sz w:val="20"/>
          <w:szCs w:val="20"/>
        </w:rPr>
        <w:t>g table sets forth our consolidated results of operations as a percentage of total revenue for the periods shown:</w:t>
      </w:r>
    </w:p>
    <w:p w14:paraId="6A642CC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40"/>
        <w:gridCol w:w="123"/>
        <w:gridCol w:w="50"/>
        <w:gridCol w:w="1276"/>
        <w:gridCol w:w="234"/>
        <w:gridCol w:w="123"/>
        <w:gridCol w:w="50"/>
        <w:gridCol w:w="1276"/>
        <w:gridCol w:w="234"/>
      </w:tblGrid>
      <w:tr w:rsidR="00000000" w14:paraId="309F0409" w14:textId="77777777">
        <w:tc>
          <w:tcPr>
            <w:tcW w:w="0" w:type="auto"/>
            <w:vAlign w:val="bottom"/>
            <w:hideMark/>
          </w:tcPr>
          <w:p w14:paraId="2017E7D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0266A30"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CC4A507"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4EFBE578" w14:textId="77777777" w:rsidR="00000000" w:rsidRDefault="009027A3">
            <w:pPr>
              <w:rPr>
                <w:rFonts w:eastAsia="Times New Roman"/>
                <w:b/>
                <w:bCs/>
                <w:sz w:val="20"/>
                <w:szCs w:val="20"/>
              </w:rPr>
            </w:pPr>
            <w:r>
              <w:rPr>
                <w:rFonts w:eastAsia="Times New Roman"/>
                <w:b/>
                <w:bCs/>
                <w:sz w:val="20"/>
                <w:szCs w:val="20"/>
              </w:rPr>
              <w:t> </w:t>
            </w:r>
          </w:p>
        </w:tc>
      </w:tr>
      <w:tr w:rsidR="00000000" w14:paraId="5175BEB4" w14:textId="77777777">
        <w:tc>
          <w:tcPr>
            <w:tcW w:w="0" w:type="auto"/>
            <w:vAlign w:val="bottom"/>
            <w:hideMark/>
          </w:tcPr>
          <w:p w14:paraId="5F6AA622"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745087"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420D48"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7044C82"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AF810C3"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A7D425"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68257FA" w14:textId="77777777" w:rsidR="00000000" w:rsidRDefault="009027A3">
            <w:pPr>
              <w:rPr>
                <w:rFonts w:eastAsia="Times New Roman"/>
                <w:b/>
                <w:bCs/>
                <w:sz w:val="20"/>
                <w:szCs w:val="20"/>
              </w:rPr>
            </w:pPr>
            <w:r>
              <w:rPr>
                <w:rFonts w:eastAsia="Times New Roman"/>
                <w:b/>
                <w:bCs/>
                <w:sz w:val="20"/>
                <w:szCs w:val="20"/>
              </w:rPr>
              <w:t> </w:t>
            </w:r>
          </w:p>
        </w:tc>
      </w:tr>
      <w:tr w:rsidR="00000000" w14:paraId="58180573" w14:textId="77777777">
        <w:tc>
          <w:tcPr>
            <w:tcW w:w="3000" w:type="pct"/>
            <w:shd w:val="clear" w:color="auto" w:fill="CCEEFF"/>
            <w:vAlign w:val="bottom"/>
            <w:hideMark/>
          </w:tcPr>
          <w:p w14:paraId="2D21D1AA" w14:textId="77777777" w:rsidR="00000000" w:rsidRDefault="009027A3">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05752B2C"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05E43D" w14:textId="77777777" w:rsidR="00000000" w:rsidRDefault="009027A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C11ED46" w14:textId="77777777" w:rsidR="00000000" w:rsidRDefault="009027A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46C86CAC"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11FDDEF3"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5EC94C" w14:textId="77777777" w:rsidR="00000000" w:rsidRDefault="009027A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65D4B36" w14:textId="77777777" w:rsidR="00000000" w:rsidRDefault="009027A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741B5851" w14:textId="77777777" w:rsidR="00000000" w:rsidRDefault="009027A3">
            <w:pPr>
              <w:rPr>
                <w:rFonts w:eastAsia="Times New Roman"/>
                <w:sz w:val="20"/>
                <w:szCs w:val="20"/>
              </w:rPr>
            </w:pPr>
            <w:r>
              <w:rPr>
                <w:rFonts w:eastAsia="Times New Roman"/>
                <w:sz w:val="20"/>
                <w:szCs w:val="20"/>
              </w:rPr>
              <w:t>%</w:t>
            </w:r>
          </w:p>
        </w:tc>
      </w:tr>
      <w:tr w:rsidR="00000000" w14:paraId="130300AF" w14:textId="77777777">
        <w:tc>
          <w:tcPr>
            <w:tcW w:w="0" w:type="auto"/>
            <w:shd w:val="clear" w:color="auto" w:fill="FFFFFF"/>
            <w:vAlign w:val="bottom"/>
            <w:hideMark/>
          </w:tcPr>
          <w:p w14:paraId="2C95E784" w14:textId="77777777" w:rsidR="00000000" w:rsidRDefault="009027A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0DDF8B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F83B9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13EF1E"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C9401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ADA0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8CF6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695F7C"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80F34F" w14:textId="77777777" w:rsidR="00000000" w:rsidRDefault="009027A3">
            <w:pPr>
              <w:rPr>
                <w:rFonts w:eastAsia="Times New Roman"/>
                <w:sz w:val="20"/>
                <w:szCs w:val="20"/>
              </w:rPr>
            </w:pPr>
            <w:r>
              <w:rPr>
                <w:rFonts w:eastAsia="Times New Roman"/>
                <w:sz w:val="20"/>
                <w:szCs w:val="20"/>
              </w:rPr>
              <w:t> </w:t>
            </w:r>
          </w:p>
        </w:tc>
      </w:tr>
      <w:tr w:rsidR="00000000" w14:paraId="1350A7DB" w14:textId="77777777">
        <w:tc>
          <w:tcPr>
            <w:tcW w:w="0" w:type="auto"/>
            <w:shd w:val="clear" w:color="auto" w:fill="CCEEFF"/>
            <w:tcMar>
              <w:top w:w="0" w:type="dxa"/>
              <w:left w:w="200" w:type="dxa"/>
              <w:bottom w:w="0" w:type="dxa"/>
              <w:right w:w="0" w:type="dxa"/>
            </w:tcMar>
            <w:vAlign w:val="bottom"/>
            <w:hideMark/>
          </w:tcPr>
          <w:p w14:paraId="753DEB06" w14:textId="77777777" w:rsidR="00000000" w:rsidRDefault="009027A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636E40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C1A1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26F40" w14:textId="77777777" w:rsidR="00000000" w:rsidRDefault="009027A3">
            <w:pPr>
              <w:jc w:val="right"/>
              <w:rPr>
                <w:rFonts w:eastAsia="Times New Roman"/>
                <w:sz w:val="20"/>
                <w:szCs w:val="20"/>
              </w:rPr>
            </w:pPr>
            <w:r>
              <w:rPr>
                <w:rFonts w:eastAsia="Times New Roman"/>
                <w:sz w:val="20"/>
                <w:szCs w:val="20"/>
              </w:rPr>
              <w:t>60.7</w:t>
            </w:r>
          </w:p>
        </w:tc>
        <w:tc>
          <w:tcPr>
            <w:tcW w:w="0" w:type="auto"/>
            <w:shd w:val="clear" w:color="auto" w:fill="CCEEFF"/>
            <w:vAlign w:val="bottom"/>
            <w:hideMark/>
          </w:tcPr>
          <w:p w14:paraId="5DB2C43D"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2E1F37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B51B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AA875" w14:textId="77777777" w:rsidR="00000000" w:rsidRDefault="009027A3">
            <w:pPr>
              <w:jc w:val="right"/>
              <w:rPr>
                <w:rFonts w:eastAsia="Times New Roman"/>
                <w:sz w:val="20"/>
                <w:szCs w:val="20"/>
              </w:rPr>
            </w:pPr>
            <w:r>
              <w:rPr>
                <w:rFonts w:eastAsia="Times New Roman"/>
                <w:sz w:val="20"/>
                <w:szCs w:val="20"/>
              </w:rPr>
              <w:t>62.0</w:t>
            </w:r>
          </w:p>
        </w:tc>
        <w:tc>
          <w:tcPr>
            <w:tcW w:w="0" w:type="auto"/>
            <w:shd w:val="clear" w:color="auto" w:fill="CCEEFF"/>
            <w:vAlign w:val="bottom"/>
            <w:hideMark/>
          </w:tcPr>
          <w:p w14:paraId="4FCD555D" w14:textId="77777777" w:rsidR="00000000" w:rsidRDefault="009027A3">
            <w:pPr>
              <w:rPr>
                <w:rFonts w:eastAsia="Times New Roman"/>
                <w:sz w:val="20"/>
                <w:szCs w:val="20"/>
              </w:rPr>
            </w:pPr>
            <w:r>
              <w:rPr>
                <w:rFonts w:eastAsia="Times New Roman"/>
                <w:sz w:val="20"/>
                <w:szCs w:val="20"/>
              </w:rPr>
              <w:t>%</w:t>
            </w:r>
          </w:p>
        </w:tc>
      </w:tr>
      <w:tr w:rsidR="00000000" w14:paraId="4D8C92FF" w14:textId="77777777">
        <w:tc>
          <w:tcPr>
            <w:tcW w:w="0" w:type="auto"/>
            <w:shd w:val="clear" w:color="auto" w:fill="FFFFFF"/>
            <w:tcMar>
              <w:top w:w="0" w:type="dxa"/>
              <w:left w:w="200" w:type="dxa"/>
              <w:bottom w:w="0" w:type="dxa"/>
              <w:right w:w="0" w:type="dxa"/>
            </w:tcMar>
            <w:vAlign w:val="bottom"/>
            <w:hideMark/>
          </w:tcPr>
          <w:p w14:paraId="18443296"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0B55568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5F93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6DAAC" w14:textId="77777777" w:rsidR="00000000" w:rsidRDefault="009027A3">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14:paraId="1E4FBF98"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475EC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18E6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FDC9B" w14:textId="77777777" w:rsidR="00000000" w:rsidRDefault="009027A3">
            <w:pPr>
              <w:jc w:val="right"/>
              <w:rPr>
                <w:rFonts w:eastAsia="Times New Roman"/>
                <w:sz w:val="20"/>
                <w:szCs w:val="20"/>
              </w:rPr>
            </w:pPr>
            <w:r>
              <w:rPr>
                <w:rFonts w:eastAsia="Times New Roman"/>
                <w:sz w:val="20"/>
                <w:szCs w:val="20"/>
              </w:rPr>
              <w:t>7.2</w:t>
            </w:r>
          </w:p>
        </w:tc>
        <w:tc>
          <w:tcPr>
            <w:tcW w:w="0" w:type="auto"/>
            <w:shd w:val="clear" w:color="auto" w:fill="FFFFFF"/>
            <w:vAlign w:val="bottom"/>
            <w:hideMark/>
          </w:tcPr>
          <w:p w14:paraId="3FEEF728" w14:textId="77777777" w:rsidR="00000000" w:rsidRDefault="009027A3">
            <w:pPr>
              <w:rPr>
                <w:rFonts w:eastAsia="Times New Roman"/>
                <w:sz w:val="20"/>
                <w:szCs w:val="20"/>
              </w:rPr>
            </w:pPr>
            <w:r>
              <w:rPr>
                <w:rFonts w:eastAsia="Times New Roman"/>
                <w:sz w:val="20"/>
                <w:szCs w:val="20"/>
              </w:rPr>
              <w:t>%</w:t>
            </w:r>
          </w:p>
        </w:tc>
      </w:tr>
      <w:tr w:rsidR="00000000" w14:paraId="40962CC5" w14:textId="77777777">
        <w:tc>
          <w:tcPr>
            <w:tcW w:w="0" w:type="auto"/>
            <w:shd w:val="clear" w:color="auto" w:fill="CCEEFF"/>
            <w:tcMar>
              <w:top w:w="0" w:type="dxa"/>
              <w:left w:w="200" w:type="dxa"/>
              <w:bottom w:w="0" w:type="dxa"/>
              <w:right w:w="0" w:type="dxa"/>
            </w:tcMar>
            <w:vAlign w:val="bottom"/>
            <w:hideMark/>
          </w:tcPr>
          <w:p w14:paraId="24F015D5"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2982540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DC37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FA369" w14:textId="77777777" w:rsidR="00000000" w:rsidRDefault="009027A3">
            <w:pPr>
              <w:jc w:val="right"/>
              <w:rPr>
                <w:rFonts w:eastAsia="Times New Roman"/>
                <w:sz w:val="20"/>
                <w:szCs w:val="20"/>
              </w:rPr>
            </w:pPr>
            <w:r>
              <w:rPr>
                <w:rFonts w:eastAsia="Times New Roman"/>
                <w:sz w:val="20"/>
                <w:szCs w:val="20"/>
              </w:rPr>
              <w:t>18.9</w:t>
            </w:r>
          </w:p>
        </w:tc>
        <w:tc>
          <w:tcPr>
            <w:tcW w:w="0" w:type="auto"/>
            <w:shd w:val="clear" w:color="auto" w:fill="CCEEFF"/>
            <w:vAlign w:val="bottom"/>
            <w:hideMark/>
          </w:tcPr>
          <w:p w14:paraId="444CD96C"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533DDBC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4349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021E2F" w14:textId="77777777" w:rsidR="00000000" w:rsidRDefault="009027A3">
            <w:pPr>
              <w:jc w:val="right"/>
              <w:rPr>
                <w:rFonts w:eastAsia="Times New Roman"/>
                <w:sz w:val="20"/>
                <w:szCs w:val="20"/>
              </w:rPr>
            </w:pPr>
            <w:r>
              <w:rPr>
                <w:rFonts w:eastAsia="Times New Roman"/>
                <w:sz w:val="20"/>
                <w:szCs w:val="20"/>
              </w:rPr>
              <w:t>25.6</w:t>
            </w:r>
          </w:p>
        </w:tc>
        <w:tc>
          <w:tcPr>
            <w:tcW w:w="0" w:type="auto"/>
            <w:shd w:val="clear" w:color="auto" w:fill="CCEEFF"/>
            <w:vAlign w:val="bottom"/>
            <w:hideMark/>
          </w:tcPr>
          <w:p w14:paraId="534CB3AF" w14:textId="77777777" w:rsidR="00000000" w:rsidRDefault="009027A3">
            <w:pPr>
              <w:rPr>
                <w:rFonts w:eastAsia="Times New Roman"/>
                <w:sz w:val="20"/>
                <w:szCs w:val="20"/>
              </w:rPr>
            </w:pPr>
            <w:r>
              <w:rPr>
                <w:rFonts w:eastAsia="Times New Roman"/>
                <w:sz w:val="20"/>
                <w:szCs w:val="20"/>
              </w:rPr>
              <w:t>%</w:t>
            </w:r>
          </w:p>
        </w:tc>
      </w:tr>
      <w:tr w:rsidR="00000000" w14:paraId="3CA43694" w14:textId="77777777">
        <w:tc>
          <w:tcPr>
            <w:tcW w:w="0" w:type="auto"/>
            <w:shd w:val="clear" w:color="auto" w:fill="FFFFFF"/>
            <w:tcMar>
              <w:top w:w="0" w:type="dxa"/>
              <w:left w:w="200" w:type="dxa"/>
              <w:bottom w:w="0" w:type="dxa"/>
              <w:right w:w="0" w:type="dxa"/>
            </w:tcMar>
            <w:vAlign w:val="bottom"/>
            <w:hideMark/>
          </w:tcPr>
          <w:p w14:paraId="5C40667E"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2DA8E35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551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EA2A5" w14:textId="77777777" w:rsidR="00000000" w:rsidRDefault="009027A3">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14:paraId="0BA24938"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6BDFA27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78C4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CBDA3" w14:textId="77777777" w:rsidR="00000000" w:rsidRDefault="009027A3">
            <w:pPr>
              <w:jc w:val="right"/>
              <w:rPr>
                <w:rFonts w:eastAsia="Times New Roman"/>
                <w:sz w:val="20"/>
                <w:szCs w:val="20"/>
              </w:rPr>
            </w:pPr>
            <w:r>
              <w:rPr>
                <w:rFonts w:eastAsia="Times New Roman"/>
                <w:sz w:val="20"/>
                <w:szCs w:val="20"/>
              </w:rPr>
              <w:t>10.7</w:t>
            </w:r>
          </w:p>
        </w:tc>
        <w:tc>
          <w:tcPr>
            <w:tcW w:w="0" w:type="auto"/>
            <w:shd w:val="clear" w:color="auto" w:fill="FFFFFF"/>
            <w:vAlign w:val="bottom"/>
            <w:hideMark/>
          </w:tcPr>
          <w:p w14:paraId="3483BADB" w14:textId="77777777" w:rsidR="00000000" w:rsidRDefault="009027A3">
            <w:pPr>
              <w:rPr>
                <w:rFonts w:eastAsia="Times New Roman"/>
                <w:sz w:val="20"/>
                <w:szCs w:val="20"/>
              </w:rPr>
            </w:pPr>
            <w:r>
              <w:rPr>
                <w:rFonts w:eastAsia="Times New Roman"/>
                <w:sz w:val="20"/>
                <w:szCs w:val="20"/>
              </w:rPr>
              <w:t>%</w:t>
            </w:r>
          </w:p>
        </w:tc>
      </w:tr>
      <w:tr w:rsidR="00000000" w14:paraId="2B7A1789" w14:textId="77777777">
        <w:tc>
          <w:tcPr>
            <w:tcW w:w="0" w:type="auto"/>
            <w:shd w:val="clear" w:color="auto" w:fill="CCEEFF"/>
            <w:tcMar>
              <w:top w:w="0" w:type="dxa"/>
              <w:left w:w="200" w:type="dxa"/>
              <w:bottom w:w="0" w:type="dxa"/>
              <w:right w:w="0" w:type="dxa"/>
            </w:tcMar>
            <w:vAlign w:val="bottom"/>
            <w:hideMark/>
          </w:tcPr>
          <w:p w14:paraId="02CEAF80" w14:textId="77777777" w:rsidR="00000000" w:rsidRDefault="009027A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4E2F6BE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B9C2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B20165" w14:textId="77777777" w:rsidR="00000000" w:rsidRDefault="009027A3">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14:paraId="06EC6440"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35CE959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D670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60841" w14:textId="77777777" w:rsidR="00000000" w:rsidRDefault="009027A3">
            <w:pPr>
              <w:jc w:val="right"/>
              <w:rPr>
                <w:rFonts w:eastAsia="Times New Roman"/>
                <w:sz w:val="20"/>
                <w:szCs w:val="20"/>
              </w:rPr>
            </w:pPr>
            <w:r>
              <w:rPr>
                <w:rFonts w:eastAsia="Times New Roman"/>
                <w:sz w:val="20"/>
                <w:szCs w:val="20"/>
              </w:rPr>
              <w:t>6.1</w:t>
            </w:r>
          </w:p>
        </w:tc>
        <w:tc>
          <w:tcPr>
            <w:tcW w:w="0" w:type="auto"/>
            <w:shd w:val="clear" w:color="auto" w:fill="CCEEFF"/>
            <w:vAlign w:val="bottom"/>
            <w:hideMark/>
          </w:tcPr>
          <w:p w14:paraId="48276C7F" w14:textId="77777777" w:rsidR="00000000" w:rsidRDefault="009027A3">
            <w:pPr>
              <w:rPr>
                <w:rFonts w:eastAsia="Times New Roman"/>
                <w:sz w:val="20"/>
                <w:szCs w:val="20"/>
              </w:rPr>
            </w:pPr>
            <w:r>
              <w:rPr>
                <w:rFonts w:eastAsia="Times New Roman"/>
                <w:sz w:val="20"/>
                <w:szCs w:val="20"/>
              </w:rPr>
              <w:t>%</w:t>
            </w:r>
          </w:p>
        </w:tc>
      </w:tr>
      <w:tr w:rsidR="00000000" w14:paraId="735DFDD8" w14:textId="77777777">
        <w:tc>
          <w:tcPr>
            <w:tcW w:w="0" w:type="auto"/>
            <w:shd w:val="clear" w:color="auto" w:fill="FFFFFF"/>
            <w:tcMar>
              <w:top w:w="0" w:type="dxa"/>
              <w:left w:w="200" w:type="dxa"/>
              <w:bottom w:w="30" w:type="dxa"/>
              <w:right w:w="0" w:type="dxa"/>
            </w:tcMar>
            <w:vAlign w:val="bottom"/>
            <w:hideMark/>
          </w:tcPr>
          <w:p w14:paraId="05E59C9E"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54B6159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66300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4E0411" w14:textId="77777777" w:rsidR="00000000" w:rsidRDefault="009027A3">
            <w:pPr>
              <w:jc w:val="right"/>
              <w:rPr>
                <w:rFonts w:eastAsia="Times New Roman"/>
                <w:sz w:val="20"/>
                <w:szCs w:val="20"/>
              </w:rPr>
            </w:pPr>
            <w:r>
              <w:rPr>
                <w:rFonts w:eastAsia="Times New Roman"/>
                <w:sz w:val="20"/>
                <w:szCs w:val="20"/>
              </w:rPr>
              <w:t>3.4</w:t>
            </w:r>
          </w:p>
        </w:tc>
        <w:tc>
          <w:tcPr>
            <w:tcW w:w="0" w:type="auto"/>
            <w:shd w:val="clear" w:color="auto" w:fill="FFFFFF"/>
            <w:tcMar>
              <w:top w:w="0" w:type="dxa"/>
              <w:left w:w="0" w:type="dxa"/>
              <w:bottom w:w="30" w:type="dxa"/>
              <w:right w:w="0" w:type="dxa"/>
            </w:tcMar>
            <w:vAlign w:val="bottom"/>
            <w:hideMark/>
          </w:tcPr>
          <w:p w14:paraId="52FED37F"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5048861"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F0B186"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D75C09" w14:textId="77777777" w:rsidR="00000000" w:rsidRDefault="009027A3">
            <w:pPr>
              <w:jc w:val="right"/>
              <w:rPr>
                <w:rFonts w:eastAsia="Times New Roman"/>
                <w:sz w:val="20"/>
                <w:szCs w:val="20"/>
              </w:rPr>
            </w:pPr>
            <w:r>
              <w:rPr>
                <w:rFonts w:eastAsia="Times New Roman"/>
                <w:sz w:val="20"/>
                <w:szCs w:val="20"/>
              </w:rPr>
              <w:t>1.4</w:t>
            </w:r>
          </w:p>
        </w:tc>
        <w:tc>
          <w:tcPr>
            <w:tcW w:w="0" w:type="auto"/>
            <w:shd w:val="clear" w:color="auto" w:fill="FFFFFF"/>
            <w:tcMar>
              <w:top w:w="0" w:type="dxa"/>
              <w:left w:w="0" w:type="dxa"/>
              <w:bottom w:w="30" w:type="dxa"/>
              <w:right w:w="0" w:type="dxa"/>
            </w:tcMar>
            <w:vAlign w:val="bottom"/>
            <w:hideMark/>
          </w:tcPr>
          <w:p w14:paraId="4DF2B6DC" w14:textId="77777777" w:rsidR="00000000" w:rsidRDefault="009027A3">
            <w:pPr>
              <w:rPr>
                <w:rFonts w:eastAsia="Times New Roman"/>
                <w:sz w:val="20"/>
                <w:szCs w:val="20"/>
              </w:rPr>
            </w:pPr>
            <w:r>
              <w:rPr>
                <w:rFonts w:eastAsia="Times New Roman"/>
                <w:sz w:val="20"/>
                <w:szCs w:val="20"/>
              </w:rPr>
              <w:t>%</w:t>
            </w:r>
          </w:p>
        </w:tc>
      </w:tr>
      <w:tr w:rsidR="00000000" w14:paraId="675DFF61" w14:textId="77777777">
        <w:tc>
          <w:tcPr>
            <w:tcW w:w="0" w:type="auto"/>
            <w:shd w:val="clear" w:color="auto" w:fill="CCEEFF"/>
            <w:tcMar>
              <w:top w:w="0" w:type="dxa"/>
              <w:left w:w="200" w:type="dxa"/>
              <w:bottom w:w="30" w:type="dxa"/>
              <w:right w:w="0" w:type="dxa"/>
            </w:tcMar>
            <w:vAlign w:val="bottom"/>
            <w:hideMark/>
          </w:tcPr>
          <w:p w14:paraId="77E04532" w14:textId="77777777" w:rsidR="00000000" w:rsidRDefault="009027A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71CB879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1CE85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0A5EFE" w14:textId="77777777" w:rsidR="00000000" w:rsidRDefault="009027A3">
            <w:pPr>
              <w:jc w:val="right"/>
              <w:rPr>
                <w:rFonts w:eastAsia="Times New Roman"/>
                <w:sz w:val="20"/>
                <w:szCs w:val="20"/>
              </w:rPr>
            </w:pPr>
            <w:r>
              <w:rPr>
                <w:rFonts w:eastAsia="Times New Roman"/>
                <w:sz w:val="20"/>
                <w:szCs w:val="20"/>
              </w:rPr>
              <w:t>105.6</w:t>
            </w:r>
          </w:p>
        </w:tc>
        <w:tc>
          <w:tcPr>
            <w:tcW w:w="0" w:type="auto"/>
            <w:shd w:val="clear" w:color="auto" w:fill="CCEEFF"/>
            <w:tcMar>
              <w:top w:w="0" w:type="dxa"/>
              <w:left w:w="0" w:type="dxa"/>
              <w:bottom w:w="30" w:type="dxa"/>
              <w:right w:w="0" w:type="dxa"/>
            </w:tcMar>
            <w:vAlign w:val="bottom"/>
            <w:hideMark/>
          </w:tcPr>
          <w:p w14:paraId="40EB2D1C"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92E684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64701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2C466B" w14:textId="77777777" w:rsidR="00000000" w:rsidRDefault="009027A3">
            <w:pPr>
              <w:jc w:val="right"/>
              <w:rPr>
                <w:rFonts w:eastAsia="Times New Roman"/>
                <w:sz w:val="20"/>
                <w:szCs w:val="20"/>
              </w:rPr>
            </w:pPr>
            <w:r>
              <w:rPr>
                <w:rFonts w:eastAsia="Times New Roman"/>
                <w:sz w:val="20"/>
                <w:szCs w:val="20"/>
              </w:rPr>
              <w:t>113.0</w:t>
            </w:r>
          </w:p>
        </w:tc>
        <w:tc>
          <w:tcPr>
            <w:tcW w:w="0" w:type="auto"/>
            <w:shd w:val="clear" w:color="auto" w:fill="CCEEFF"/>
            <w:tcMar>
              <w:top w:w="0" w:type="dxa"/>
              <w:left w:w="0" w:type="dxa"/>
              <w:bottom w:w="30" w:type="dxa"/>
              <w:right w:w="0" w:type="dxa"/>
            </w:tcMar>
            <w:vAlign w:val="bottom"/>
            <w:hideMark/>
          </w:tcPr>
          <w:p w14:paraId="09965596" w14:textId="77777777" w:rsidR="00000000" w:rsidRDefault="009027A3">
            <w:pPr>
              <w:rPr>
                <w:rFonts w:eastAsia="Times New Roman"/>
                <w:sz w:val="20"/>
                <w:szCs w:val="20"/>
              </w:rPr>
            </w:pPr>
            <w:r>
              <w:rPr>
                <w:rFonts w:eastAsia="Times New Roman"/>
                <w:sz w:val="20"/>
                <w:szCs w:val="20"/>
              </w:rPr>
              <w:t>%</w:t>
            </w:r>
          </w:p>
        </w:tc>
      </w:tr>
      <w:tr w:rsidR="00000000" w14:paraId="5F40D57B" w14:textId="77777777">
        <w:tc>
          <w:tcPr>
            <w:tcW w:w="0" w:type="auto"/>
            <w:shd w:val="clear" w:color="auto" w:fill="FFFFFF"/>
            <w:vAlign w:val="bottom"/>
            <w:hideMark/>
          </w:tcPr>
          <w:p w14:paraId="1C1B2C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D5C5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C1C4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75526B"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E7940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7DE5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896FD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39851"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472AC6" w14:textId="77777777" w:rsidR="00000000" w:rsidRDefault="009027A3">
            <w:pPr>
              <w:rPr>
                <w:rFonts w:eastAsia="Times New Roman"/>
                <w:sz w:val="20"/>
                <w:szCs w:val="20"/>
              </w:rPr>
            </w:pPr>
            <w:r>
              <w:rPr>
                <w:rFonts w:eastAsia="Times New Roman"/>
                <w:sz w:val="20"/>
                <w:szCs w:val="20"/>
              </w:rPr>
              <w:t> </w:t>
            </w:r>
          </w:p>
        </w:tc>
      </w:tr>
      <w:tr w:rsidR="00000000" w14:paraId="6181D9C2" w14:textId="77777777">
        <w:tc>
          <w:tcPr>
            <w:tcW w:w="0" w:type="auto"/>
            <w:shd w:val="clear" w:color="auto" w:fill="CCEEFF"/>
            <w:tcMar>
              <w:top w:w="0" w:type="dxa"/>
              <w:left w:w="400" w:type="dxa"/>
              <w:bottom w:w="0" w:type="dxa"/>
              <w:right w:w="0" w:type="dxa"/>
            </w:tcMar>
            <w:vAlign w:val="bottom"/>
            <w:hideMark/>
          </w:tcPr>
          <w:p w14:paraId="554AAA92" w14:textId="77777777" w:rsidR="00000000" w:rsidRDefault="009027A3">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2C7E898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F5F8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B19E0F" w14:textId="77777777" w:rsidR="00000000" w:rsidRDefault="009027A3">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14:paraId="2D09664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5CA4F6C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AF87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BE453" w14:textId="77777777" w:rsidR="00000000" w:rsidRDefault="009027A3">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14:paraId="0FB302DF" w14:textId="77777777" w:rsidR="00000000" w:rsidRDefault="009027A3">
            <w:pPr>
              <w:rPr>
                <w:rFonts w:eastAsia="Times New Roman"/>
                <w:sz w:val="20"/>
                <w:szCs w:val="20"/>
              </w:rPr>
            </w:pPr>
            <w:r>
              <w:rPr>
                <w:rFonts w:eastAsia="Times New Roman"/>
                <w:sz w:val="20"/>
                <w:szCs w:val="20"/>
              </w:rPr>
              <w:t>%)</w:t>
            </w:r>
          </w:p>
        </w:tc>
      </w:tr>
      <w:tr w:rsidR="00000000" w14:paraId="7E32515B" w14:textId="77777777">
        <w:tc>
          <w:tcPr>
            <w:tcW w:w="0" w:type="auto"/>
            <w:shd w:val="clear" w:color="auto" w:fill="FFFFFF"/>
            <w:vAlign w:val="bottom"/>
            <w:hideMark/>
          </w:tcPr>
          <w:p w14:paraId="4D8BE2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8BD82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0717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3EA505"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4D9E2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B87F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2DE3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440FA4" w14:textId="77777777" w:rsidR="00000000" w:rsidRDefault="009027A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18E5BD" w14:textId="77777777" w:rsidR="00000000" w:rsidRDefault="009027A3">
            <w:pPr>
              <w:rPr>
                <w:rFonts w:eastAsia="Times New Roman"/>
                <w:sz w:val="20"/>
                <w:szCs w:val="20"/>
              </w:rPr>
            </w:pPr>
            <w:r>
              <w:rPr>
                <w:rFonts w:eastAsia="Times New Roman"/>
                <w:sz w:val="20"/>
                <w:szCs w:val="20"/>
              </w:rPr>
              <w:t> </w:t>
            </w:r>
          </w:p>
        </w:tc>
      </w:tr>
      <w:tr w:rsidR="00000000" w14:paraId="6E9D7E43" w14:textId="77777777">
        <w:tc>
          <w:tcPr>
            <w:tcW w:w="0" w:type="auto"/>
            <w:shd w:val="clear" w:color="auto" w:fill="CCEEFF"/>
            <w:vAlign w:val="bottom"/>
            <w:hideMark/>
          </w:tcPr>
          <w:p w14:paraId="6B681E1F" w14:textId="77777777" w:rsidR="00000000" w:rsidRDefault="009027A3">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14:paraId="1458741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A4E5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BBA4B" w14:textId="77777777" w:rsidR="00000000" w:rsidRDefault="009027A3">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14:paraId="5936978D"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E60E0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1C2B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B86996" w14:textId="77777777" w:rsidR="00000000" w:rsidRDefault="009027A3">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14:paraId="22B75751" w14:textId="77777777" w:rsidR="00000000" w:rsidRDefault="009027A3">
            <w:pPr>
              <w:rPr>
                <w:rFonts w:eastAsia="Times New Roman"/>
                <w:sz w:val="20"/>
                <w:szCs w:val="20"/>
              </w:rPr>
            </w:pPr>
            <w:r>
              <w:rPr>
                <w:rFonts w:eastAsia="Times New Roman"/>
                <w:sz w:val="20"/>
                <w:szCs w:val="20"/>
              </w:rPr>
              <w:t>%</w:t>
            </w:r>
          </w:p>
        </w:tc>
      </w:tr>
      <w:tr w:rsidR="00000000" w14:paraId="431C0BB4" w14:textId="77777777">
        <w:tc>
          <w:tcPr>
            <w:tcW w:w="0" w:type="auto"/>
            <w:shd w:val="clear" w:color="auto" w:fill="FFFFFF"/>
            <w:tcMar>
              <w:top w:w="0" w:type="dxa"/>
              <w:left w:w="0" w:type="dxa"/>
              <w:bottom w:w="30" w:type="dxa"/>
              <w:right w:w="0" w:type="dxa"/>
            </w:tcMar>
            <w:vAlign w:val="bottom"/>
            <w:hideMark/>
          </w:tcPr>
          <w:p w14:paraId="2B01C741" w14:textId="77777777" w:rsidR="00000000" w:rsidRDefault="009027A3">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14:paraId="7E45C64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D47E7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037736" w14:textId="77777777" w:rsidR="00000000" w:rsidRDefault="009027A3">
            <w:pPr>
              <w:jc w:val="right"/>
              <w:rPr>
                <w:rFonts w:eastAsia="Times New Roman"/>
                <w:sz w:val="20"/>
                <w:szCs w:val="20"/>
              </w:rPr>
            </w:pPr>
            <w:r>
              <w:rPr>
                <w:rFonts w:eastAsia="Times New Roman"/>
                <w:sz w:val="20"/>
                <w:szCs w:val="20"/>
              </w:rPr>
              <w:t>(0.7</w:t>
            </w:r>
          </w:p>
        </w:tc>
        <w:tc>
          <w:tcPr>
            <w:tcW w:w="0" w:type="auto"/>
            <w:shd w:val="clear" w:color="auto" w:fill="FFFFFF"/>
            <w:tcMar>
              <w:top w:w="0" w:type="dxa"/>
              <w:left w:w="0" w:type="dxa"/>
              <w:bottom w:w="30" w:type="dxa"/>
              <w:right w:w="0" w:type="dxa"/>
            </w:tcMar>
            <w:vAlign w:val="bottom"/>
            <w:hideMark/>
          </w:tcPr>
          <w:p w14:paraId="24013B5E"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E4F5C70"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9A25F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AFDA3D"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FFFFFF"/>
            <w:tcMar>
              <w:top w:w="0" w:type="dxa"/>
              <w:left w:w="0" w:type="dxa"/>
              <w:bottom w:w="30" w:type="dxa"/>
              <w:right w:w="0" w:type="dxa"/>
            </w:tcMar>
            <w:vAlign w:val="bottom"/>
            <w:hideMark/>
          </w:tcPr>
          <w:p w14:paraId="665417A5" w14:textId="77777777" w:rsidR="00000000" w:rsidRDefault="009027A3">
            <w:pPr>
              <w:rPr>
                <w:rFonts w:eastAsia="Times New Roman"/>
                <w:sz w:val="20"/>
                <w:szCs w:val="20"/>
              </w:rPr>
            </w:pPr>
            <w:r>
              <w:rPr>
                <w:rFonts w:eastAsia="Times New Roman"/>
                <w:sz w:val="20"/>
                <w:szCs w:val="20"/>
              </w:rPr>
              <w:t>%</w:t>
            </w:r>
          </w:p>
        </w:tc>
      </w:tr>
      <w:tr w:rsidR="00000000" w14:paraId="3715C78C" w14:textId="77777777">
        <w:tc>
          <w:tcPr>
            <w:tcW w:w="0" w:type="auto"/>
            <w:shd w:val="clear" w:color="auto" w:fill="CCEEFF"/>
            <w:tcMar>
              <w:top w:w="0" w:type="dxa"/>
              <w:left w:w="400" w:type="dxa"/>
              <w:bottom w:w="0" w:type="dxa"/>
              <w:right w:w="0" w:type="dxa"/>
            </w:tcMar>
            <w:vAlign w:val="bottom"/>
            <w:hideMark/>
          </w:tcPr>
          <w:p w14:paraId="25F9CE69" w14:textId="77777777" w:rsidR="00000000" w:rsidRDefault="009027A3">
            <w:pPr>
              <w:rPr>
                <w:rFonts w:eastAsia="Times New Roman"/>
                <w:sz w:val="20"/>
                <w:szCs w:val="20"/>
              </w:rPr>
            </w:pPr>
            <w:r>
              <w:rPr>
                <w:rFonts w:eastAsia="Times New Roman"/>
                <w:sz w:val="20"/>
                <w:szCs w:val="20"/>
              </w:rPr>
              <w:t>Loss before income taxes</w:t>
            </w:r>
          </w:p>
        </w:tc>
        <w:tc>
          <w:tcPr>
            <w:tcW w:w="0" w:type="auto"/>
            <w:shd w:val="clear" w:color="auto" w:fill="CCEEFF"/>
            <w:vAlign w:val="bottom"/>
            <w:hideMark/>
          </w:tcPr>
          <w:p w14:paraId="7B7059B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2E13C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B97490" w14:textId="77777777" w:rsidR="00000000" w:rsidRDefault="009027A3">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14:paraId="3FB985CA"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4B4E69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5D88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F0DCE8" w14:textId="77777777" w:rsidR="00000000" w:rsidRDefault="009027A3">
            <w:pPr>
              <w:jc w:val="right"/>
              <w:rPr>
                <w:rFonts w:eastAsia="Times New Roman"/>
                <w:sz w:val="20"/>
                <w:szCs w:val="20"/>
              </w:rPr>
            </w:pPr>
            <w:r>
              <w:rPr>
                <w:rFonts w:eastAsia="Times New Roman"/>
                <w:sz w:val="20"/>
                <w:szCs w:val="20"/>
              </w:rPr>
              <w:t>(11.4</w:t>
            </w:r>
          </w:p>
        </w:tc>
        <w:tc>
          <w:tcPr>
            <w:tcW w:w="0" w:type="auto"/>
            <w:shd w:val="clear" w:color="auto" w:fill="CCEEFF"/>
            <w:vAlign w:val="bottom"/>
            <w:hideMark/>
          </w:tcPr>
          <w:p w14:paraId="0B5781A8" w14:textId="77777777" w:rsidR="00000000" w:rsidRDefault="009027A3">
            <w:pPr>
              <w:rPr>
                <w:rFonts w:eastAsia="Times New Roman"/>
                <w:sz w:val="20"/>
                <w:szCs w:val="20"/>
              </w:rPr>
            </w:pPr>
            <w:r>
              <w:rPr>
                <w:rFonts w:eastAsia="Times New Roman"/>
                <w:sz w:val="20"/>
                <w:szCs w:val="20"/>
              </w:rPr>
              <w:t>%)</w:t>
            </w:r>
          </w:p>
        </w:tc>
      </w:tr>
      <w:tr w:rsidR="00000000" w14:paraId="0F83E1DB" w14:textId="77777777">
        <w:tc>
          <w:tcPr>
            <w:tcW w:w="0" w:type="auto"/>
            <w:shd w:val="clear" w:color="auto" w:fill="FFFFFF"/>
            <w:tcMar>
              <w:top w:w="0" w:type="dxa"/>
              <w:left w:w="0" w:type="dxa"/>
              <w:bottom w:w="30" w:type="dxa"/>
              <w:right w:w="0" w:type="dxa"/>
            </w:tcMar>
            <w:vAlign w:val="bottom"/>
            <w:hideMark/>
          </w:tcPr>
          <w:p w14:paraId="59952491" w14:textId="77777777" w:rsidR="00000000" w:rsidRDefault="009027A3">
            <w:pPr>
              <w:rPr>
                <w:rFonts w:eastAsia="Times New Roman"/>
                <w:sz w:val="20"/>
                <w:szCs w:val="20"/>
              </w:rPr>
            </w:pPr>
            <w:r>
              <w:rPr>
                <w:rFonts w:eastAsia="Times New Roman"/>
                <w:sz w:val="20"/>
                <w:szCs w:val="20"/>
              </w:rPr>
              <w:t>Income tax (benefit) provision</w:t>
            </w:r>
          </w:p>
        </w:tc>
        <w:tc>
          <w:tcPr>
            <w:tcW w:w="0" w:type="auto"/>
            <w:shd w:val="clear" w:color="auto" w:fill="FFFFFF"/>
            <w:tcMar>
              <w:top w:w="0" w:type="dxa"/>
              <w:left w:w="0" w:type="dxa"/>
              <w:bottom w:w="30" w:type="dxa"/>
              <w:right w:w="0" w:type="dxa"/>
            </w:tcMar>
            <w:vAlign w:val="bottom"/>
            <w:hideMark/>
          </w:tcPr>
          <w:p w14:paraId="49A8BF4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BF7A4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C40F46" w14:textId="77777777" w:rsidR="00000000" w:rsidRDefault="009027A3">
            <w:pPr>
              <w:jc w:val="right"/>
              <w:rPr>
                <w:rFonts w:eastAsia="Times New Roman"/>
                <w:sz w:val="20"/>
                <w:szCs w:val="20"/>
              </w:rPr>
            </w:pPr>
            <w:r>
              <w:rPr>
                <w:rFonts w:eastAsia="Times New Roman"/>
                <w:sz w:val="20"/>
                <w:szCs w:val="20"/>
              </w:rPr>
              <w:t>(0.0</w:t>
            </w:r>
          </w:p>
        </w:tc>
        <w:tc>
          <w:tcPr>
            <w:tcW w:w="0" w:type="auto"/>
            <w:shd w:val="clear" w:color="auto" w:fill="FFFFFF"/>
            <w:tcMar>
              <w:top w:w="0" w:type="dxa"/>
              <w:left w:w="0" w:type="dxa"/>
              <w:bottom w:w="30" w:type="dxa"/>
              <w:right w:w="0" w:type="dxa"/>
            </w:tcMar>
            <w:vAlign w:val="bottom"/>
            <w:hideMark/>
          </w:tcPr>
          <w:p w14:paraId="098AE3D3"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052BEA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685AC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6EEC17" w14:textId="77777777" w:rsidR="00000000" w:rsidRDefault="009027A3">
            <w:pPr>
              <w:jc w:val="right"/>
              <w:rPr>
                <w:rFonts w:eastAsia="Times New Roman"/>
                <w:sz w:val="20"/>
                <w:szCs w:val="20"/>
              </w:rPr>
            </w:pPr>
            <w:r>
              <w:rPr>
                <w:rFonts w:eastAsia="Times New Roman"/>
                <w:sz w:val="20"/>
                <w:szCs w:val="20"/>
              </w:rPr>
              <w:t>0.1</w:t>
            </w:r>
          </w:p>
        </w:tc>
        <w:tc>
          <w:tcPr>
            <w:tcW w:w="0" w:type="auto"/>
            <w:shd w:val="clear" w:color="auto" w:fill="FFFFFF"/>
            <w:tcMar>
              <w:top w:w="0" w:type="dxa"/>
              <w:left w:w="0" w:type="dxa"/>
              <w:bottom w:w="30" w:type="dxa"/>
              <w:right w:w="0" w:type="dxa"/>
            </w:tcMar>
            <w:vAlign w:val="bottom"/>
            <w:hideMark/>
          </w:tcPr>
          <w:p w14:paraId="796414EE" w14:textId="77777777" w:rsidR="00000000" w:rsidRDefault="009027A3">
            <w:pPr>
              <w:rPr>
                <w:rFonts w:eastAsia="Times New Roman"/>
                <w:sz w:val="20"/>
                <w:szCs w:val="20"/>
              </w:rPr>
            </w:pPr>
            <w:r>
              <w:rPr>
                <w:rFonts w:eastAsia="Times New Roman"/>
                <w:sz w:val="20"/>
                <w:szCs w:val="20"/>
              </w:rPr>
              <w:t>%</w:t>
            </w:r>
          </w:p>
        </w:tc>
      </w:tr>
      <w:tr w:rsidR="00000000" w14:paraId="00EF1884" w14:textId="77777777">
        <w:tc>
          <w:tcPr>
            <w:tcW w:w="0" w:type="auto"/>
            <w:shd w:val="clear" w:color="auto" w:fill="CCEEFF"/>
            <w:tcMar>
              <w:top w:w="0" w:type="dxa"/>
              <w:left w:w="400" w:type="dxa"/>
              <w:bottom w:w="50" w:type="dxa"/>
              <w:right w:w="0" w:type="dxa"/>
            </w:tcMar>
            <w:vAlign w:val="bottom"/>
            <w:hideMark/>
          </w:tcPr>
          <w:p w14:paraId="517C378B" w14:textId="77777777" w:rsidR="00000000" w:rsidRDefault="009027A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256BB70D"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5A224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E0B164" w14:textId="77777777" w:rsidR="00000000" w:rsidRDefault="009027A3">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50" w:type="dxa"/>
              <w:right w:w="0" w:type="dxa"/>
            </w:tcMar>
            <w:vAlign w:val="bottom"/>
            <w:hideMark/>
          </w:tcPr>
          <w:p w14:paraId="23020F63"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1151C7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F0B580"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A6FCDE9" w14:textId="77777777" w:rsidR="00000000" w:rsidRDefault="009027A3">
            <w:pPr>
              <w:jc w:val="right"/>
              <w:rPr>
                <w:rFonts w:eastAsia="Times New Roman"/>
                <w:sz w:val="20"/>
                <w:szCs w:val="20"/>
              </w:rPr>
            </w:pPr>
            <w:r>
              <w:rPr>
                <w:rFonts w:eastAsia="Times New Roman"/>
                <w:sz w:val="20"/>
                <w:szCs w:val="20"/>
              </w:rPr>
              <w:t>(11.5</w:t>
            </w:r>
          </w:p>
        </w:tc>
        <w:tc>
          <w:tcPr>
            <w:tcW w:w="0" w:type="auto"/>
            <w:shd w:val="clear" w:color="auto" w:fill="CCEEFF"/>
            <w:tcMar>
              <w:top w:w="0" w:type="dxa"/>
              <w:left w:w="0" w:type="dxa"/>
              <w:bottom w:w="50" w:type="dxa"/>
              <w:right w:w="0" w:type="dxa"/>
            </w:tcMar>
            <w:vAlign w:val="bottom"/>
            <w:hideMark/>
          </w:tcPr>
          <w:p w14:paraId="3E3B3864" w14:textId="77777777" w:rsidR="00000000" w:rsidRDefault="009027A3">
            <w:pPr>
              <w:rPr>
                <w:rFonts w:eastAsia="Times New Roman"/>
                <w:sz w:val="20"/>
                <w:szCs w:val="20"/>
              </w:rPr>
            </w:pPr>
            <w:r>
              <w:rPr>
                <w:rFonts w:eastAsia="Times New Roman"/>
                <w:sz w:val="20"/>
                <w:szCs w:val="20"/>
              </w:rPr>
              <w:t>%)</w:t>
            </w:r>
          </w:p>
        </w:tc>
      </w:tr>
    </w:tbl>
    <w:p w14:paraId="6F8C3EAA"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F353B62" w14:textId="77777777">
        <w:trPr>
          <w:divId w:val="122356130"/>
        </w:trPr>
        <w:tc>
          <w:tcPr>
            <w:tcW w:w="5000" w:type="pct"/>
            <w:hideMark/>
          </w:tcPr>
          <w:p w14:paraId="724D013B"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47D851E2" w14:textId="77777777">
        <w:tc>
          <w:tcPr>
            <w:tcW w:w="5000" w:type="pct"/>
            <w:hideMark/>
          </w:tcPr>
          <w:p w14:paraId="0833D753" w14:textId="77777777" w:rsidR="00000000" w:rsidRDefault="009027A3">
            <w:pPr>
              <w:rPr>
                <w:rFonts w:eastAsia="Times New Roman"/>
                <w:sz w:val="20"/>
                <w:szCs w:val="20"/>
              </w:rPr>
            </w:pPr>
            <w:r>
              <w:rPr>
                <w:rFonts w:eastAsia="Times New Roman"/>
                <w:sz w:val="20"/>
                <w:szCs w:val="20"/>
              </w:rPr>
              <w:t> </w:t>
            </w:r>
          </w:p>
        </w:tc>
      </w:tr>
    </w:tbl>
    <w:p w14:paraId="50CA36EC"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8A9E42E" w14:textId="77777777" w:rsidR="00000000" w:rsidRDefault="009027A3">
      <w:pPr>
        <w:pStyle w:val="a3"/>
        <w:shd w:val="clear" w:color="auto" w:fill="FFFFFF"/>
        <w:spacing w:before="0" w:beforeAutospacing="0" w:after="0" w:afterAutospacing="0"/>
        <w:rPr>
          <w:sz w:val="20"/>
          <w:szCs w:val="20"/>
        </w:rPr>
      </w:pPr>
      <w:r>
        <w:rPr>
          <w:b/>
          <w:bCs/>
          <w:i/>
          <w:iCs/>
          <w:sz w:val="20"/>
          <w:szCs w:val="20"/>
        </w:rPr>
        <w:t xml:space="preserve">Comparison </w:t>
      </w:r>
      <w:r>
        <w:rPr>
          <w:b/>
          <w:bCs/>
          <w:i/>
          <w:iCs/>
          <w:sz w:val="20"/>
          <w:szCs w:val="20"/>
        </w:rPr>
        <w:t>of the three months ended March 31, 2021 and 2020</w:t>
      </w:r>
    </w:p>
    <w:p w14:paraId="28A3C0DB"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144"/>
        <w:gridCol w:w="98"/>
        <w:gridCol w:w="100"/>
        <w:gridCol w:w="1145"/>
        <w:gridCol w:w="50"/>
        <w:gridCol w:w="88"/>
        <w:gridCol w:w="100"/>
        <w:gridCol w:w="1145"/>
        <w:gridCol w:w="50"/>
        <w:gridCol w:w="88"/>
        <w:gridCol w:w="101"/>
        <w:gridCol w:w="680"/>
        <w:gridCol w:w="50"/>
        <w:gridCol w:w="88"/>
        <w:gridCol w:w="51"/>
        <w:gridCol w:w="669"/>
        <w:gridCol w:w="167"/>
      </w:tblGrid>
      <w:tr w:rsidR="00000000" w14:paraId="102EBCFA" w14:textId="77777777">
        <w:tc>
          <w:tcPr>
            <w:tcW w:w="0" w:type="auto"/>
            <w:vAlign w:val="bottom"/>
            <w:hideMark/>
          </w:tcPr>
          <w:p w14:paraId="2D2A6D0C"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A636E1"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694478E"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7189E90D"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BE8917"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29E0A73" w14:textId="77777777" w:rsidR="00000000" w:rsidRDefault="009027A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3403C87A" w14:textId="77777777" w:rsidR="00000000" w:rsidRDefault="009027A3">
            <w:pPr>
              <w:rPr>
                <w:rFonts w:eastAsia="Times New Roman"/>
                <w:b/>
                <w:bCs/>
                <w:sz w:val="20"/>
                <w:szCs w:val="20"/>
              </w:rPr>
            </w:pPr>
            <w:r>
              <w:rPr>
                <w:rFonts w:eastAsia="Times New Roman"/>
                <w:b/>
                <w:bCs/>
                <w:sz w:val="20"/>
                <w:szCs w:val="20"/>
              </w:rPr>
              <w:t> </w:t>
            </w:r>
          </w:p>
        </w:tc>
      </w:tr>
      <w:tr w:rsidR="00000000" w14:paraId="7B2B971F" w14:textId="77777777">
        <w:tc>
          <w:tcPr>
            <w:tcW w:w="0" w:type="auto"/>
            <w:vAlign w:val="bottom"/>
            <w:hideMark/>
          </w:tcPr>
          <w:p w14:paraId="6C146F53"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FFBF4E"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C5B12C9"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CECA819"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DF9A35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FB4B44"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F835EAC"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D3C6B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7A8F2E" w14:textId="77777777" w:rsidR="00000000" w:rsidRDefault="009027A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18D39C7F"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927843D"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08D24E" w14:textId="77777777" w:rsidR="00000000" w:rsidRDefault="009027A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978D261" w14:textId="77777777" w:rsidR="00000000" w:rsidRDefault="009027A3">
            <w:pPr>
              <w:rPr>
                <w:rFonts w:eastAsia="Times New Roman"/>
                <w:b/>
                <w:bCs/>
                <w:sz w:val="20"/>
                <w:szCs w:val="20"/>
              </w:rPr>
            </w:pPr>
            <w:r>
              <w:rPr>
                <w:rFonts w:eastAsia="Times New Roman"/>
                <w:b/>
                <w:bCs/>
                <w:sz w:val="20"/>
                <w:szCs w:val="20"/>
              </w:rPr>
              <w:t> </w:t>
            </w:r>
          </w:p>
        </w:tc>
      </w:tr>
      <w:tr w:rsidR="00000000" w14:paraId="6F413B64" w14:textId="77777777">
        <w:tc>
          <w:tcPr>
            <w:tcW w:w="0" w:type="auto"/>
            <w:vAlign w:val="bottom"/>
            <w:hideMark/>
          </w:tcPr>
          <w:p w14:paraId="52516FD4"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193C03B1" w14:textId="77777777" w:rsidR="00000000" w:rsidRDefault="009027A3">
            <w:pPr>
              <w:rPr>
                <w:rFonts w:eastAsia="Times New Roman"/>
                <w:sz w:val="20"/>
                <w:szCs w:val="20"/>
              </w:rPr>
            </w:pPr>
            <w:r>
              <w:rPr>
                <w:rFonts w:eastAsia="Times New Roman"/>
                <w:sz w:val="20"/>
                <w:szCs w:val="20"/>
              </w:rPr>
              <w:t> </w:t>
            </w:r>
          </w:p>
        </w:tc>
        <w:tc>
          <w:tcPr>
            <w:tcW w:w="0" w:type="auto"/>
            <w:gridSpan w:val="10"/>
            <w:vAlign w:val="bottom"/>
            <w:hideMark/>
          </w:tcPr>
          <w:p w14:paraId="2E665174"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264F92CE"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55BF9D23"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32FC1950"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0C63E47D" w14:textId="77777777" w:rsidR="00000000" w:rsidRDefault="009027A3">
            <w:pPr>
              <w:rPr>
                <w:rFonts w:eastAsia="Times New Roman"/>
                <w:sz w:val="20"/>
                <w:szCs w:val="20"/>
              </w:rPr>
            </w:pPr>
            <w:r>
              <w:rPr>
                <w:rFonts w:eastAsia="Times New Roman"/>
                <w:sz w:val="20"/>
                <w:szCs w:val="20"/>
              </w:rPr>
              <w:t> </w:t>
            </w:r>
          </w:p>
        </w:tc>
      </w:tr>
      <w:tr w:rsidR="00000000" w14:paraId="0E03F00B" w14:textId="77777777">
        <w:tc>
          <w:tcPr>
            <w:tcW w:w="1000" w:type="pct"/>
            <w:shd w:val="clear" w:color="auto" w:fill="CCEEFF"/>
            <w:vAlign w:val="bottom"/>
            <w:hideMark/>
          </w:tcPr>
          <w:p w14:paraId="34905D12" w14:textId="77777777" w:rsidR="00000000" w:rsidRDefault="009027A3">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214F4B31"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44D7F"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121DF1E8" w14:textId="77777777" w:rsidR="00000000" w:rsidRDefault="009027A3">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14:paraId="21D612FF"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CA37F94"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621A6C" w14:textId="77777777" w:rsidR="00000000" w:rsidRDefault="009027A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299C69EB" w14:textId="77777777" w:rsidR="00000000" w:rsidRDefault="009027A3">
            <w:pPr>
              <w:jc w:val="right"/>
              <w:rPr>
                <w:rFonts w:eastAsia="Times New Roman"/>
                <w:sz w:val="20"/>
                <w:szCs w:val="20"/>
              </w:rPr>
            </w:pPr>
            <w:r>
              <w:rPr>
                <w:rFonts w:eastAsia="Times New Roman"/>
                <w:sz w:val="20"/>
                <w:szCs w:val="20"/>
              </w:rPr>
              <w:t>21,867</w:t>
            </w:r>
          </w:p>
        </w:tc>
        <w:tc>
          <w:tcPr>
            <w:tcW w:w="50" w:type="pct"/>
            <w:shd w:val="clear" w:color="auto" w:fill="CCEEFF"/>
            <w:vAlign w:val="bottom"/>
            <w:hideMark/>
          </w:tcPr>
          <w:p w14:paraId="70981730"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5BE7CD5"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C7BC8A"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5498C6B5" w14:textId="77777777" w:rsidR="00000000" w:rsidRDefault="009027A3">
            <w:pPr>
              <w:jc w:val="right"/>
              <w:rPr>
                <w:rFonts w:eastAsia="Times New Roman"/>
                <w:sz w:val="20"/>
                <w:szCs w:val="20"/>
              </w:rPr>
            </w:pPr>
            <w:r>
              <w:rPr>
                <w:rFonts w:eastAsia="Times New Roman"/>
                <w:sz w:val="20"/>
                <w:szCs w:val="20"/>
              </w:rPr>
              <w:t>7,901</w:t>
            </w:r>
          </w:p>
        </w:tc>
        <w:tc>
          <w:tcPr>
            <w:tcW w:w="50" w:type="pct"/>
            <w:shd w:val="clear" w:color="auto" w:fill="CCEEFF"/>
            <w:vAlign w:val="bottom"/>
            <w:hideMark/>
          </w:tcPr>
          <w:p w14:paraId="040C0006"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B6999BB"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3B7392" w14:textId="77777777" w:rsidR="00000000" w:rsidRDefault="009027A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CCDA3AB" w14:textId="77777777" w:rsidR="00000000" w:rsidRDefault="009027A3">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14:paraId="280CCC3C" w14:textId="77777777" w:rsidR="00000000" w:rsidRDefault="009027A3">
            <w:pPr>
              <w:rPr>
                <w:rFonts w:eastAsia="Times New Roman"/>
                <w:sz w:val="20"/>
                <w:szCs w:val="20"/>
              </w:rPr>
            </w:pPr>
            <w:r>
              <w:rPr>
                <w:rFonts w:eastAsia="Times New Roman"/>
                <w:sz w:val="20"/>
                <w:szCs w:val="20"/>
              </w:rPr>
              <w:t>%</w:t>
            </w:r>
          </w:p>
        </w:tc>
      </w:tr>
    </w:tbl>
    <w:p w14:paraId="481C8C18" w14:textId="77777777" w:rsidR="00000000" w:rsidRDefault="009027A3">
      <w:pPr>
        <w:pStyle w:val="a3"/>
        <w:spacing w:before="0" w:beforeAutospacing="0" w:after="0" w:afterAutospacing="0"/>
        <w:rPr>
          <w:sz w:val="20"/>
          <w:szCs w:val="20"/>
        </w:rPr>
      </w:pPr>
      <w:r>
        <w:rPr>
          <w:sz w:val="20"/>
          <w:szCs w:val="20"/>
        </w:rPr>
        <w:t> </w:t>
      </w:r>
    </w:p>
    <w:p w14:paraId="0A37541B" w14:textId="77777777" w:rsidR="00000000" w:rsidRDefault="009027A3">
      <w:pPr>
        <w:pStyle w:val="a3"/>
        <w:spacing w:before="0" w:beforeAutospacing="0" w:after="0" w:afterAutospacing="0"/>
        <w:jc w:val="both"/>
        <w:rPr>
          <w:sz w:val="20"/>
          <w:szCs w:val="20"/>
        </w:rPr>
      </w:pPr>
      <w:r>
        <w:rPr>
          <w:i/>
          <w:iCs/>
          <w:sz w:val="20"/>
          <w:szCs w:val="20"/>
        </w:rPr>
        <w:t xml:space="preserve">Net Revenue. </w:t>
      </w:r>
      <w:r>
        <w:rPr>
          <w:sz w:val="20"/>
          <w:szCs w:val="20"/>
        </w:rPr>
        <w:t xml:space="preserve">Net revenue of $29.8 million for the three months ended March 31, 2021, increased by $7.9 million or 36% from net revenue of $21.9 million </w:t>
      </w:r>
      <w:r>
        <w:rPr>
          <w:sz w:val="20"/>
          <w:szCs w:val="20"/>
        </w:rPr>
        <w:t>for the three months ended March 31, 2020. Revenue for the three months ended March 31, 2021 includes approximately $17.2 million from customers acquired in the CCH and Meridian acquisitions. Revenue for the three months ended March 31, 2021 includes $19.4</w:t>
      </w:r>
      <w:r>
        <w:rPr>
          <w:sz w:val="20"/>
          <w:szCs w:val="20"/>
        </w:rPr>
        <w:t xml:space="preserve"> million relating to RCM and bundled services, $5.3 million related to SaaS services and $2.7 million for practice management services.</w:t>
      </w:r>
    </w:p>
    <w:p w14:paraId="07A24C0E"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1147"/>
        <w:gridCol w:w="67"/>
        <w:gridCol w:w="150"/>
        <w:gridCol w:w="100"/>
        <w:gridCol w:w="1147"/>
        <w:gridCol w:w="67"/>
        <w:gridCol w:w="150"/>
        <w:gridCol w:w="101"/>
        <w:gridCol w:w="816"/>
        <w:gridCol w:w="68"/>
        <w:gridCol w:w="151"/>
        <w:gridCol w:w="68"/>
        <w:gridCol w:w="816"/>
        <w:gridCol w:w="234"/>
      </w:tblGrid>
      <w:tr w:rsidR="00000000" w14:paraId="127F397F" w14:textId="77777777">
        <w:tc>
          <w:tcPr>
            <w:tcW w:w="0" w:type="auto"/>
            <w:vAlign w:val="bottom"/>
            <w:hideMark/>
          </w:tcPr>
          <w:p w14:paraId="784C6A0F"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8DAB66"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3F53BE7"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1207CA36"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E5436C"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9585CDA" w14:textId="77777777" w:rsidR="00000000" w:rsidRDefault="009027A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3DEEF023" w14:textId="77777777" w:rsidR="00000000" w:rsidRDefault="009027A3">
            <w:pPr>
              <w:rPr>
                <w:rFonts w:eastAsia="Times New Roman"/>
                <w:b/>
                <w:bCs/>
                <w:sz w:val="20"/>
                <w:szCs w:val="20"/>
              </w:rPr>
            </w:pPr>
            <w:r>
              <w:rPr>
                <w:rFonts w:eastAsia="Times New Roman"/>
                <w:b/>
                <w:bCs/>
                <w:sz w:val="20"/>
                <w:szCs w:val="20"/>
              </w:rPr>
              <w:t> </w:t>
            </w:r>
          </w:p>
        </w:tc>
      </w:tr>
      <w:tr w:rsidR="00000000" w14:paraId="498B521C" w14:textId="77777777">
        <w:tc>
          <w:tcPr>
            <w:tcW w:w="0" w:type="auto"/>
            <w:vAlign w:val="bottom"/>
            <w:hideMark/>
          </w:tcPr>
          <w:p w14:paraId="35CD7B41"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FE3658"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779D9F"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4E69375"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B3E04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AFAA89"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D2DF9CD"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D4F182"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41DF5F" w14:textId="77777777" w:rsidR="00000000" w:rsidRDefault="009027A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0D22FC82"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3DB529"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5BA6A1" w14:textId="77777777" w:rsidR="00000000" w:rsidRDefault="009027A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2B146C4B" w14:textId="77777777" w:rsidR="00000000" w:rsidRDefault="009027A3">
            <w:pPr>
              <w:rPr>
                <w:rFonts w:eastAsia="Times New Roman"/>
                <w:b/>
                <w:bCs/>
                <w:sz w:val="20"/>
                <w:szCs w:val="20"/>
              </w:rPr>
            </w:pPr>
            <w:r>
              <w:rPr>
                <w:rFonts w:eastAsia="Times New Roman"/>
                <w:b/>
                <w:bCs/>
                <w:sz w:val="20"/>
                <w:szCs w:val="20"/>
              </w:rPr>
              <w:t> </w:t>
            </w:r>
          </w:p>
        </w:tc>
      </w:tr>
      <w:tr w:rsidR="00000000" w14:paraId="061FF18D" w14:textId="77777777">
        <w:tc>
          <w:tcPr>
            <w:tcW w:w="0" w:type="auto"/>
            <w:vAlign w:val="bottom"/>
            <w:hideMark/>
          </w:tcPr>
          <w:p w14:paraId="00D9E659"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4266A692" w14:textId="77777777" w:rsidR="00000000" w:rsidRDefault="009027A3">
            <w:pPr>
              <w:rPr>
                <w:rFonts w:eastAsia="Times New Roman"/>
                <w:sz w:val="20"/>
                <w:szCs w:val="20"/>
              </w:rPr>
            </w:pPr>
            <w:r>
              <w:rPr>
                <w:rFonts w:eastAsia="Times New Roman"/>
                <w:sz w:val="20"/>
                <w:szCs w:val="20"/>
              </w:rPr>
              <w:t> </w:t>
            </w:r>
          </w:p>
        </w:tc>
        <w:tc>
          <w:tcPr>
            <w:tcW w:w="0" w:type="auto"/>
            <w:gridSpan w:val="10"/>
            <w:vAlign w:val="bottom"/>
            <w:hideMark/>
          </w:tcPr>
          <w:p w14:paraId="7710F864"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61161953"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7D66EE1"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68686C87"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09185921" w14:textId="77777777" w:rsidR="00000000" w:rsidRDefault="009027A3">
            <w:pPr>
              <w:rPr>
                <w:rFonts w:eastAsia="Times New Roman"/>
                <w:sz w:val="20"/>
                <w:szCs w:val="20"/>
              </w:rPr>
            </w:pPr>
            <w:r>
              <w:rPr>
                <w:rFonts w:eastAsia="Times New Roman"/>
                <w:sz w:val="20"/>
                <w:szCs w:val="20"/>
              </w:rPr>
              <w:t> </w:t>
            </w:r>
          </w:p>
        </w:tc>
      </w:tr>
      <w:tr w:rsidR="00000000" w14:paraId="0DDC2B38" w14:textId="77777777">
        <w:tc>
          <w:tcPr>
            <w:tcW w:w="1800" w:type="pct"/>
            <w:shd w:val="clear" w:color="auto" w:fill="CCEEFF"/>
            <w:vAlign w:val="bottom"/>
            <w:hideMark/>
          </w:tcPr>
          <w:p w14:paraId="1282684C" w14:textId="77777777" w:rsidR="00000000" w:rsidRDefault="009027A3">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2FE7D652"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15CFCB"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1BD18DF1" w14:textId="77777777" w:rsidR="00000000" w:rsidRDefault="009027A3">
            <w:pPr>
              <w:jc w:val="right"/>
              <w:rPr>
                <w:rFonts w:eastAsia="Times New Roman"/>
                <w:sz w:val="20"/>
                <w:szCs w:val="20"/>
              </w:rPr>
            </w:pPr>
            <w:r>
              <w:rPr>
                <w:rFonts w:eastAsia="Times New Roman"/>
                <w:sz w:val="20"/>
                <w:szCs w:val="20"/>
              </w:rPr>
              <w:t>18,060</w:t>
            </w:r>
          </w:p>
        </w:tc>
        <w:tc>
          <w:tcPr>
            <w:tcW w:w="50" w:type="pct"/>
            <w:shd w:val="clear" w:color="auto" w:fill="CCEEFF"/>
            <w:vAlign w:val="bottom"/>
            <w:hideMark/>
          </w:tcPr>
          <w:p w14:paraId="513F1F4E"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DA0DB7C"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111052" w14:textId="77777777" w:rsidR="00000000" w:rsidRDefault="009027A3">
            <w:pPr>
              <w:rPr>
                <w:rFonts w:eastAsia="Times New Roman"/>
                <w:sz w:val="20"/>
                <w:szCs w:val="20"/>
              </w:rPr>
            </w:pPr>
            <w:r>
              <w:rPr>
                <w:rFonts w:eastAsia="Times New Roman"/>
                <w:sz w:val="20"/>
                <w:szCs w:val="20"/>
              </w:rPr>
              <w:t>$</w:t>
            </w:r>
          </w:p>
        </w:tc>
        <w:tc>
          <w:tcPr>
            <w:tcW w:w="700" w:type="pct"/>
            <w:shd w:val="clear" w:color="auto" w:fill="CCEEFF"/>
            <w:vAlign w:val="bottom"/>
            <w:hideMark/>
          </w:tcPr>
          <w:p w14:paraId="6CABDF65" w14:textId="77777777" w:rsidR="00000000" w:rsidRDefault="009027A3">
            <w:pPr>
              <w:jc w:val="right"/>
              <w:rPr>
                <w:rFonts w:eastAsia="Times New Roman"/>
                <w:sz w:val="20"/>
                <w:szCs w:val="20"/>
              </w:rPr>
            </w:pPr>
            <w:r>
              <w:rPr>
                <w:rFonts w:eastAsia="Times New Roman"/>
                <w:sz w:val="20"/>
                <w:szCs w:val="20"/>
              </w:rPr>
              <w:t>13,567</w:t>
            </w:r>
          </w:p>
        </w:tc>
        <w:tc>
          <w:tcPr>
            <w:tcW w:w="50" w:type="pct"/>
            <w:shd w:val="clear" w:color="auto" w:fill="CCEEFF"/>
            <w:vAlign w:val="bottom"/>
            <w:hideMark/>
          </w:tcPr>
          <w:p w14:paraId="18A61C15"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79004CE"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152F00" w14:textId="77777777" w:rsidR="00000000" w:rsidRDefault="009027A3">
            <w:pPr>
              <w:rPr>
                <w:rFonts w:eastAsia="Times New Roman"/>
                <w:sz w:val="20"/>
                <w:szCs w:val="20"/>
              </w:rPr>
            </w:pPr>
            <w:r>
              <w:rPr>
                <w:rFonts w:eastAsia="Times New Roman"/>
                <w:sz w:val="20"/>
                <w:szCs w:val="20"/>
              </w:rPr>
              <w:t>$</w:t>
            </w:r>
          </w:p>
        </w:tc>
        <w:tc>
          <w:tcPr>
            <w:tcW w:w="500" w:type="pct"/>
            <w:shd w:val="clear" w:color="auto" w:fill="CCEEFF"/>
            <w:vAlign w:val="bottom"/>
            <w:hideMark/>
          </w:tcPr>
          <w:p w14:paraId="66B8D682" w14:textId="77777777" w:rsidR="00000000" w:rsidRDefault="009027A3">
            <w:pPr>
              <w:jc w:val="right"/>
              <w:rPr>
                <w:rFonts w:eastAsia="Times New Roman"/>
                <w:sz w:val="20"/>
                <w:szCs w:val="20"/>
              </w:rPr>
            </w:pPr>
            <w:r>
              <w:rPr>
                <w:rFonts w:eastAsia="Times New Roman"/>
                <w:sz w:val="20"/>
                <w:szCs w:val="20"/>
              </w:rPr>
              <w:t>4,493</w:t>
            </w:r>
          </w:p>
        </w:tc>
        <w:tc>
          <w:tcPr>
            <w:tcW w:w="50" w:type="pct"/>
            <w:shd w:val="clear" w:color="auto" w:fill="CCEEFF"/>
            <w:vAlign w:val="bottom"/>
            <w:hideMark/>
          </w:tcPr>
          <w:p w14:paraId="5C0A2C51"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D52F945"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317760" w14:textId="77777777" w:rsidR="00000000" w:rsidRDefault="009027A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BBD7743" w14:textId="77777777" w:rsidR="00000000" w:rsidRDefault="009027A3">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14:paraId="0E9539EE" w14:textId="77777777" w:rsidR="00000000" w:rsidRDefault="009027A3">
            <w:pPr>
              <w:rPr>
                <w:rFonts w:eastAsia="Times New Roman"/>
                <w:sz w:val="20"/>
                <w:szCs w:val="20"/>
              </w:rPr>
            </w:pPr>
            <w:r>
              <w:rPr>
                <w:rFonts w:eastAsia="Times New Roman"/>
                <w:sz w:val="20"/>
                <w:szCs w:val="20"/>
              </w:rPr>
              <w:t>%</w:t>
            </w:r>
          </w:p>
        </w:tc>
      </w:tr>
      <w:tr w:rsidR="00000000" w14:paraId="03A67741" w14:textId="77777777">
        <w:tc>
          <w:tcPr>
            <w:tcW w:w="0" w:type="auto"/>
            <w:shd w:val="clear" w:color="auto" w:fill="FFFFFF"/>
            <w:vAlign w:val="bottom"/>
            <w:hideMark/>
          </w:tcPr>
          <w:p w14:paraId="5272A8F5" w14:textId="77777777" w:rsidR="00000000" w:rsidRDefault="009027A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3C89FE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A9BF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EE831" w14:textId="77777777" w:rsidR="00000000" w:rsidRDefault="009027A3">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14:paraId="408E6A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713B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CA6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7003DC" w14:textId="77777777" w:rsidR="00000000" w:rsidRDefault="009027A3">
            <w:pPr>
              <w:jc w:val="right"/>
              <w:rPr>
                <w:rFonts w:eastAsia="Times New Roman"/>
                <w:sz w:val="20"/>
                <w:szCs w:val="20"/>
              </w:rPr>
            </w:pPr>
            <w:r>
              <w:rPr>
                <w:rFonts w:eastAsia="Times New Roman"/>
                <w:sz w:val="20"/>
                <w:szCs w:val="20"/>
              </w:rPr>
              <w:t>1,581</w:t>
            </w:r>
          </w:p>
        </w:tc>
        <w:tc>
          <w:tcPr>
            <w:tcW w:w="0" w:type="auto"/>
            <w:shd w:val="clear" w:color="auto" w:fill="FFFFFF"/>
            <w:vAlign w:val="bottom"/>
            <w:hideMark/>
          </w:tcPr>
          <w:p w14:paraId="7450DD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5D854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CE4AE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C91E0" w14:textId="77777777" w:rsidR="00000000" w:rsidRDefault="009027A3">
            <w:pPr>
              <w:jc w:val="right"/>
              <w:rPr>
                <w:rFonts w:eastAsia="Times New Roman"/>
                <w:sz w:val="20"/>
                <w:szCs w:val="20"/>
              </w:rPr>
            </w:pPr>
            <w:r>
              <w:rPr>
                <w:rFonts w:eastAsia="Times New Roman"/>
                <w:sz w:val="20"/>
                <w:szCs w:val="20"/>
              </w:rPr>
              <w:t>309</w:t>
            </w:r>
          </w:p>
        </w:tc>
        <w:tc>
          <w:tcPr>
            <w:tcW w:w="0" w:type="auto"/>
            <w:shd w:val="clear" w:color="auto" w:fill="FFFFFF"/>
            <w:vAlign w:val="bottom"/>
            <w:hideMark/>
          </w:tcPr>
          <w:p w14:paraId="1315384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D106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A14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32D5A" w14:textId="77777777" w:rsidR="00000000" w:rsidRDefault="009027A3">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14:paraId="13DF96BC" w14:textId="77777777" w:rsidR="00000000" w:rsidRDefault="009027A3">
            <w:pPr>
              <w:rPr>
                <w:rFonts w:eastAsia="Times New Roman"/>
                <w:sz w:val="20"/>
                <w:szCs w:val="20"/>
              </w:rPr>
            </w:pPr>
            <w:r>
              <w:rPr>
                <w:rFonts w:eastAsia="Times New Roman"/>
                <w:sz w:val="20"/>
                <w:szCs w:val="20"/>
              </w:rPr>
              <w:t>%</w:t>
            </w:r>
          </w:p>
        </w:tc>
      </w:tr>
      <w:tr w:rsidR="00000000" w14:paraId="1A8FD400" w14:textId="77777777">
        <w:tc>
          <w:tcPr>
            <w:tcW w:w="0" w:type="auto"/>
            <w:shd w:val="clear" w:color="auto" w:fill="CCEEFF"/>
            <w:vAlign w:val="bottom"/>
            <w:hideMark/>
          </w:tcPr>
          <w:p w14:paraId="24399AA2" w14:textId="77777777" w:rsidR="00000000" w:rsidRDefault="009027A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50EDFE2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3C456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3F90CF" w14:textId="77777777" w:rsidR="00000000" w:rsidRDefault="009027A3">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14:paraId="15A309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045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7A2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20137" w14:textId="77777777" w:rsidR="00000000" w:rsidRDefault="009027A3">
            <w:pPr>
              <w:jc w:val="right"/>
              <w:rPr>
                <w:rFonts w:eastAsia="Times New Roman"/>
                <w:sz w:val="20"/>
                <w:szCs w:val="20"/>
              </w:rPr>
            </w:pPr>
            <w:r>
              <w:rPr>
                <w:rFonts w:eastAsia="Times New Roman"/>
                <w:sz w:val="20"/>
                <w:szCs w:val="20"/>
              </w:rPr>
              <w:t>5,593</w:t>
            </w:r>
          </w:p>
        </w:tc>
        <w:tc>
          <w:tcPr>
            <w:tcW w:w="0" w:type="auto"/>
            <w:shd w:val="clear" w:color="auto" w:fill="CCEEFF"/>
            <w:vAlign w:val="bottom"/>
            <w:hideMark/>
          </w:tcPr>
          <w:p w14:paraId="4FF53FF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4E92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0B2D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9B4C1" w14:textId="77777777" w:rsidR="00000000" w:rsidRDefault="009027A3">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14:paraId="1C08110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81126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AE3D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459D7"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4527951A" w14:textId="77777777" w:rsidR="00000000" w:rsidRDefault="009027A3">
            <w:pPr>
              <w:rPr>
                <w:rFonts w:eastAsia="Times New Roman"/>
                <w:sz w:val="20"/>
                <w:szCs w:val="20"/>
              </w:rPr>
            </w:pPr>
            <w:r>
              <w:rPr>
                <w:rFonts w:eastAsia="Times New Roman"/>
                <w:sz w:val="20"/>
                <w:szCs w:val="20"/>
              </w:rPr>
              <w:t>%</w:t>
            </w:r>
          </w:p>
        </w:tc>
      </w:tr>
      <w:tr w:rsidR="00000000" w14:paraId="56BA8613" w14:textId="77777777">
        <w:tc>
          <w:tcPr>
            <w:tcW w:w="0" w:type="auto"/>
            <w:shd w:val="clear" w:color="auto" w:fill="FFFFFF"/>
            <w:vAlign w:val="bottom"/>
            <w:hideMark/>
          </w:tcPr>
          <w:p w14:paraId="1AC4B767" w14:textId="77777777" w:rsidR="00000000" w:rsidRDefault="009027A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07BCB52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D43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DD0C7" w14:textId="77777777" w:rsidR="00000000" w:rsidRDefault="009027A3">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14:paraId="365F580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005F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29C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34ED96" w14:textId="77777777" w:rsidR="00000000" w:rsidRDefault="009027A3">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14:paraId="3F8B70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8215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4005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AECFFE" w14:textId="77777777" w:rsidR="00000000" w:rsidRDefault="009027A3">
            <w:pPr>
              <w:jc w:val="right"/>
              <w:rPr>
                <w:rFonts w:eastAsia="Times New Roman"/>
                <w:sz w:val="20"/>
                <w:szCs w:val="20"/>
              </w:rPr>
            </w:pPr>
            <w:r>
              <w:rPr>
                <w:rFonts w:eastAsia="Times New Roman"/>
                <w:sz w:val="20"/>
                <w:szCs w:val="20"/>
              </w:rPr>
              <w:t>(307</w:t>
            </w:r>
          </w:p>
        </w:tc>
        <w:tc>
          <w:tcPr>
            <w:tcW w:w="0" w:type="auto"/>
            <w:shd w:val="clear" w:color="auto" w:fill="FFFFFF"/>
            <w:vAlign w:val="bottom"/>
            <w:hideMark/>
          </w:tcPr>
          <w:p w14:paraId="256E25CE"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0DAD243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2CCF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DCCAF" w14:textId="77777777" w:rsidR="00000000" w:rsidRDefault="009027A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67F2552D" w14:textId="77777777" w:rsidR="00000000" w:rsidRDefault="009027A3">
            <w:pPr>
              <w:rPr>
                <w:rFonts w:eastAsia="Times New Roman"/>
                <w:sz w:val="20"/>
                <w:szCs w:val="20"/>
              </w:rPr>
            </w:pPr>
            <w:r>
              <w:rPr>
                <w:rFonts w:eastAsia="Times New Roman"/>
                <w:sz w:val="20"/>
                <w:szCs w:val="20"/>
              </w:rPr>
              <w:t>%)</w:t>
            </w:r>
          </w:p>
        </w:tc>
      </w:tr>
      <w:tr w:rsidR="00000000" w14:paraId="07DE89B9" w14:textId="77777777">
        <w:tc>
          <w:tcPr>
            <w:tcW w:w="0" w:type="auto"/>
            <w:shd w:val="clear" w:color="auto" w:fill="CCEEFF"/>
            <w:vAlign w:val="bottom"/>
            <w:hideMark/>
          </w:tcPr>
          <w:p w14:paraId="4CB661DD" w14:textId="77777777" w:rsidR="00000000" w:rsidRDefault="009027A3">
            <w:pPr>
              <w:rPr>
                <w:rFonts w:eastAsia="Times New Roman"/>
                <w:sz w:val="20"/>
                <w:szCs w:val="20"/>
              </w:rPr>
            </w:pPr>
            <w:r>
              <w:rPr>
                <w:rFonts w:eastAsia="Times New Roman"/>
                <w:sz w:val="20"/>
                <w:szCs w:val="20"/>
              </w:rPr>
              <w:t>Depreciation</w:t>
            </w:r>
          </w:p>
        </w:tc>
        <w:tc>
          <w:tcPr>
            <w:tcW w:w="0" w:type="auto"/>
            <w:shd w:val="clear" w:color="auto" w:fill="CCEEFF"/>
            <w:vAlign w:val="bottom"/>
            <w:hideMark/>
          </w:tcPr>
          <w:p w14:paraId="0BD548C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54FC6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4425B" w14:textId="77777777" w:rsidR="00000000" w:rsidRDefault="009027A3">
            <w:pPr>
              <w:jc w:val="right"/>
              <w:rPr>
                <w:rFonts w:eastAsia="Times New Roman"/>
                <w:sz w:val="20"/>
                <w:szCs w:val="20"/>
              </w:rPr>
            </w:pPr>
            <w:r>
              <w:rPr>
                <w:rFonts w:eastAsia="Times New Roman"/>
                <w:sz w:val="20"/>
                <w:szCs w:val="20"/>
              </w:rPr>
              <w:t>460</w:t>
            </w:r>
          </w:p>
        </w:tc>
        <w:tc>
          <w:tcPr>
            <w:tcW w:w="0" w:type="auto"/>
            <w:shd w:val="clear" w:color="auto" w:fill="CCEEFF"/>
            <w:vAlign w:val="bottom"/>
            <w:hideMark/>
          </w:tcPr>
          <w:p w14:paraId="4C525A5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0F8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A1D1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ABE0D7" w14:textId="77777777" w:rsidR="00000000" w:rsidRDefault="009027A3">
            <w:pPr>
              <w:jc w:val="right"/>
              <w:rPr>
                <w:rFonts w:eastAsia="Times New Roman"/>
                <w:sz w:val="20"/>
                <w:szCs w:val="20"/>
              </w:rPr>
            </w:pPr>
            <w:r>
              <w:rPr>
                <w:rFonts w:eastAsia="Times New Roman"/>
                <w:sz w:val="20"/>
                <w:szCs w:val="20"/>
              </w:rPr>
              <w:t>275</w:t>
            </w:r>
          </w:p>
        </w:tc>
        <w:tc>
          <w:tcPr>
            <w:tcW w:w="0" w:type="auto"/>
            <w:shd w:val="clear" w:color="auto" w:fill="CCEEFF"/>
            <w:vAlign w:val="bottom"/>
            <w:hideMark/>
          </w:tcPr>
          <w:p w14:paraId="1FDD62E3"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75C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1789D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108C93" w14:textId="77777777" w:rsidR="00000000" w:rsidRDefault="009027A3">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14:paraId="6FED9A1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DAF7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2125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0796AE" w14:textId="77777777" w:rsidR="00000000" w:rsidRDefault="009027A3">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14:paraId="612C9F0C" w14:textId="77777777" w:rsidR="00000000" w:rsidRDefault="009027A3">
            <w:pPr>
              <w:rPr>
                <w:rFonts w:eastAsia="Times New Roman"/>
                <w:sz w:val="20"/>
                <w:szCs w:val="20"/>
              </w:rPr>
            </w:pPr>
            <w:r>
              <w:rPr>
                <w:rFonts w:eastAsia="Times New Roman"/>
                <w:sz w:val="20"/>
                <w:szCs w:val="20"/>
              </w:rPr>
              <w:t>%</w:t>
            </w:r>
          </w:p>
        </w:tc>
      </w:tr>
      <w:tr w:rsidR="00000000" w14:paraId="7759E446" w14:textId="77777777">
        <w:tc>
          <w:tcPr>
            <w:tcW w:w="0" w:type="auto"/>
            <w:shd w:val="clear" w:color="auto" w:fill="FFFFFF"/>
            <w:vAlign w:val="bottom"/>
            <w:hideMark/>
          </w:tcPr>
          <w:p w14:paraId="7F562311" w14:textId="77777777" w:rsidR="00000000" w:rsidRDefault="009027A3">
            <w:pPr>
              <w:rPr>
                <w:rFonts w:eastAsia="Times New Roman"/>
                <w:sz w:val="20"/>
                <w:szCs w:val="20"/>
              </w:rPr>
            </w:pPr>
            <w:r>
              <w:rPr>
                <w:rFonts w:eastAsia="Times New Roman"/>
                <w:sz w:val="20"/>
                <w:szCs w:val="20"/>
              </w:rPr>
              <w:t>Amortization</w:t>
            </w:r>
          </w:p>
        </w:tc>
        <w:tc>
          <w:tcPr>
            <w:tcW w:w="0" w:type="auto"/>
            <w:shd w:val="clear" w:color="auto" w:fill="FFFFFF"/>
            <w:vAlign w:val="bottom"/>
            <w:hideMark/>
          </w:tcPr>
          <w:p w14:paraId="268C517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E19A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BB459" w14:textId="77777777" w:rsidR="00000000" w:rsidRDefault="009027A3">
            <w:pPr>
              <w:jc w:val="right"/>
              <w:rPr>
                <w:rFonts w:eastAsia="Times New Roman"/>
                <w:sz w:val="20"/>
                <w:szCs w:val="20"/>
              </w:rPr>
            </w:pPr>
            <w:r>
              <w:rPr>
                <w:rFonts w:eastAsia="Times New Roman"/>
                <w:sz w:val="20"/>
                <w:szCs w:val="20"/>
              </w:rPr>
              <w:t>2,371</w:t>
            </w:r>
          </w:p>
        </w:tc>
        <w:tc>
          <w:tcPr>
            <w:tcW w:w="0" w:type="auto"/>
            <w:shd w:val="clear" w:color="auto" w:fill="FFFFFF"/>
            <w:vAlign w:val="bottom"/>
            <w:hideMark/>
          </w:tcPr>
          <w:p w14:paraId="1AD2A4A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03913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65F5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E56D11" w14:textId="77777777" w:rsidR="00000000" w:rsidRDefault="009027A3">
            <w:pPr>
              <w:jc w:val="right"/>
              <w:rPr>
                <w:rFonts w:eastAsia="Times New Roman"/>
                <w:sz w:val="20"/>
                <w:szCs w:val="20"/>
              </w:rPr>
            </w:pPr>
            <w:r>
              <w:rPr>
                <w:rFonts w:eastAsia="Times New Roman"/>
                <w:sz w:val="20"/>
                <w:szCs w:val="20"/>
              </w:rPr>
              <w:t>1,058</w:t>
            </w:r>
          </w:p>
        </w:tc>
        <w:tc>
          <w:tcPr>
            <w:tcW w:w="0" w:type="auto"/>
            <w:shd w:val="clear" w:color="auto" w:fill="FFFFFF"/>
            <w:vAlign w:val="bottom"/>
            <w:hideMark/>
          </w:tcPr>
          <w:p w14:paraId="2D960FC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8F12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862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8842D" w14:textId="77777777" w:rsidR="00000000" w:rsidRDefault="009027A3">
            <w:pPr>
              <w:jc w:val="right"/>
              <w:rPr>
                <w:rFonts w:eastAsia="Times New Roman"/>
                <w:sz w:val="20"/>
                <w:szCs w:val="20"/>
              </w:rPr>
            </w:pPr>
            <w:r>
              <w:rPr>
                <w:rFonts w:eastAsia="Times New Roman"/>
                <w:sz w:val="20"/>
                <w:szCs w:val="20"/>
              </w:rPr>
              <w:t>1,313</w:t>
            </w:r>
          </w:p>
        </w:tc>
        <w:tc>
          <w:tcPr>
            <w:tcW w:w="0" w:type="auto"/>
            <w:shd w:val="clear" w:color="auto" w:fill="FFFFFF"/>
            <w:vAlign w:val="bottom"/>
            <w:hideMark/>
          </w:tcPr>
          <w:p w14:paraId="40A36F7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F8F0A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34A27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487AE1" w14:textId="77777777" w:rsidR="00000000" w:rsidRDefault="009027A3">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14:paraId="669EDB8F" w14:textId="77777777" w:rsidR="00000000" w:rsidRDefault="009027A3">
            <w:pPr>
              <w:rPr>
                <w:rFonts w:eastAsia="Times New Roman"/>
                <w:sz w:val="20"/>
                <w:szCs w:val="20"/>
              </w:rPr>
            </w:pPr>
            <w:r>
              <w:rPr>
                <w:rFonts w:eastAsia="Times New Roman"/>
                <w:sz w:val="20"/>
                <w:szCs w:val="20"/>
              </w:rPr>
              <w:t>%</w:t>
            </w:r>
          </w:p>
        </w:tc>
      </w:tr>
      <w:tr w:rsidR="00000000" w14:paraId="5CA76B3A" w14:textId="77777777">
        <w:tc>
          <w:tcPr>
            <w:tcW w:w="0" w:type="auto"/>
            <w:shd w:val="clear" w:color="auto" w:fill="CCEEFF"/>
            <w:tcMar>
              <w:top w:w="0" w:type="dxa"/>
              <w:left w:w="0" w:type="dxa"/>
              <w:bottom w:w="30" w:type="dxa"/>
              <w:right w:w="0" w:type="dxa"/>
            </w:tcMar>
            <w:vAlign w:val="bottom"/>
            <w:hideMark/>
          </w:tcPr>
          <w:p w14:paraId="4E973DC7" w14:textId="77777777" w:rsidR="00000000" w:rsidRDefault="009027A3">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14:paraId="1B29C7F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E861C9"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FC31CF" w14:textId="77777777" w:rsidR="00000000" w:rsidRDefault="009027A3">
            <w:pPr>
              <w:jc w:val="right"/>
              <w:rPr>
                <w:rFonts w:eastAsia="Times New Roman"/>
                <w:sz w:val="20"/>
                <w:szCs w:val="20"/>
              </w:rPr>
            </w:pPr>
            <w:r>
              <w:rPr>
                <w:rFonts w:eastAsia="Times New Roman"/>
                <w:sz w:val="20"/>
                <w:szCs w:val="20"/>
              </w:rPr>
              <w:t>1,018</w:t>
            </w:r>
          </w:p>
        </w:tc>
        <w:tc>
          <w:tcPr>
            <w:tcW w:w="0" w:type="auto"/>
            <w:shd w:val="clear" w:color="auto" w:fill="CCEEFF"/>
            <w:tcMar>
              <w:top w:w="0" w:type="dxa"/>
              <w:left w:w="0" w:type="dxa"/>
              <w:bottom w:w="30" w:type="dxa"/>
              <w:right w:w="0" w:type="dxa"/>
            </w:tcMar>
            <w:vAlign w:val="bottom"/>
            <w:hideMark/>
          </w:tcPr>
          <w:p w14:paraId="0B0FD1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8E7EC8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693DF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7A5D89" w14:textId="77777777" w:rsidR="00000000" w:rsidRDefault="009027A3">
            <w:pPr>
              <w:jc w:val="right"/>
              <w:rPr>
                <w:rFonts w:eastAsia="Times New Roman"/>
                <w:sz w:val="20"/>
                <w:szCs w:val="20"/>
              </w:rPr>
            </w:pPr>
            <w:r>
              <w:rPr>
                <w:rFonts w:eastAsia="Times New Roman"/>
                <w:sz w:val="20"/>
                <w:szCs w:val="20"/>
              </w:rPr>
              <w:t>297</w:t>
            </w:r>
          </w:p>
        </w:tc>
        <w:tc>
          <w:tcPr>
            <w:tcW w:w="0" w:type="auto"/>
            <w:shd w:val="clear" w:color="auto" w:fill="CCEEFF"/>
            <w:tcMar>
              <w:top w:w="0" w:type="dxa"/>
              <w:left w:w="0" w:type="dxa"/>
              <w:bottom w:w="30" w:type="dxa"/>
              <w:right w:w="0" w:type="dxa"/>
            </w:tcMar>
            <w:vAlign w:val="bottom"/>
            <w:hideMark/>
          </w:tcPr>
          <w:p w14:paraId="6563048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2B2360B"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D00CE7"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8BC9A5" w14:textId="77777777" w:rsidR="00000000" w:rsidRDefault="009027A3">
            <w:pPr>
              <w:jc w:val="right"/>
              <w:rPr>
                <w:rFonts w:eastAsia="Times New Roman"/>
                <w:sz w:val="20"/>
                <w:szCs w:val="20"/>
              </w:rPr>
            </w:pPr>
            <w:r>
              <w:rPr>
                <w:rFonts w:eastAsia="Times New Roman"/>
                <w:sz w:val="20"/>
                <w:szCs w:val="20"/>
              </w:rPr>
              <w:t>721</w:t>
            </w:r>
          </w:p>
        </w:tc>
        <w:tc>
          <w:tcPr>
            <w:tcW w:w="0" w:type="auto"/>
            <w:shd w:val="clear" w:color="auto" w:fill="CCEEFF"/>
            <w:tcMar>
              <w:top w:w="0" w:type="dxa"/>
              <w:left w:w="0" w:type="dxa"/>
              <w:bottom w:w="30" w:type="dxa"/>
              <w:right w:w="0" w:type="dxa"/>
            </w:tcMar>
            <w:vAlign w:val="bottom"/>
            <w:hideMark/>
          </w:tcPr>
          <w:p w14:paraId="66C37C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49032F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FFA30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1DAB58" w14:textId="77777777" w:rsidR="00000000" w:rsidRDefault="009027A3">
            <w:pPr>
              <w:jc w:val="right"/>
              <w:rPr>
                <w:rFonts w:eastAsia="Times New Roman"/>
                <w:sz w:val="20"/>
                <w:szCs w:val="20"/>
              </w:rPr>
            </w:pPr>
            <w:r>
              <w:rPr>
                <w:rFonts w:eastAsia="Times New Roman"/>
                <w:sz w:val="20"/>
                <w:szCs w:val="20"/>
              </w:rPr>
              <w:t>243</w:t>
            </w:r>
          </w:p>
        </w:tc>
        <w:tc>
          <w:tcPr>
            <w:tcW w:w="0" w:type="auto"/>
            <w:shd w:val="clear" w:color="auto" w:fill="CCEEFF"/>
            <w:tcMar>
              <w:top w:w="0" w:type="dxa"/>
              <w:left w:w="0" w:type="dxa"/>
              <w:bottom w:w="30" w:type="dxa"/>
              <w:right w:w="0" w:type="dxa"/>
            </w:tcMar>
            <w:vAlign w:val="bottom"/>
            <w:hideMark/>
          </w:tcPr>
          <w:p w14:paraId="39430F1C" w14:textId="77777777" w:rsidR="00000000" w:rsidRDefault="009027A3">
            <w:pPr>
              <w:rPr>
                <w:rFonts w:eastAsia="Times New Roman"/>
                <w:sz w:val="20"/>
                <w:szCs w:val="20"/>
              </w:rPr>
            </w:pPr>
            <w:r>
              <w:rPr>
                <w:rFonts w:eastAsia="Times New Roman"/>
                <w:sz w:val="20"/>
                <w:szCs w:val="20"/>
              </w:rPr>
              <w:t>%</w:t>
            </w:r>
          </w:p>
        </w:tc>
      </w:tr>
      <w:tr w:rsidR="00000000" w14:paraId="36731CC5" w14:textId="77777777">
        <w:tc>
          <w:tcPr>
            <w:tcW w:w="0" w:type="auto"/>
            <w:shd w:val="clear" w:color="auto" w:fill="FFFFFF"/>
            <w:tcMar>
              <w:top w:w="0" w:type="dxa"/>
              <w:left w:w="200" w:type="dxa"/>
              <w:bottom w:w="50" w:type="dxa"/>
              <w:right w:w="0" w:type="dxa"/>
            </w:tcMar>
            <w:vAlign w:val="bottom"/>
            <w:hideMark/>
          </w:tcPr>
          <w:p w14:paraId="1DC989E8" w14:textId="77777777" w:rsidR="00000000" w:rsidRDefault="009027A3">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14:paraId="57BC4A18"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735920"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D2F1BBB" w14:textId="77777777" w:rsidR="00000000" w:rsidRDefault="009027A3">
            <w:pPr>
              <w:jc w:val="right"/>
              <w:rPr>
                <w:rFonts w:eastAsia="Times New Roman"/>
                <w:sz w:val="20"/>
                <w:szCs w:val="20"/>
              </w:rPr>
            </w:pPr>
            <w:r>
              <w:rPr>
                <w:rFonts w:eastAsia="Times New Roman"/>
                <w:sz w:val="20"/>
                <w:szCs w:val="20"/>
              </w:rPr>
              <w:t>31,449</w:t>
            </w:r>
          </w:p>
        </w:tc>
        <w:tc>
          <w:tcPr>
            <w:tcW w:w="0" w:type="auto"/>
            <w:shd w:val="clear" w:color="auto" w:fill="FFFFFF"/>
            <w:tcMar>
              <w:top w:w="0" w:type="dxa"/>
              <w:left w:w="0" w:type="dxa"/>
              <w:bottom w:w="50" w:type="dxa"/>
              <w:right w:w="0" w:type="dxa"/>
            </w:tcMar>
            <w:vAlign w:val="bottom"/>
            <w:hideMark/>
          </w:tcPr>
          <w:p w14:paraId="1347BF8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28C96B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7E7BB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D5CECC7" w14:textId="77777777" w:rsidR="00000000" w:rsidRDefault="009027A3">
            <w:pPr>
              <w:jc w:val="right"/>
              <w:rPr>
                <w:rFonts w:eastAsia="Times New Roman"/>
                <w:sz w:val="20"/>
                <w:szCs w:val="20"/>
              </w:rPr>
            </w:pPr>
            <w:r>
              <w:rPr>
                <w:rFonts w:eastAsia="Times New Roman"/>
                <w:sz w:val="20"/>
                <w:szCs w:val="20"/>
              </w:rPr>
              <w:t>24,704</w:t>
            </w:r>
          </w:p>
        </w:tc>
        <w:tc>
          <w:tcPr>
            <w:tcW w:w="0" w:type="auto"/>
            <w:shd w:val="clear" w:color="auto" w:fill="FFFFFF"/>
            <w:tcMar>
              <w:top w:w="0" w:type="dxa"/>
              <w:left w:w="0" w:type="dxa"/>
              <w:bottom w:w="50" w:type="dxa"/>
              <w:right w:w="0" w:type="dxa"/>
            </w:tcMar>
            <w:vAlign w:val="bottom"/>
            <w:hideMark/>
          </w:tcPr>
          <w:p w14:paraId="50F46B3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BC18CB8"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405F16"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F8CAC94" w14:textId="77777777" w:rsidR="00000000" w:rsidRDefault="009027A3">
            <w:pPr>
              <w:jc w:val="right"/>
              <w:rPr>
                <w:rFonts w:eastAsia="Times New Roman"/>
                <w:sz w:val="20"/>
                <w:szCs w:val="20"/>
              </w:rPr>
            </w:pPr>
            <w:r>
              <w:rPr>
                <w:rFonts w:eastAsia="Times New Roman"/>
                <w:sz w:val="20"/>
                <w:szCs w:val="20"/>
              </w:rPr>
              <w:t>6,745</w:t>
            </w:r>
          </w:p>
        </w:tc>
        <w:tc>
          <w:tcPr>
            <w:tcW w:w="0" w:type="auto"/>
            <w:shd w:val="clear" w:color="auto" w:fill="FFFFFF"/>
            <w:tcMar>
              <w:top w:w="0" w:type="dxa"/>
              <w:left w:w="0" w:type="dxa"/>
              <w:bottom w:w="50" w:type="dxa"/>
              <w:right w:w="0" w:type="dxa"/>
            </w:tcMar>
            <w:vAlign w:val="bottom"/>
            <w:hideMark/>
          </w:tcPr>
          <w:p w14:paraId="62C57E9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D960BA5"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04999E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2A1E80A" w14:textId="77777777" w:rsidR="00000000" w:rsidRDefault="009027A3">
            <w:pPr>
              <w:jc w:val="right"/>
              <w:rPr>
                <w:rFonts w:eastAsia="Times New Roman"/>
                <w:sz w:val="20"/>
                <w:szCs w:val="20"/>
              </w:rPr>
            </w:pPr>
            <w:r>
              <w:rPr>
                <w:rFonts w:eastAsia="Times New Roman"/>
                <w:sz w:val="20"/>
                <w:szCs w:val="20"/>
              </w:rPr>
              <w:t>27</w:t>
            </w:r>
          </w:p>
        </w:tc>
        <w:tc>
          <w:tcPr>
            <w:tcW w:w="0" w:type="auto"/>
            <w:shd w:val="clear" w:color="auto" w:fill="FFFFFF"/>
            <w:tcMar>
              <w:top w:w="0" w:type="dxa"/>
              <w:left w:w="0" w:type="dxa"/>
              <w:bottom w:w="50" w:type="dxa"/>
              <w:right w:w="0" w:type="dxa"/>
            </w:tcMar>
            <w:vAlign w:val="bottom"/>
            <w:hideMark/>
          </w:tcPr>
          <w:p w14:paraId="484FBF85" w14:textId="77777777" w:rsidR="00000000" w:rsidRDefault="009027A3">
            <w:pPr>
              <w:rPr>
                <w:rFonts w:eastAsia="Times New Roman"/>
                <w:sz w:val="20"/>
                <w:szCs w:val="20"/>
              </w:rPr>
            </w:pPr>
            <w:r>
              <w:rPr>
                <w:rFonts w:eastAsia="Times New Roman"/>
                <w:sz w:val="20"/>
                <w:szCs w:val="20"/>
              </w:rPr>
              <w:t>%</w:t>
            </w:r>
          </w:p>
        </w:tc>
      </w:tr>
    </w:tbl>
    <w:p w14:paraId="79238808"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63268C45" w14:textId="77777777" w:rsidR="00000000" w:rsidRDefault="009027A3">
      <w:pPr>
        <w:pStyle w:val="a3"/>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costs of $18.1 million </w:t>
      </w:r>
      <w:r>
        <w:rPr>
          <w:sz w:val="20"/>
          <w:szCs w:val="20"/>
        </w:rPr>
        <w:t xml:space="preserve">for the three months ended March 31, 2021 increased by $4.5 million or 33% compared to direct operating costs of $13.6 million for the three months ended March 31, 2020. During the three months ended March 31, 2021, salary costs increased by $3.6 million, </w:t>
      </w:r>
      <w:r>
        <w:rPr>
          <w:sz w:val="20"/>
          <w:szCs w:val="20"/>
        </w:rPr>
        <w:t>and outsourcing and processing costs increased by $984,000. The increase in the costs for the three months ended March 31, 2021 were primarily related to the CCH and Meridian acquisitions.</w:t>
      </w:r>
    </w:p>
    <w:p w14:paraId="58E02C86"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2B18FB61"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$1.9 million for the three months ended March 31, 2021 increased by $309,000 or 20% from selling and marketing expense of $1.6 million for the three months ended March 31, 2020. The increase was primarily related to additio</w:t>
      </w:r>
      <w:r>
        <w:rPr>
          <w:sz w:val="20"/>
          <w:szCs w:val="20"/>
        </w:rPr>
        <w:t>nal emphasis on sales and marketing activities which began as a result of the CCH acquisition.</w:t>
      </w:r>
    </w:p>
    <w:p w14:paraId="787084E3" w14:textId="77777777" w:rsidR="00000000" w:rsidRDefault="009027A3">
      <w:pPr>
        <w:pStyle w:val="a3"/>
        <w:spacing w:before="0" w:beforeAutospacing="0" w:after="0" w:afterAutospacing="0"/>
        <w:jc w:val="both"/>
        <w:rPr>
          <w:sz w:val="20"/>
          <w:szCs w:val="20"/>
        </w:rPr>
      </w:pPr>
      <w:r>
        <w:rPr>
          <w:sz w:val="20"/>
          <w:szCs w:val="20"/>
        </w:rPr>
        <w:t> </w:t>
      </w:r>
    </w:p>
    <w:p w14:paraId="0FA6F1B4" w14:textId="77777777" w:rsidR="00000000" w:rsidRDefault="009027A3">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$5.6 million for the three months ended March 31, 2021 increased by $31,000 or 1% com</w:t>
      </w:r>
      <w:r>
        <w:rPr>
          <w:sz w:val="20"/>
          <w:szCs w:val="20"/>
        </w:rPr>
        <w:t>pared to the same period in 2020. The increase in general and administrative expense was primarily related to the CCH and Meridian acquisitions.</w:t>
      </w:r>
    </w:p>
    <w:p w14:paraId="129335F9"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48A520C" w14:textId="77777777" w:rsidR="00000000" w:rsidRDefault="009027A3">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$2.0 million for the three months ended</w:t>
      </w:r>
      <w:r>
        <w:rPr>
          <w:sz w:val="20"/>
          <w:szCs w:val="20"/>
        </w:rPr>
        <w:t xml:space="preserve"> March 31, 2021 decreased by $307,000 from research and development expense of $2.3 million for the three months ended March 31, 2020. The decreased primarily represented additional capitalization of software costs. During the three months ended March 31, </w:t>
      </w:r>
      <w:r>
        <w:rPr>
          <w:sz w:val="20"/>
          <w:szCs w:val="20"/>
        </w:rPr>
        <w:t>2021, the Company capitalized approximately $1.5 million of development costs in connection with its internal-use software.</w:t>
      </w:r>
    </w:p>
    <w:p w14:paraId="397A5FDD" w14:textId="77777777" w:rsidR="00000000" w:rsidRDefault="009027A3">
      <w:pPr>
        <w:pStyle w:val="a3"/>
        <w:spacing w:before="0" w:beforeAutospacing="0" w:after="0" w:afterAutospacing="0"/>
        <w:jc w:val="both"/>
        <w:rPr>
          <w:sz w:val="20"/>
          <w:szCs w:val="20"/>
        </w:rPr>
      </w:pPr>
      <w:r>
        <w:rPr>
          <w:sz w:val="20"/>
          <w:szCs w:val="20"/>
        </w:rPr>
        <w:t> </w:t>
      </w:r>
    </w:p>
    <w:p w14:paraId="26BC8265" w14:textId="77777777" w:rsidR="00000000" w:rsidRDefault="009027A3">
      <w:pPr>
        <w:pStyle w:val="a3"/>
        <w:spacing w:before="0" w:beforeAutospacing="0" w:after="0" w:afterAutospacing="0"/>
        <w:jc w:val="both"/>
        <w:rPr>
          <w:sz w:val="20"/>
          <w:szCs w:val="20"/>
        </w:rPr>
      </w:pPr>
      <w:r>
        <w:rPr>
          <w:i/>
          <w:iCs/>
          <w:sz w:val="20"/>
          <w:szCs w:val="20"/>
        </w:rPr>
        <w:t xml:space="preserve">Depreciation. </w:t>
      </w:r>
      <w:r>
        <w:rPr>
          <w:sz w:val="20"/>
          <w:szCs w:val="20"/>
        </w:rPr>
        <w:t>Depreciation of $460,000 for the three months ended March 31, 2021 increased by $185,000 or 67% from the depreciatio</w:t>
      </w:r>
      <w:r>
        <w:rPr>
          <w:sz w:val="20"/>
          <w:szCs w:val="20"/>
        </w:rPr>
        <w:t xml:space="preserve">n of $275,000 for the three months ended March 31, 2020, primarily due to the property and equipment acquired as part of the CCH and Meridian acquisitions. </w:t>
      </w:r>
    </w:p>
    <w:p w14:paraId="28E31FC1"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35706E6" w14:textId="77777777">
        <w:trPr>
          <w:divId w:val="1122188723"/>
        </w:trPr>
        <w:tc>
          <w:tcPr>
            <w:tcW w:w="5000" w:type="pct"/>
            <w:hideMark/>
          </w:tcPr>
          <w:p w14:paraId="2C45F865"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2C4CB8D" w14:textId="77777777">
        <w:tc>
          <w:tcPr>
            <w:tcW w:w="5000" w:type="pct"/>
            <w:hideMark/>
          </w:tcPr>
          <w:p w14:paraId="0CB04E9E" w14:textId="77777777" w:rsidR="00000000" w:rsidRDefault="009027A3">
            <w:pPr>
              <w:rPr>
                <w:rFonts w:eastAsia="Times New Roman"/>
                <w:sz w:val="20"/>
                <w:szCs w:val="20"/>
              </w:rPr>
            </w:pPr>
            <w:r>
              <w:rPr>
                <w:rFonts w:eastAsia="Times New Roman"/>
                <w:sz w:val="20"/>
                <w:szCs w:val="20"/>
              </w:rPr>
              <w:t> </w:t>
            </w:r>
          </w:p>
        </w:tc>
      </w:tr>
    </w:tbl>
    <w:p w14:paraId="32C1DD5B"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255AC92"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$2.4 million for the three months ended M</w:t>
      </w:r>
      <w:r>
        <w:rPr>
          <w:sz w:val="20"/>
          <w:szCs w:val="20"/>
        </w:rPr>
        <w:t>arch 31, 2021 increased by $1.3 million or 124% from amortization expense of $1.1 million for the three months ended March 31, 2020. The increase was primarily related to the intangible assets acquired from the CCH and Meridian acquisitions.</w:t>
      </w:r>
    </w:p>
    <w:p w14:paraId="3BCA45F0" w14:textId="77777777" w:rsidR="00000000" w:rsidRDefault="009027A3">
      <w:pPr>
        <w:pStyle w:val="a3"/>
        <w:spacing w:before="0" w:beforeAutospacing="0" w:after="0" w:afterAutospacing="0"/>
        <w:jc w:val="both"/>
        <w:rPr>
          <w:sz w:val="20"/>
          <w:szCs w:val="20"/>
        </w:rPr>
      </w:pPr>
      <w:r>
        <w:rPr>
          <w:i/>
          <w:iCs/>
          <w:sz w:val="20"/>
          <w:szCs w:val="20"/>
        </w:rPr>
        <w:t> </w:t>
      </w:r>
    </w:p>
    <w:p w14:paraId="59E9ED6A" w14:textId="77777777" w:rsidR="00000000" w:rsidRDefault="009027A3">
      <w:pPr>
        <w:pStyle w:val="a3"/>
        <w:shd w:val="clear" w:color="auto" w:fill="FFFFFF"/>
        <w:spacing w:before="0" w:beforeAutospacing="0" w:after="0" w:afterAutospacing="0"/>
        <w:jc w:val="both"/>
        <w:rPr>
          <w:sz w:val="20"/>
          <w:szCs w:val="20"/>
        </w:rPr>
      </w:pPr>
      <w:r>
        <w:rPr>
          <w:i/>
          <w:iCs/>
          <w:sz w:val="20"/>
          <w:szCs w:val="20"/>
        </w:rPr>
        <w:t>Impairment a</w:t>
      </w:r>
      <w:r>
        <w:rPr>
          <w:i/>
          <w:iCs/>
          <w:sz w:val="20"/>
          <w:szCs w:val="20"/>
        </w:rPr>
        <w:t>nd Unoccupied Lease Charges.</w:t>
      </w:r>
      <w:r>
        <w:rPr>
          <w:sz w:val="20"/>
          <w:szCs w:val="20"/>
        </w:rPr>
        <w:t xml:space="preserve"> Impairment charges represent charges recorded for a leased facility no longer being used by the Company and the impairment of a vendor contract assumed in the CCH acquisition where the provided services are no longer being used</w:t>
      </w:r>
      <w:r>
        <w:rPr>
          <w:sz w:val="20"/>
          <w:szCs w:val="20"/>
        </w:rPr>
        <w:t xml:space="preserve"> by the Company. Unoccupied lease charges represent the portion of lease and related costs for space not being utilized by the Company. The Company is marketing both the unused facility and the unused space for sub-lease.</w:t>
      </w:r>
    </w:p>
    <w:p w14:paraId="7E45E48E"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14:paraId="06F552B8" w14:textId="77777777">
        <w:tc>
          <w:tcPr>
            <w:tcW w:w="0" w:type="auto"/>
            <w:vAlign w:val="bottom"/>
            <w:hideMark/>
          </w:tcPr>
          <w:p w14:paraId="5A5E0EC0"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68BCA1"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E19675E"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2F9F7D28"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9132B0"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1524489" w14:textId="77777777" w:rsidR="00000000" w:rsidRDefault="009027A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6C1BF0E4" w14:textId="77777777" w:rsidR="00000000" w:rsidRDefault="009027A3">
            <w:pPr>
              <w:rPr>
                <w:rFonts w:eastAsia="Times New Roman"/>
                <w:b/>
                <w:bCs/>
                <w:sz w:val="20"/>
                <w:szCs w:val="20"/>
              </w:rPr>
            </w:pPr>
            <w:r>
              <w:rPr>
                <w:rFonts w:eastAsia="Times New Roman"/>
                <w:b/>
                <w:bCs/>
                <w:sz w:val="20"/>
                <w:szCs w:val="20"/>
              </w:rPr>
              <w:t> </w:t>
            </w:r>
          </w:p>
        </w:tc>
      </w:tr>
      <w:tr w:rsidR="00000000" w14:paraId="41FFBB61" w14:textId="77777777">
        <w:tc>
          <w:tcPr>
            <w:tcW w:w="0" w:type="auto"/>
            <w:vAlign w:val="bottom"/>
            <w:hideMark/>
          </w:tcPr>
          <w:p w14:paraId="0C7301F0"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1E044B"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977C40"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B867645"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7418CD"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E81AE3"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35C2299"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A82C6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BC03FF" w14:textId="77777777" w:rsidR="00000000" w:rsidRDefault="009027A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7DF2174A"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B7460ED"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B7456E" w14:textId="77777777" w:rsidR="00000000" w:rsidRDefault="009027A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3EF64ED" w14:textId="77777777" w:rsidR="00000000" w:rsidRDefault="009027A3">
            <w:pPr>
              <w:rPr>
                <w:rFonts w:eastAsia="Times New Roman"/>
                <w:b/>
                <w:bCs/>
                <w:sz w:val="20"/>
                <w:szCs w:val="20"/>
              </w:rPr>
            </w:pPr>
            <w:r>
              <w:rPr>
                <w:rFonts w:eastAsia="Times New Roman"/>
                <w:b/>
                <w:bCs/>
                <w:sz w:val="20"/>
                <w:szCs w:val="20"/>
              </w:rPr>
              <w:t> </w:t>
            </w:r>
          </w:p>
        </w:tc>
      </w:tr>
      <w:tr w:rsidR="00000000" w14:paraId="6334F3E2" w14:textId="77777777">
        <w:tc>
          <w:tcPr>
            <w:tcW w:w="0" w:type="auto"/>
            <w:vAlign w:val="bottom"/>
            <w:hideMark/>
          </w:tcPr>
          <w:p w14:paraId="0AC445A5"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6B07068" w14:textId="77777777" w:rsidR="00000000" w:rsidRDefault="009027A3">
            <w:pPr>
              <w:rPr>
                <w:rFonts w:eastAsia="Times New Roman"/>
                <w:sz w:val="20"/>
                <w:szCs w:val="20"/>
              </w:rPr>
            </w:pPr>
            <w:r>
              <w:rPr>
                <w:rFonts w:eastAsia="Times New Roman"/>
                <w:sz w:val="20"/>
                <w:szCs w:val="20"/>
              </w:rPr>
              <w:t> </w:t>
            </w:r>
          </w:p>
        </w:tc>
        <w:tc>
          <w:tcPr>
            <w:tcW w:w="0" w:type="auto"/>
            <w:gridSpan w:val="10"/>
            <w:vAlign w:val="bottom"/>
            <w:hideMark/>
          </w:tcPr>
          <w:p w14:paraId="59D518BA"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5F227454"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47D5B5C6"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6CAB3F0C"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009EB290" w14:textId="77777777" w:rsidR="00000000" w:rsidRDefault="009027A3">
            <w:pPr>
              <w:rPr>
                <w:rFonts w:eastAsia="Times New Roman"/>
                <w:sz w:val="20"/>
                <w:szCs w:val="20"/>
              </w:rPr>
            </w:pPr>
            <w:r>
              <w:rPr>
                <w:rFonts w:eastAsia="Times New Roman"/>
                <w:sz w:val="20"/>
                <w:szCs w:val="20"/>
              </w:rPr>
              <w:t> </w:t>
            </w:r>
          </w:p>
        </w:tc>
      </w:tr>
      <w:tr w:rsidR="00000000" w14:paraId="1939DF57" w14:textId="77777777">
        <w:tc>
          <w:tcPr>
            <w:tcW w:w="1800" w:type="pct"/>
            <w:shd w:val="clear" w:color="auto" w:fill="CCEEFF"/>
            <w:vAlign w:val="bottom"/>
            <w:hideMark/>
          </w:tcPr>
          <w:p w14:paraId="017D2070" w14:textId="77777777" w:rsidR="00000000" w:rsidRDefault="009027A3">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14:paraId="385226E1"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AA5670"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BC2DDAF" w14:textId="77777777" w:rsidR="00000000" w:rsidRDefault="009027A3">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14:paraId="1DBF31A2"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ADFCA06"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562E89"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3343F5E4" w14:textId="77777777" w:rsidR="00000000" w:rsidRDefault="009027A3">
            <w:pPr>
              <w:jc w:val="right"/>
              <w:rPr>
                <w:rFonts w:eastAsia="Times New Roman"/>
                <w:sz w:val="20"/>
                <w:szCs w:val="20"/>
              </w:rPr>
            </w:pPr>
            <w:r>
              <w:rPr>
                <w:rFonts w:eastAsia="Times New Roman"/>
                <w:sz w:val="20"/>
                <w:szCs w:val="20"/>
              </w:rPr>
              <w:t>38</w:t>
            </w:r>
          </w:p>
        </w:tc>
        <w:tc>
          <w:tcPr>
            <w:tcW w:w="50" w:type="pct"/>
            <w:shd w:val="clear" w:color="auto" w:fill="CCEEFF"/>
            <w:vAlign w:val="bottom"/>
            <w:hideMark/>
          </w:tcPr>
          <w:p w14:paraId="513D078A"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D571F90"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629668"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B30C503" w14:textId="77777777" w:rsidR="00000000" w:rsidRDefault="009027A3">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14:paraId="3902C488"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3A3A67FA"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3C21A" w14:textId="77777777" w:rsidR="00000000" w:rsidRDefault="009027A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42A48F2" w14:textId="77777777" w:rsidR="00000000" w:rsidRDefault="009027A3">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14:paraId="053D3C2B" w14:textId="77777777" w:rsidR="00000000" w:rsidRDefault="009027A3">
            <w:pPr>
              <w:rPr>
                <w:rFonts w:eastAsia="Times New Roman"/>
                <w:sz w:val="20"/>
                <w:szCs w:val="20"/>
              </w:rPr>
            </w:pPr>
            <w:r>
              <w:rPr>
                <w:rFonts w:eastAsia="Times New Roman"/>
                <w:sz w:val="20"/>
                <w:szCs w:val="20"/>
              </w:rPr>
              <w:t>%)</w:t>
            </w:r>
          </w:p>
        </w:tc>
      </w:tr>
      <w:tr w:rsidR="00000000" w14:paraId="562B7A63" w14:textId="77777777">
        <w:tc>
          <w:tcPr>
            <w:tcW w:w="0" w:type="auto"/>
            <w:shd w:val="clear" w:color="auto" w:fill="FFFFFF"/>
            <w:vAlign w:val="bottom"/>
            <w:hideMark/>
          </w:tcPr>
          <w:p w14:paraId="5C39DC67" w14:textId="77777777" w:rsidR="00000000" w:rsidRDefault="009027A3">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32C9466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F39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5BD0A7" w14:textId="77777777" w:rsidR="00000000" w:rsidRDefault="009027A3">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14:paraId="76609478"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22CBEE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4486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7AA94D" w14:textId="77777777" w:rsidR="00000000" w:rsidRDefault="009027A3">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14:paraId="72BDE1E9"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9909A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3196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14F51" w14:textId="77777777" w:rsidR="00000000" w:rsidRDefault="009027A3">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14:paraId="4C6CAF4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D940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5C5A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2DBA4C" w14:textId="77777777" w:rsidR="00000000" w:rsidRDefault="009027A3">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14:paraId="7450ADE1" w14:textId="77777777" w:rsidR="00000000" w:rsidRDefault="009027A3">
            <w:pPr>
              <w:rPr>
                <w:rFonts w:eastAsia="Times New Roman"/>
                <w:sz w:val="20"/>
                <w:szCs w:val="20"/>
              </w:rPr>
            </w:pPr>
            <w:r>
              <w:rPr>
                <w:rFonts w:eastAsia="Times New Roman"/>
                <w:sz w:val="20"/>
                <w:szCs w:val="20"/>
              </w:rPr>
              <w:t>%)</w:t>
            </w:r>
          </w:p>
        </w:tc>
      </w:tr>
      <w:tr w:rsidR="00000000" w14:paraId="10BCC033" w14:textId="77777777">
        <w:tc>
          <w:tcPr>
            <w:tcW w:w="0" w:type="auto"/>
            <w:shd w:val="clear" w:color="auto" w:fill="CCEEFF"/>
            <w:vAlign w:val="bottom"/>
            <w:hideMark/>
          </w:tcPr>
          <w:p w14:paraId="5D03064C" w14:textId="77777777" w:rsidR="00000000" w:rsidRDefault="009027A3">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14:paraId="581585B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8DF0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200CA" w14:textId="77777777" w:rsidR="00000000" w:rsidRDefault="009027A3">
            <w:pPr>
              <w:jc w:val="right"/>
              <w:rPr>
                <w:rFonts w:eastAsia="Times New Roman"/>
                <w:sz w:val="20"/>
                <w:szCs w:val="20"/>
              </w:rPr>
            </w:pPr>
            <w:r>
              <w:rPr>
                <w:rFonts w:eastAsia="Times New Roman"/>
                <w:sz w:val="20"/>
                <w:szCs w:val="20"/>
              </w:rPr>
              <w:t>(220</w:t>
            </w:r>
          </w:p>
        </w:tc>
        <w:tc>
          <w:tcPr>
            <w:tcW w:w="0" w:type="auto"/>
            <w:shd w:val="clear" w:color="auto" w:fill="CCEEFF"/>
            <w:vAlign w:val="bottom"/>
            <w:hideMark/>
          </w:tcPr>
          <w:p w14:paraId="43F52404"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2E73972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B7E8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0D695" w14:textId="77777777" w:rsidR="00000000" w:rsidRDefault="009027A3">
            <w:pPr>
              <w:jc w:val="right"/>
              <w:rPr>
                <w:rFonts w:eastAsia="Times New Roman"/>
                <w:sz w:val="20"/>
                <w:szCs w:val="20"/>
              </w:rPr>
            </w:pPr>
            <w:r>
              <w:rPr>
                <w:rFonts w:eastAsia="Times New Roman"/>
                <w:sz w:val="20"/>
                <w:szCs w:val="20"/>
              </w:rPr>
              <w:t>445</w:t>
            </w:r>
          </w:p>
        </w:tc>
        <w:tc>
          <w:tcPr>
            <w:tcW w:w="0" w:type="auto"/>
            <w:shd w:val="clear" w:color="auto" w:fill="CCEEFF"/>
            <w:vAlign w:val="bottom"/>
            <w:hideMark/>
          </w:tcPr>
          <w:p w14:paraId="4224E30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274A2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4B19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E4F51" w14:textId="77777777" w:rsidR="00000000" w:rsidRDefault="009027A3">
            <w:pPr>
              <w:jc w:val="right"/>
              <w:rPr>
                <w:rFonts w:eastAsia="Times New Roman"/>
                <w:sz w:val="20"/>
                <w:szCs w:val="20"/>
              </w:rPr>
            </w:pPr>
            <w:r>
              <w:rPr>
                <w:rFonts w:eastAsia="Times New Roman"/>
                <w:sz w:val="20"/>
                <w:szCs w:val="20"/>
              </w:rPr>
              <w:t>(665</w:t>
            </w:r>
          </w:p>
        </w:tc>
        <w:tc>
          <w:tcPr>
            <w:tcW w:w="0" w:type="auto"/>
            <w:shd w:val="clear" w:color="auto" w:fill="CCEEFF"/>
            <w:vAlign w:val="bottom"/>
            <w:hideMark/>
          </w:tcPr>
          <w:p w14:paraId="21A59F42"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69DB6FBB"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A41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FAEE6" w14:textId="77777777" w:rsidR="00000000" w:rsidRDefault="009027A3">
            <w:pPr>
              <w:jc w:val="right"/>
              <w:rPr>
                <w:rFonts w:eastAsia="Times New Roman"/>
                <w:sz w:val="20"/>
                <w:szCs w:val="20"/>
              </w:rPr>
            </w:pPr>
            <w:r>
              <w:rPr>
                <w:rFonts w:eastAsia="Times New Roman"/>
                <w:sz w:val="20"/>
                <w:szCs w:val="20"/>
              </w:rPr>
              <w:t>(149</w:t>
            </w:r>
          </w:p>
        </w:tc>
        <w:tc>
          <w:tcPr>
            <w:tcW w:w="0" w:type="auto"/>
            <w:shd w:val="clear" w:color="auto" w:fill="CCEEFF"/>
            <w:vAlign w:val="bottom"/>
            <w:hideMark/>
          </w:tcPr>
          <w:p w14:paraId="6C659973" w14:textId="77777777" w:rsidR="00000000" w:rsidRDefault="009027A3">
            <w:pPr>
              <w:rPr>
                <w:rFonts w:eastAsia="Times New Roman"/>
                <w:sz w:val="20"/>
                <w:szCs w:val="20"/>
              </w:rPr>
            </w:pPr>
            <w:r>
              <w:rPr>
                <w:rFonts w:eastAsia="Times New Roman"/>
                <w:sz w:val="20"/>
                <w:szCs w:val="20"/>
              </w:rPr>
              <w:t>%)</w:t>
            </w:r>
          </w:p>
        </w:tc>
      </w:tr>
      <w:tr w:rsidR="00000000" w14:paraId="59D0195A" w14:textId="77777777">
        <w:tc>
          <w:tcPr>
            <w:tcW w:w="0" w:type="auto"/>
            <w:shd w:val="clear" w:color="auto" w:fill="FFFFFF"/>
            <w:vAlign w:val="bottom"/>
            <w:hideMark/>
          </w:tcPr>
          <w:p w14:paraId="34261BE7" w14:textId="77777777" w:rsidR="00000000" w:rsidRDefault="009027A3">
            <w:pPr>
              <w:rPr>
                <w:rFonts w:eastAsia="Times New Roman"/>
                <w:sz w:val="20"/>
                <w:szCs w:val="20"/>
              </w:rPr>
            </w:pPr>
            <w:r>
              <w:rPr>
                <w:rFonts w:eastAsia="Times New Roman"/>
                <w:sz w:val="20"/>
                <w:szCs w:val="20"/>
              </w:rPr>
              <w:t>Income tax (benefit) provision</w:t>
            </w:r>
          </w:p>
        </w:tc>
        <w:tc>
          <w:tcPr>
            <w:tcW w:w="0" w:type="auto"/>
            <w:shd w:val="clear" w:color="auto" w:fill="FFFFFF"/>
            <w:vAlign w:val="bottom"/>
            <w:hideMark/>
          </w:tcPr>
          <w:p w14:paraId="3509295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2A4F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FC62A" w14:textId="77777777" w:rsidR="00000000" w:rsidRDefault="009027A3">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14:paraId="78620DB3"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64B4811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C8388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2D543B" w14:textId="77777777" w:rsidR="00000000" w:rsidRDefault="009027A3">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14:paraId="2505367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078E0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0AD1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CF937" w14:textId="77777777" w:rsidR="00000000" w:rsidRDefault="009027A3">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14:paraId="37D16CC0"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845DD4F"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481E8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8F4FF" w14:textId="77777777" w:rsidR="00000000" w:rsidRDefault="009027A3">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14:paraId="206B9216" w14:textId="77777777" w:rsidR="00000000" w:rsidRDefault="009027A3">
            <w:pPr>
              <w:rPr>
                <w:rFonts w:eastAsia="Times New Roman"/>
                <w:sz w:val="20"/>
                <w:szCs w:val="20"/>
              </w:rPr>
            </w:pPr>
            <w:r>
              <w:rPr>
                <w:rFonts w:eastAsia="Times New Roman"/>
                <w:sz w:val="20"/>
                <w:szCs w:val="20"/>
              </w:rPr>
              <w:t>%)</w:t>
            </w:r>
          </w:p>
        </w:tc>
      </w:tr>
    </w:tbl>
    <w:p w14:paraId="1F6976DA" w14:textId="77777777" w:rsidR="00000000" w:rsidRDefault="009027A3">
      <w:pPr>
        <w:pStyle w:val="a3"/>
        <w:spacing w:before="0" w:beforeAutospacing="0" w:after="0" w:afterAutospacing="0"/>
        <w:rPr>
          <w:sz w:val="20"/>
          <w:szCs w:val="20"/>
        </w:rPr>
      </w:pPr>
      <w:r>
        <w:rPr>
          <w:sz w:val="20"/>
          <w:szCs w:val="20"/>
        </w:rPr>
        <w:t> </w:t>
      </w:r>
    </w:p>
    <w:p w14:paraId="2C0144EA" w14:textId="77777777" w:rsidR="00000000" w:rsidRDefault="009027A3">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$15,000 for the three month</w:t>
      </w:r>
      <w:r>
        <w:rPr>
          <w:sz w:val="20"/>
          <w:szCs w:val="20"/>
        </w:rPr>
        <w:t>s ended March 31, 2021 decreased by $23,000 or 61% from interest income of $38,000 for the three months ended March 31, 2020. The interest income represents interest earned on temporary cash investments.</w:t>
      </w:r>
    </w:p>
    <w:p w14:paraId="47BD95EE" w14:textId="77777777" w:rsidR="00000000" w:rsidRDefault="009027A3">
      <w:pPr>
        <w:pStyle w:val="a3"/>
        <w:shd w:val="clear" w:color="auto" w:fill="FFFFFF"/>
        <w:spacing w:before="0" w:beforeAutospacing="0" w:after="0" w:afterAutospacing="0"/>
        <w:jc w:val="both"/>
        <w:rPr>
          <w:sz w:val="20"/>
          <w:szCs w:val="20"/>
        </w:rPr>
      </w:pPr>
      <w:r>
        <w:rPr>
          <w:i/>
          <w:iCs/>
          <w:sz w:val="20"/>
          <w:szCs w:val="20"/>
        </w:rPr>
        <w:t> </w:t>
      </w:r>
    </w:p>
    <w:p w14:paraId="4F2DABE5"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$79,000 for the three months ended March 31, 2021 decreased by $39,000 or 33% from interest expense of $118,000 for the three months ended March 31, 2020. Interest expense includes the amortization of deferred financing costs, which was</w:t>
      </w:r>
      <w:r>
        <w:rPr>
          <w:sz w:val="20"/>
          <w:szCs w:val="20"/>
        </w:rPr>
        <w:t xml:space="preserve"> $36,000 and $48,000 during the three months ended March 31, 2021 and 2020, respectively.</w:t>
      </w:r>
    </w:p>
    <w:p w14:paraId="26284144" w14:textId="77777777" w:rsidR="00000000" w:rsidRDefault="009027A3">
      <w:pPr>
        <w:pStyle w:val="a3"/>
        <w:shd w:val="clear" w:color="auto" w:fill="FFFFFF"/>
        <w:spacing w:before="0" w:beforeAutospacing="0" w:after="0" w:afterAutospacing="0"/>
        <w:jc w:val="both"/>
        <w:rPr>
          <w:sz w:val="20"/>
          <w:szCs w:val="20"/>
        </w:rPr>
      </w:pPr>
      <w:r>
        <w:rPr>
          <w:b/>
          <w:bCs/>
          <w:i/>
          <w:iCs/>
          <w:sz w:val="20"/>
          <w:szCs w:val="20"/>
        </w:rPr>
        <w:t> </w:t>
      </w:r>
    </w:p>
    <w:p w14:paraId="715C95B5" w14:textId="77777777" w:rsidR="00000000" w:rsidRDefault="009027A3">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income - net was ($220,000) for the three months ended March 31, 2021 compared to other income - net of $445,000 for t</w:t>
      </w:r>
      <w:r>
        <w:rPr>
          <w:sz w:val="20"/>
          <w:szCs w:val="20"/>
        </w:rPr>
        <w:t>he three months ended March 31, 2020. Other (expense) income primarily represents foreign currency transaction gains and other expense primarily represents foreign currency transaction losses. These transaction gains and losses result from revaluing interc</w:t>
      </w:r>
      <w:r>
        <w:rPr>
          <w:sz w:val="20"/>
          <w:szCs w:val="20"/>
        </w:rPr>
        <w:t xml:space="preserve">ompany accounts whenever the exchange rate varies and are recorded in the condensed consolidated statements of operations. </w:t>
      </w:r>
    </w:p>
    <w:p w14:paraId="07E82FF4" w14:textId="77777777" w:rsidR="00000000" w:rsidRDefault="009027A3">
      <w:pPr>
        <w:pStyle w:val="a3"/>
        <w:shd w:val="clear" w:color="auto" w:fill="FFFFFF"/>
        <w:spacing w:before="0" w:beforeAutospacing="0" w:after="0" w:afterAutospacing="0"/>
        <w:ind w:firstLine="540"/>
        <w:jc w:val="both"/>
        <w:rPr>
          <w:sz w:val="20"/>
          <w:szCs w:val="20"/>
        </w:rPr>
      </w:pPr>
      <w:r>
        <w:rPr>
          <w:b/>
          <w:bCs/>
          <w:i/>
          <w:iCs/>
          <w:sz w:val="20"/>
          <w:szCs w:val="20"/>
        </w:rPr>
        <w:t> </w:t>
      </w:r>
    </w:p>
    <w:p w14:paraId="71844608" w14:textId="77777777" w:rsidR="00000000" w:rsidRDefault="009027A3">
      <w:pPr>
        <w:pStyle w:val="a3"/>
        <w:spacing w:before="0" w:beforeAutospacing="0" w:after="0" w:afterAutospacing="0"/>
        <w:jc w:val="both"/>
        <w:rPr>
          <w:sz w:val="20"/>
          <w:szCs w:val="20"/>
        </w:rPr>
      </w:pPr>
      <w:r>
        <w:rPr>
          <w:i/>
          <w:iCs/>
          <w:sz w:val="20"/>
          <w:szCs w:val="20"/>
        </w:rPr>
        <w:t xml:space="preserve">Income Tax Provision. </w:t>
      </w:r>
      <w:r>
        <w:rPr>
          <w:sz w:val="20"/>
          <w:szCs w:val="20"/>
        </w:rPr>
        <w:t>The benefit for income taxes was $1,000 for the three months ended March 31, 2021, compared to an income tax</w:t>
      </w:r>
      <w:r>
        <w:rPr>
          <w:sz w:val="20"/>
          <w:szCs w:val="20"/>
        </w:rPr>
        <w:t xml:space="preserve"> provision of $30,000 for the three months ended March 31, 2020. As a result of the Company incurring a tax loss for 2021 and 2020, which has an indefinite life under the current tax rules, the federal deferred tax liability was offset against the federal </w:t>
      </w:r>
      <w:r>
        <w:rPr>
          <w:sz w:val="20"/>
          <w:szCs w:val="20"/>
        </w:rPr>
        <w:t>net operating loss to the extent allowable in 2021 and 2020. The current income tax provision for the three months ended March 31, 2021 was approximately $35,000 and primarily relates to state minimum taxes and foreign income taxes. The Company has incurre</w:t>
      </w:r>
      <w:r>
        <w:rPr>
          <w:sz w:val="20"/>
          <w:szCs w:val="20"/>
        </w:rPr>
        <w:t>d cumulative losses historically and there is uncertainty regarding future U.S. taxable income, which makes realization of a deferred tax losses difficult to support in accordance with ASC 740. Accordingly, a valuation allowance was recorded against all de</w:t>
      </w:r>
      <w:r>
        <w:rPr>
          <w:sz w:val="20"/>
          <w:szCs w:val="20"/>
        </w:rPr>
        <w:t>ferred tax assets at March 31, 2021 and December 31, 2020.</w:t>
      </w:r>
    </w:p>
    <w:p w14:paraId="7A7F890E" w14:textId="77777777" w:rsidR="00000000" w:rsidRDefault="009027A3">
      <w:pPr>
        <w:pStyle w:val="a3"/>
        <w:spacing w:before="0" w:beforeAutospacing="0" w:after="0" w:afterAutospacing="0"/>
        <w:jc w:val="both"/>
        <w:rPr>
          <w:sz w:val="20"/>
          <w:szCs w:val="20"/>
        </w:rPr>
      </w:pPr>
      <w:r>
        <w:rPr>
          <w:sz w:val="20"/>
          <w:szCs w:val="20"/>
        </w:rPr>
        <w:t> </w:t>
      </w:r>
    </w:p>
    <w:p w14:paraId="09B9CA83" w14:textId="77777777" w:rsidR="00000000" w:rsidRDefault="009027A3">
      <w:pPr>
        <w:pStyle w:val="a3"/>
        <w:shd w:val="clear" w:color="auto" w:fill="FFFFFF"/>
        <w:spacing w:before="0" w:beforeAutospacing="0" w:after="0" w:afterAutospacing="0"/>
        <w:rPr>
          <w:sz w:val="20"/>
          <w:szCs w:val="20"/>
        </w:rPr>
      </w:pPr>
      <w:r>
        <w:rPr>
          <w:b/>
          <w:bCs/>
          <w:sz w:val="20"/>
          <w:szCs w:val="20"/>
        </w:rPr>
        <w:t>Liquidity and Capital Resources</w:t>
      </w:r>
    </w:p>
    <w:p w14:paraId="379AB0C6" w14:textId="77777777" w:rsidR="00000000" w:rsidRDefault="009027A3">
      <w:pPr>
        <w:pStyle w:val="a3"/>
        <w:spacing w:before="0" w:beforeAutospacing="0" w:after="0" w:afterAutospacing="0"/>
        <w:jc w:val="both"/>
        <w:rPr>
          <w:sz w:val="20"/>
          <w:szCs w:val="20"/>
        </w:rPr>
      </w:pPr>
      <w:r>
        <w:rPr>
          <w:sz w:val="20"/>
          <w:szCs w:val="20"/>
        </w:rPr>
        <w:t> </w:t>
      </w:r>
    </w:p>
    <w:p w14:paraId="447C63B6" w14:textId="77777777" w:rsidR="00000000" w:rsidRDefault="009027A3">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defined in the agreement.</w:t>
      </w:r>
    </w:p>
    <w:p w14:paraId="730A1767" w14:textId="77777777" w:rsidR="00000000" w:rsidRDefault="009027A3">
      <w:pPr>
        <w:pStyle w:val="a3"/>
        <w:shd w:val="clear" w:color="auto" w:fill="FFFFFF"/>
        <w:spacing w:before="0" w:beforeAutospacing="0" w:after="0" w:afterAutospacing="0"/>
        <w:rPr>
          <w:sz w:val="20"/>
          <w:szCs w:val="20"/>
        </w:rPr>
      </w:pPr>
      <w:r>
        <w:rPr>
          <w:b/>
          <w:bCs/>
          <w:sz w:val="20"/>
          <w:szCs w:val="20"/>
        </w:rPr>
        <w:t> </w:t>
      </w:r>
    </w:p>
    <w:p w14:paraId="6530C5E6" w14:textId="77777777" w:rsidR="00000000" w:rsidRDefault="009027A3">
      <w:pPr>
        <w:pStyle w:val="a3"/>
        <w:shd w:val="clear" w:color="auto" w:fill="FFFFFF"/>
        <w:spacing w:before="0" w:beforeAutospacing="0" w:after="0" w:afterAutospacing="0"/>
        <w:jc w:val="both"/>
        <w:rPr>
          <w:sz w:val="20"/>
          <w:szCs w:val="20"/>
        </w:rPr>
      </w:pPr>
      <w:r>
        <w:rPr>
          <w:sz w:val="20"/>
          <w:szCs w:val="20"/>
        </w:rPr>
        <w:t>During the thre</w:t>
      </w:r>
      <w:r>
        <w:rPr>
          <w:sz w:val="20"/>
          <w:szCs w:val="20"/>
        </w:rPr>
        <w:t>e months ended March 31, 2021, there was positive cash flow from operations of approximately $958,000. As of March 31, 2021, the Company had approximately $21.0 million in cash with nothing drawn on its line of credit, and positive working capital of $17.9</w:t>
      </w:r>
      <w:r>
        <w:rPr>
          <w:sz w:val="20"/>
          <w:szCs w:val="20"/>
        </w:rPr>
        <w:t xml:space="preserve"> million.</w:t>
      </w:r>
    </w:p>
    <w:p w14:paraId="1B24EF95"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307F799" w14:textId="77777777" w:rsidR="00000000" w:rsidRDefault="009027A3">
      <w:pPr>
        <w:pStyle w:val="a3"/>
        <w:shd w:val="clear" w:color="auto" w:fill="FFFFFF"/>
        <w:spacing w:before="0" w:beforeAutospacing="0" w:after="0" w:afterAutospacing="0"/>
        <w:jc w:val="both"/>
        <w:rPr>
          <w:sz w:val="20"/>
          <w:szCs w:val="20"/>
        </w:rPr>
      </w:pPr>
      <w:r>
        <w:rPr>
          <w:sz w:val="20"/>
          <w:szCs w:val="20"/>
        </w:rPr>
        <w:t>During April 2020, the Company sold 828,000 shares of its Series A Preferred Stock and received net proceeds of approximately $19.0 million, after issuance expenses. A portion of these proceeds was used to fully repay the line of credit outstan</w:t>
      </w:r>
      <w:r>
        <w:rPr>
          <w:sz w:val="20"/>
          <w:szCs w:val="20"/>
        </w:rPr>
        <w:t>ding at March 31, 2020.</w:t>
      </w:r>
    </w:p>
    <w:p w14:paraId="13B2ABE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63EB6F8" w14:textId="77777777">
        <w:trPr>
          <w:divId w:val="622158486"/>
        </w:trPr>
        <w:tc>
          <w:tcPr>
            <w:tcW w:w="5000" w:type="pct"/>
            <w:hideMark/>
          </w:tcPr>
          <w:p w14:paraId="487AB356"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06689F80" w14:textId="77777777">
        <w:tc>
          <w:tcPr>
            <w:tcW w:w="5000" w:type="pct"/>
            <w:hideMark/>
          </w:tcPr>
          <w:p w14:paraId="4EFE21EF" w14:textId="77777777" w:rsidR="00000000" w:rsidRDefault="009027A3">
            <w:pPr>
              <w:rPr>
                <w:rFonts w:eastAsia="Times New Roman"/>
                <w:sz w:val="20"/>
                <w:szCs w:val="20"/>
              </w:rPr>
            </w:pPr>
            <w:r>
              <w:rPr>
                <w:rFonts w:eastAsia="Times New Roman"/>
                <w:sz w:val="20"/>
                <w:szCs w:val="20"/>
              </w:rPr>
              <w:t> </w:t>
            </w:r>
          </w:p>
        </w:tc>
      </w:tr>
    </w:tbl>
    <w:p w14:paraId="76BBA486"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17A39D45"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July 2020, the Company sold 1,104,000 shares of its series A Preferred Stock and received net proceeds of approximately $25.6 million, after issuance expenses. A portion of these proceeds was used to repay the line of credit outstanding at June 30, 2020.</w:t>
      </w:r>
    </w:p>
    <w:p w14:paraId="7AD52BD1"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5EFEE344" w14:textId="77777777" w:rsidR="00000000" w:rsidRDefault="009027A3">
      <w:pPr>
        <w:pStyle w:val="a3"/>
        <w:shd w:val="clear" w:color="auto" w:fill="FFFFFF"/>
        <w:spacing w:before="0" w:beforeAutospacing="0" w:after="0" w:afterAutospacing="0"/>
        <w:jc w:val="both"/>
        <w:rPr>
          <w:sz w:val="20"/>
          <w:szCs w:val="20"/>
        </w:rPr>
      </w:pPr>
      <w:r>
        <w:rPr>
          <w:sz w:val="20"/>
          <w:szCs w:val="20"/>
        </w:rPr>
        <w:t>During the current quarter, 858,000 warrants for common stock issued to Midcap Funding as part of the consideration for the Meridian acquisition were exercised at an exercise price of $7.50 per warrant.</w:t>
      </w:r>
    </w:p>
    <w:p w14:paraId="736188BC"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FC776C0" w14:textId="77777777" w:rsidR="00000000" w:rsidRDefault="009027A3">
      <w:pPr>
        <w:pStyle w:val="a3"/>
        <w:shd w:val="clear" w:color="auto" w:fill="FFFFFF"/>
        <w:spacing w:before="0" w:beforeAutospacing="0" w:after="0" w:afterAutospacing="0"/>
        <w:rPr>
          <w:sz w:val="20"/>
          <w:szCs w:val="20"/>
        </w:rPr>
      </w:pPr>
      <w:r>
        <w:rPr>
          <w:sz w:val="20"/>
          <w:szCs w:val="20"/>
        </w:rPr>
        <w:t xml:space="preserve">The following table summarizes our cash flows for </w:t>
      </w:r>
      <w:r>
        <w:rPr>
          <w:sz w:val="20"/>
          <w:szCs w:val="20"/>
        </w:rPr>
        <w:t>the periods presented:</w:t>
      </w:r>
    </w:p>
    <w:p w14:paraId="222397AB" w14:textId="77777777" w:rsidR="00000000" w:rsidRDefault="009027A3">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14:paraId="2271A0D9" w14:textId="77777777">
        <w:tc>
          <w:tcPr>
            <w:tcW w:w="0" w:type="auto"/>
            <w:vAlign w:val="bottom"/>
            <w:hideMark/>
          </w:tcPr>
          <w:p w14:paraId="4A7E2E99"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CE7540"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C751801" w14:textId="77777777" w:rsidR="00000000" w:rsidRDefault="009027A3">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7326AC96"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DB7E89C" w14:textId="77777777" w:rsidR="00000000" w:rsidRDefault="009027A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36374BA" w14:textId="77777777" w:rsidR="00000000" w:rsidRDefault="009027A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1981C50F" w14:textId="77777777" w:rsidR="00000000" w:rsidRDefault="009027A3">
            <w:pPr>
              <w:rPr>
                <w:rFonts w:eastAsia="Times New Roman"/>
                <w:b/>
                <w:bCs/>
                <w:sz w:val="20"/>
                <w:szCs w:val="20"/>
              </w:rPr>
            </w:pPr>
            <w:r>
              <w:rPr>
                <w:rFonts w:eastAsia="Times New Roman"/>
                <w:b/>
                <w:bCs/>
                <w:sz w:val="20"/>
                <w:szCs w:val="20"/>
              </w:rPr>
              <w:t> </w:t>
            </w:r>
          </w:p>
        </w:tc>
      </w:tr>
      <w:tr w:rsidR="00000000" w14:paraId="1322FD41" w14:textId="77777777">
        <w:tc>
          <w:tcPr>
            <w:tcW w:w="0" w:type="auto"/>
            <w:vAlign w:val="bottom"/>
            <w:hideMark/>
          </w:tcPr>
          <w:p w14:paraId="7C347AD9"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59C4C1"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DDE593" w14:textId="77777777" w:rsidR="00000000" w:rsidRDefault="009027A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5BCFA7E"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DE26F33"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2D09D37" w14:textId="77777777" w:rsidR="00000000" w:rsidRDefault="009027A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82C2ED4"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0D71C7"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D2B54F" w14:textId="77777777" w:rsidR="00000000" w:rsidRDefault="009027A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682859E" w14:textId="77777777" w:rsidR="00000000" w:rsidRDefault="009027A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84CEA25" w14:textId="77777777" w:rsidR="00000000" w:rsidRDefault="009027A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9BF6EEC" w14:textId="77777777" w:rsidR="00000000" w:rsidRDefault="009027A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00F39A2" w14:textId="77777777" w:rsidR="00000000" w:rsidRDefault="009027A3">
            <w:pPr>
              <w:rPr>
                <w:rFonts w:eastAsia="Times New Roman"/>
                <w:b/>
                <w:bCs/>
                <w:sz w:val="20"/>
                <w:szCs w:val="20"/>
              </w:rPr>
            </w:pPr>
            <w:r>
              <w:rPr>
                <w:rFonts w:eastAsia="Times New Roman"/>
                <w:b/>
                <w:bCs/>
                <w:sz w:val="20"/>
                <w:szCs w:val="20"/>
              </w:rPr>
              <w:t> </w:t>
            </w:r>
          </w:p>
        </w:tc>
      </w:tr>
      <w:tr w:rsidR="00000000" w14:paraId="1F7322EB" w14:textId="77777777">
        <w:tc>
          <w:tcPr>
            <w:tcW w:w="0" w:type="auto"/>
            <w:vAlign w:val="bottom"/>
            <w:hideMark/>
          </w:tcPr>
          <w:p w14:paraId="405A74C4"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693E47FC" w14:textId="77777777" w:rsidR="00000000" w:rsidRDefault="009027A3">
            <w:pPr>
              <w:rPr>
                <w:rFonts w:eastAsia="Times New Roman"/>
                <w:sz w:val="20"/>
                <w:szCs w:val="20"/>
              </w:rPr>
            </w:pPr>
            <w:r>
              <w:rPr>
                <w:rFonts w:eastAsia="Times New Roman"/>
                <w:sz w:val="20"/>
                <w:szCs w:val="20"/>
              </w:rPr>
              <w:t> </w:t>
            </w:r>
          </w:p>
        </w:tc>
        <w:tc>
          <w:tcPr>
            <w:tcW w:w="0" w:type="auto"/>
            <w:gridSpan w:val="10"/>
            <w:vAlign w:val="bottom"/>
            <w:hideMark/>
          </w:tcPr>
          <w:p w14:paraId="155C8503" w14:textId="77777777" w:rsidR="00000000" w:rsidRDefault="009027A3">
            <w:pPr>
              <w:jc w:val="center"/>
              <w:rPr>
                <w:rFonts w:eastAsia="Times New Roman"/>
                <w:sz w:val="20"/>
                <w:szCs w:val="20"/>
              </w:rPr>
            </w:pPr>
            <w:r>
              <w:rPr>
                <w:rFonts w:eastAsia="Times New Roman"/>
                <w:sz w:val="20"/>
                <w:szCs w:val="20"/>
              </w:rPr>
              <w:t>($ in thousands)</w:t>
            </w:r>
          </w:p>
        </w:tc>
        <w:tc>
          <w:tcPr>
            <w:tcW w:w="0" w:type="auto"/>
            <w:vAlign w:val="bottom"/>
            <w:hideMark/>
          </w:tcPr>
          <w:p w14:paraId="19677E3D"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32629BD7" w14:textId="77777777" w:rsidR="00000000" w:rsidRDefault="009027A3">
            <w:pPr>
              <w:rPr>
                <w:rFonts w:eastAsia="Times New Roman"/>
                <w:sz w:val="20"/>
                <w:szCs w:val="20"/>
              </w:rPr>
            </w:pPr>
            <w:r>
              <w:rPr>
                <w:rFonts w:eastAsia="Times New Roman"/>
                <w:sz w:val="20"/>
                <w:szCs w:val="20"/>
              </w:rPr>
              <w:t> </w:t>
            </w:r>
          </w:p>
        </w:tc>
        <w:tc>
          <w:tcPr>
            <w:tcW w:w="0" w:type="auto"/>
            <w:gridSpan w:val="2"/>
            <w:vAlign w:val="bottom"/>
            <w:hideMark/>
          </w:tcPr>
          <w:p w14:paraId="0C014AFE" w14:textId="77777777" w:rsidR="00000000" w:rsidRDefault="009027A3">
            <w:pPr>
              <w:rPr>
                <w:rFonts w:eastAsia="Times New Roman"/>
                <w:sz w:val="20"/>
                <w:szCs w:val="20"/>
              </w:rPr>
            </w:pPr>
            <w:r>
              <w:rPr>
                <w:rFonts w:eastAsia="Times New Roman"/>
                <w:sz w:val="20"/>
                <w:szCs w:val="20"/>
              </w:rPr>
              <w:t> </w:t>
            </w:r>
          </w:p>
        </w:tc>
        <w:tc>
          <w:tcPr>
            <w:tcW w:w="0" w:type="auto"/>
            <w:vAlign w:val="bottom"/>
            <w:hideMark/>
          </w:tcPr>
          <w:p w14:paraId="28A6BB7B" w14:textId="77777777" w:rsidR="00000000" w:rsidRDefault="009027A3">
            <w:pPr>
              <w:rPr>
                <w:rFonts w:eastAsia="Times New Roman"/>
                <w:sz w:val="20"/>
                <w:szCs w:val="20"/>
              </w:rPr>
            </w:pPr>
            <w:r>
              <w:rPr>
                <w:rFonts w:eastAsia="Times New Roman"/>
                <w:sz w:val="20"/>
                <w:szCs w:val="20"/>
              </w:rPr>
              <w:t> </w:t>
            </w:r>
          </w:p>
        </w:tc>
      </w:tr>
      <w:tr w:rsidR="00000000" w14:paraId="2D087B6B" w14:textId="77777777">
        <w:tc>
          <w:tcPr>
            <w:tcW w:w="1800" w:type="pct"/>
            <w:shd w:val="clear" w:color="auto" w:fill="CCEEFF"/>
            <w:vAlign w:val="bottom"/>
            <w:hideMark/>
          </w:tcPr>
          <w:p w14:paraId="1F0F64EB" w14:textId="77777777" w:rsidR="00000000" w:rsidRDefault="009027A3">
            <w:pPr>
              <w:rPr>
                <w:rFonts w:eastAsia="Times New Roman"/>
                <w:sz w:val="20"/>
                <w:szCs w:val="20"/>
              </w:rPr>
            </w:pPr>
            <w:r>
              <w:rPr>
                <w:rFonts w:eastAsia="Times New Roman"/>
                <w:sz w:val="20"/>
                <w:szCs w:val="20"/>
              </w:rPr>
              <w:t>Net cash provided by (used in) operating activities</w:t>
            </w:r>
          </w:p>
        </w:tc>
        <w:tc>
          <w:tcPr>
            <w:tcW w:w="100" w:type="pct"/>
            <w:shd w:val="clear" w:color="auto" w:fill="CCEEFF"/>
            <w:vAlign w:val="bottom"/>
            <w:hideMark/>
          </w:tcPr>
          <w:p w14:paraId="2C9F5327"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45D974"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DB4329F" w14:textId="77777777" w:rsidR="00000000" w:rsidRDefault="009027A3">
            <w:pPr>
              <w:jc w:val="right"/>
              <w:rPr>
                <w:rFonts w:eastAsia="Times New Roman"/>
                <w:sz w:val="20"/>
                <w:szCs w:val="20"/>
              </w:rPr>
            </w:pPr>
            <w:r>
              <w:rPr>
                <w:rFonts w:eastAsia="Times New Roman"/>
                <w:sz w:val="20"/>
                <w:szCs w:val="20"/>
              </w:rPr>
              <w:t>958</w:t>
            </w:r>
          </w:p>
        </w:tc>
        <w:tc>
          <w:tcPr>
            <w:tcW w:w="50" w:type="pct"/>
            <w:shd w:val="clear" w:color="auto" w:fill="CCEEFF"/>
            <w:vAlign w:val="bottom"/>
            <w:hideMark/>
          </w:tcPr>
          <w:p w14:paraId="1506E4CB"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483E9DB"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AF538C"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824E54B" w14:textId="77777777" w:rsidR="00000000" w:rsidRDefault="009027A3">
            <w:pPr>
              <w:jc w:val="right"/>
              <w:rPr>
                <w:rFonts w:eastAsia="Times New Roman"/>
                <w:sz w:val="20"/>
                <w:szCs w:val="20"/>
              </w:rPr>
            </w:pPr>
            <w:r>
              <w:rPr>
                <w:rFonts w:eastAsia="Times New Roman"/>
                <w:sz w:val="20"/>
                <w:szCs w:val="20"/>
              </w:rPr>
              <w:t>(3,884</w:t>
            </w:r>
          </w:p>
        </w:tc>
        <w:tc>
          <w:tcPr>
            <w:tcW w:w="50" w:type="pct"/>
            <w:shd w:val="clear" w:color="auto" w:fill="CCEEFF"/>
            <w:vAlign w:val="bottom"/>
            <w:hideMark/>
          </w:tcPr>
          <w:p w14:paraId="4A7D5A5E" w14:textId="77777777" w:rsidR="00000000" w:rsidRDefault="009027A3">
            <w:pPr>
              <w:rPr>
                <w:rFonts w:eastAsia="Times New Roman"/>
                <w:sz w:val="20"/>
                <w:szCs w:val="20"/>
              </w:rPr>
            </w:pPr>
            <w:r>
              <w:rPr>
                <w:rFonts w:eastAsia="Times New Roman"/>
                <w:sz w:val="20"/>
                <w:szCs w:val="20"/>
              </w:rPr>
              <w:t>)</w:t>
            </w:r>
          </w:p>
        </w:tc>
        <w:tc>
          <w:tcPr>
            <w:tcW w:w="100" w:type="pct"/>
            <w:shd w:val="clear" w:color="auto" w:fill="CCEEFF"/>
            <w:vAlign w:val="bottom"/>
            <w:hideMark/>
          </w:tcPr>
          <w:p w14:paraId="4600A61C"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F15179" w14:textId="77777777" w:rsidR="00000000" w:rsidRDefault="009027A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1CF4581" w14:textId="77777777" w:rsidR="00000000" w:rsidRDefault="009027A3">
            <w:pPr>
              <w:jc w:val="right"/>
              <w:rPr>
                <w:rFonts w:eastAsia="Times New Roman"/>
                <w:sz w:val="20"/>
                <w:szCs w:val="20"/>
              </w:rPr>
            </w:pPr>
            <w:r>
              <w:rPr>
                <w:rFonts w:eastAsia="Times New Roman"/>
                <w:sz w:val="20"/>
                <w:szCs w:val="20"/>
              </w:rPr>
              <w:t>4,842</w:t>
            </w:r>
          </w:p>
        </w:tc>
        <w:tc>
          <w:tcPr>
            <w:tcW w:w="50" w:type="pct"/>
            <w:shd w:val="clear" w:color="auto" w:fill="CCEEFF"/>
            <w:vAlign w:val="bottom"/>
            <w:hideMark/>
          </w:tcPr>
          <w:p w14:paraId="47AA48B2" w14:textId="77777777" w:rsidR="00000000" w:rsidRDefault="009027A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AB39E8B" w14:textId="77777777" w:rsidR="00000000" w:rsidRDefault="009027A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D61816" w14:textId="77777777" w:rsidR="00000000" w:rsidRDefault="009027A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66B273" w14:textId="77777777" w:rsidR="00000000" w:rsidRDefault="009027A3">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14:paraId="6DD8B0EE" w14:textId="77777777" w:rsidR="00000000" w:rsidRDefault="009027A3">
            <w:pPr>
              <w:rPr>
                <w:rFonts w:eastAsia="Times New Roman"/>
                <w:sz w:val="20"/>
                <w:szCs w:val="20"/>
              </w:rPr>
            </w:pPr>
            <w:r>
              <w:rPr>
                <w:rFonts w:eastAsia="Times New Roman"/>
                <w:sz w:val="20"/>
                <w:szCs w:val="20"/>
              </w:rPr>
              <w:t>%)</w:t>
            </w:r>
          </w:p>
        </w:tc>
      </w:tr>
      <w:tr w:rsidR="00000000" w14:paraId="305C2DE7" w14:textId="77777777">
        <w:tc>
          <w:tcPr>
            <w:tcW w:w="0" w:type="auto"/>
            <w:shd w:val="clear" w:color="auto" w:fill="FFFFFF"/>
            <w:vAlign w:val="bottom"/>
            <w:hideMark/>
          </w:tcPr>
          <w:p w14:paraId="39739382" w14:textId="77777777" w:rsidR="00000000" w:rsidRDefault="009027A3">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21EEC1B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89402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EC906" w14:textId="77777777" w:rsidR="00000000" w:rsidRDefault="009027A3">
            <w:pPr>
              <w:jc w:val="right"/>
              <w:rPr>
                <w:rFonts w:eastAsia="Times New Roman"/>
                <w:sz w:val="20"/>
                <w:szCs w:val="20"/>
              </w:rPr>
            </w:pPr>
            <w:r>
              <w:rPr>
                <w:rFonts w:eastAsia="Times New Roman"/>
                <w:sz w:val="20"/>
                <w:szCs w:val="20"/>
              </w:rPr>
              <w:t>(2,219</w:t>
            </w:r>
          </w:p>
        </w:tc>
        <w:tc>
          <w:tcPr>
            <w:tcW w:w="0" w:type="auto"/>
            <w:shd w:val="clear" w:color="auto" w:fill="FFFFFF"/>
            <w:vAlign w:val="bottom"/>
            <w:hideMark/>
          </w:tcPr>
          <w:p w14:paraId="4822AF24"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75A5C840"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0026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A8191" w14:textId="77777777" w:rsidR="00000000" w:rsidRDefault="009027A3">
            <w:pPr>
              <w:jc w:val="right"/>
              <w:rPr>
                <w:rFonts w:eastAsia="Times New Roman"/>
                <w:sz w:val="20"/>
                <w:szCs w:val="20"/>
              </w:rPr>
            </w:pPr>
            <w:r>
              <w:rPr>
                <w:rFonts w:eastAsia="Times New Roman"/>
                <w:sz w:val="20"/>
                <w:szCs w:val="20"/>
              </w:rPr>
              <w:t>(14,033</w:t>
            </w:r>
          </w:p>
        </w:tc>
        <w:tc>
          <w:tcPr>
            <w:tcW w:w="0" w:type="auto"/>
            <w:shd w:val="clear" w:color="auto" w:fill="FFFFFF"/>
            <w:vAlign w:val="bottom"/>
            <w:hideMark/>
          </w:tcPr>
          <w:p w14:paraId="0DA962FB"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vAlign w:val="bottom"/>
            <w:hideMark/>
          </w:tcPr>
          <w:p w14:paraId="3646FFB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CE2B9"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2CBD8" w14:textId="77777777" w:rsidR="00000000" w:rsidRDefault="009027A3">
            <w:pPr>
              <w:jc w:val="right"/>
              <w:rPr>
                <w:rFonts w:eastAsia="Times New Roman"/>
                <w:sz w:val="20"/>
                <w:szCs w:val="20"/>
              </w:rPr>
            </w:pPr>
            <w:r>
              <w:rPr>
                <w:rFonts w:eastAsia="Times New Roman"/>
                <w:sz w:val="20"/>
                <w:szCs w:val="20"/>
              </w:rPr>
              <w:t>11,814</w:t>
            </w:r>
          </w:p>
        </w:tc>
        <w:tc>
          <w:tcPr>
            <w:tcW w:w="0" w:type="auto"/>
            <w:shd w:val="clear" w:color="auto" w:fill="FFFFFF"/>
            <w:vAlign w:val="bottom"/>
            <w:hideMark/>
          </w:tcPr>
          <w:p w14:paraId="40F2E1E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0485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4C02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D2E27" w14:textId="77777777" w:rsidR="00000000" w:rsidRDefault="009027A3">
            <w:pPr>
              <w:jc w:val="right"/>
              <w:rPr>
                <w:rFonts w:eastAsia="Times New Roman"/>
                <w:sz w:val="20"/>
                <w:szCs w:val="20"/>
              </w:rPr>
            </w:pPr>
            <w:r>
              <w:rPr>
                <w:rFonts w:eastAsia="Times New Roman"/>
                <w:sz w:val="20"/>
                <w:szCs w:val="20"/>
              </w:rPr>
              <w:t>(84</w:t>
            </w:r>
          </w:p>
        </w:tc>
        <w:tc>
          <w:tcPr>
            <w:tcW w:w="0" w:type="auto"/>
            <w:shd w:val="clear" w:color="auto" w:fill="FFFFFF"/>
            <w:vAlign w:val="bottom"/>
            <w:hideMark/>
          </w:tcPr>
          <w:p w14:paraId="79E063A8" w14:textId="77777777" w:rsidR="00000000" w:rsidRDefault="009027A3">
            <w:pPr>
              <w:rPr>
                <w:rFonts w:eastAsia="Times New Roman"/>
                <w:sz w:val="20"/>
                <w:szCs w:val="20"/>
              </w:rPr>
            </w:pPr>
            <w:r>
              <w:rPr>
                <w:rFonts w:eastAsia="Times New Roman"/>
                <w:sz w:val="20"/>
                <w:szCs w:val="20"/>
              </w:rPr>
              <w:t>%)</w:t>
            </w:r>
          </w:p>
        </w:tc>
      </w:tr>
      <w:tr w:rsidR="00000000" w14:paraId="01C7FF25" w14:textId="77777777">
        <w:tc>
          <w:tcPr>
            <w:tcW w:w="0" w:type="auto"/>
            <w:shd w:val="clear" w:color="auto" w:fill="CCEEFF"/>
            <w:vAlign w:val="bottom"/>
            <w:hideMark/>
          </w:tcPr>
          <w:p w14:paraId="5B59B2C9" w14:textId="77777777" w:rsidR="00000000" w:rsidRDefault="009027A3">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14:paraId="1B2CA7E2"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13AEE"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E8E48" w14:textId="77777777" w:rsidR="00000000" w:rsidRDefault="009027A3">
            <w:pPr>
              <w:jc w:val="right"/>
              <w:rPr>
                <w:rFonts w:eastAsia="Times New Roman"/>
                <w:sz w:val="20"/>
                <w:szCs w:val="20"/>
              </w:rPr>
            </w:pPr>
            <w:r>
              <w:rPr>
                <w:rFonts w:eastAsia="Times New Roman"/>
                <w:sz w:val="20"/>
                <w:szCs w:val="20"/>
              </w:rPr>
              <w:t>1,157</w:t>
            </w:r>
          </w:p>
        </w:tc>
        <w:tc>
          <w:tcPr>
            <w:tcW w:w="0" w:type="auto"/>
            <w:shd w:val="clear" w:color="auto" w:fill="CCEEFF"/>
            <w:vAlign w:val="bottom"/>
            <w:hideMark/>
          </w:tcPr>
          <w:p w14:paraId="2595477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E42607"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3CD6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BFA27" w14:textId="77777777" w:rsidR="00000000" w:rsidRDefault="009027A3">
            <w:pPr>
              <w:jc w:val="right"/>
              <w:rPr>
                <w:rFonts w:eastAsia="Times New Roman"/>
                <w:sz w:val="20"/>
                <w:szCs w:val="20"/>
              </w:rPr>
            </w:pPr>
            <w:r>
              <w:rPr>
                <w:rFonts w:eastAsia="Times New Roman"/>
                <w:sz w:val="20"/>
                <w:szCs w:val="20"/>
              </w:rPr>
              <w:t>6,810</w:t>
            </w:r>
          </w:p>
        </w:tc>
        <w:tc>
          <w:tcPr>
            <w:tcW w:w="0" w:type="auto"/>
            <w:shd w:val="clear" w:color="auto" w:fill="CCEEFF"/>
            <w:vAlign w:val="bottom"/>
            <w:hideMark/>
          </w:tcPr>
          <w:p w14:paraId="29F88F2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95F21"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34E26"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A0DDB" w14:textId="77777777" w:rsidR="00000000" w:rsidRDefault="009027A3">
            <w:pPr>
              <w:jc w:val="right"/>
              <w:rPr>
                <w:rFonts w:eastAsia="Times New Roman"/>
                <w:sz w:val="20"/>
                <w:szCs w:val="20"/>
              </w:rPr>
            </w:pPr>
            <w:r>
              <w:rPr>
                <w:rFonts w:eastAsia="Times New Roman"/>
                <w:sz w:val="20"/>
                <w:szCs w:val="20"/>
              </w:rPr>
              <w:t>(5,653</w:t>
            </w:r>
          </w:p>
        </w:tc>
        <w:tc>
          <w:tcPr>
            <w:tcW w:w="0" w:type="auto"/>
            <w:shd w:val="clear" w:color="auto" w:fill="CCEEFF"/>
            <w:vAlign w:val="bottom"/>
            <w:hideMark/>
          </w:tcPr>
          <w:p w14:paraId="6E323C62"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vAlign w:val="bottom"/>
            <w:hideMark/>
          </w:tcPr>
          <w:p w14:paraId="184373CA"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DCD58"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7B9552" w14:textId="77777777" w:rsidR="00000000" w:rsidRDefault="009027A3">
            <w:pPr>
              <w:jc w:val="right"/>
              <w:rPr>
                <w:rFonts w:eastAsia="Times New Roman"/>
                <w:sz w:val="20"/>
                <w:szCs w:val="20"/>
              </w:rPr>
            </w:pPr>
            <w:r>
              <w:rPr>
                <w:rFonts w:eastAsia="Times New Roman"/>
                <w:sz w:val="20"/>
                <w:szCs w:val="20"/>
              </w:rPr>
              <w:t>(83</w:t>
            </w:r>
          </w:p>
        </w:tc>
        <w:tc>
          <w:tcPr>
            <w:tcW w:w="0" w:type="auto"/>
            <w:shd w:val="clear" w:color="auto" w:fill="CCEEFF"/>
            <w:vAlign w:val="bottom"/>
            <w:hideMark/>
          </w:tcPr>
          <w:p w14:paraId="5A1C1113" w14:textId="77777777" w:rsidR="00000000" w:rsidRDefault="009027A3">
            <w:pPr>
              <w:rPr>
                <w:rFonts w:eastAsia="Times New Roman"/>
                <w:sz w:val="20"/>
                <w:szCs w:val="20"/>
              </w:rPr>
            </w:pPr>
            <w:r>
              <w:rPr>
                <w:rFonts w:eastAsia="Times New Roman"/>
                <w:sz w:val="20"/>
                <w:szCs w:val="20"/>
              </w:rPr>
              <w:t>%)</w:t>
            </w:r>
          </w:p>
        </w:tc>
      </w:tr>
      <w:tr w:rsidR="00000000" w14:paraId="62CD6820" w14:textId="77777777">
        <w:tc>
          <w:tcPr>
            <w:tcW w:w="0" w:type="auto"/>
            <w:shd w:val="clear" w:color="auto" w:fill="FFFFFF"/>
            <w:tcMar>
              <w:top w:w="0" w:type="dxa"/>
              <w:left w:w="0" w:type="dxa"/>
              <w:bottom w:w="30" w:type="dxa"/>
              <w:right w:w="0" w:type="dxa"/>
            </w:tcMar>
            <w:vAlign w:val="bottom"/>
            <w:hideMark/>
          </w:tcPr>
          <w:p w14:paraId="7093CE82" w14:textId="77777777" w:rsidR="00000000" w:rsidRDefault="009027A3">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7166478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D362B4"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7E910B" w14:textId="77777777" w:rsidR="00000000" w:rsidRDefault="009027A3">
            <w:pPr>
              <w:jc w:val="right"/>
              <w:rPr>
                <w:rFonts w:eastAsia="Times New Roman"/>
                <w:sz w:val="20"/>
                <w:szCs w:val="20"/>
              </w:rPr>
            </w:pPr>
            <w:r>
              <w:rPr>
                <w:rFonts w:eastAsia="Times New Roman"/>
                <w:sz w:val="20"/>
                <w:szCs w:val="20"/>
              </w:rPr>
              <w:t>174</w:t>
            </w:r>
          </w:p>
        </w:tc>
        <w:tc>
          <w:tcPr>
            <w:tcW w:w="0" w:type="auto"/>
            <w:shd w:val="clear" w:color="auto" w:fill="FFFFFF"/>
            <w:tcMar>
              <w:top w:w="0" w:type="dxa"/>
              <w:left w:w="0" w:type="dxa"/>
              <w:bottom w:w="30" w:type="dxa"/>
              <w:right w:w="0" w:type="dxa"/>
            </w:tcMar>
            <w:vAlign w:val="bottom"/>
            <w:hideMark/>
          </w:tcPr>
          <w:p w14:paraId="4D8F445D"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3E76E2"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63806F"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431557" w14:textId="77777777" w:rsidR="00000000" w:rsidRDefault="009027A3">
            <w:pPr>
              <w:jc w:val="right"/>
              <w:rPr>
                <w:rFonts w:eastAsia="Times New Roman"/>
                <w:sz w:val="20"/>
                <w:szCs w:val="20"/>
              </w:rPr>
            </w:pPr>
            <w:r>
              <w:rPr>
                <w:rFonts w:eastAsia="Times New Roman"/>
                <w:sz w:val="20"/>
                <w:szCs w:val="20"/>
              </w:rPr>
              <w:t>(492</w:t>
            </w:r>
          </w:p>
        </w:tc>
        <w:tc>
          <w:tcPr>
            <w:tcW w:w="0" w:type="auto"/>
            <w:shd w:val="clear" w:color="auto" w:fill="FFFFFF"/>
            <w:tcMar>
              <w:top w:w="0" w:type="dxa"/>
              <w:left w:w="0" w:type="dxa"/>
              <w:bottom w:w="30" w:type="dxa"/>
              <w:right w:w="0" w:type="dxa"/>
            </w:tcMar>
            <w:vAlign w:val="bottom"/>
            <w:hideMark/>
          </w:tcPr>
          <w:p w14:paraId="47967D7A" w14:textId="77777777" w:rsidR="00000000" w:rsidRDefault="009027A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358871C"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443C8D"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D3BEF9" w14:textId="77777777" w:rsidR="00000000" w:rsidRDefault="009027A3">
            <w:pPr>
              <w:jc w:val="right"/>
              <w:rPr>
                <w:rFonts w:eastAsia="Times New Roman"/>
                <w:sz w:val="20"/>
                <w:szCs w:val="20"/>
              </w:rPr>
            </w:pPr>
            <w:r>
              <w:rPr>
                <w:rFonts w:eastAsia="Times New Roman"/>
                <w:sz w:val="20"/>
                <w:szCs w:val="20"/>
              </w:rPr>
              <w:t>666</w:t>
            </w:r>
          </w:p>
        </w:tc>
        <w:tc>
          <w:tcPr>
            <w:tcW w:w="0" w:type="auto"/>
            <w:shd w:val="clear" w:color="auto" w:fill="FFFFFF"/>
            <w:tcMar>
              <w:top w:w="0" w:type="dxa"/>
              <w:left w:w="0" w:type="dxa"/>
              <w:bottom w:w="30" w:type="dxa"/>
              <w:right w:w="0" w:type="dxa"/>
            </w:tcMar>
            <w:vAlign w:val="bottom"/>
            <w:hideMark/>
          </w:tcPr>
          <w:p w14:paraId="30521074" w14:textId="77777777" w:rsidR="00000000" w:rsidRDefault="009027A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74DFC3E"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D2C903"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7666E8" w14:textId="77777777" w:rsidR="00000000" w:rsidRDefault="009027A3">
            <w:pPr>
              <w:jc w:val="right"/>
              <w:rPr>
                <w:rFonts w:eastAsia="Times New Roman"/>
                <w:sz w:val="20"/>
                <w:szCs w:val="20"/>
              </w:rPr>
            </w:pPr>
            <w:r>
              <w:rPr>
                <w:rFonts w:eastAsia="Times New Roman"/>
                <w:sz w:val="20"/>
                <w:szCs w:val="20"/>
              </w:rPr>
              <w:t>(135</w:t>
            </w:r>
          </w:p>
        </w:tc>
        <w:tc>
          <w:tcPr>
            <w:tcW w:w="0" w:type="auto"/>
            <w:shd w:val="clear" w:color="auto" w:fill="FFFFFF"/>
            <w:tcMar>
              <w:top w:w="0" w:type="dxa"/>
              <w:left w:w="0" w:type="dxa"/>
              <w:bottom w:w="30" w:type="dxa"/>
              <w:right w:w="0" w:type="dxa"/>
            </w:tcMar>
            <w:vAlign w:val="bottom"/>
            <w:hideMark/>
          </w:tcPr>
          <w:p w14:paraId="7356C4EB" w14:textId="77777777" w:rsidR="00000000" w:rsidRDefault="009027A3">
            <w:pPr>
              <w:rPr>
                <w:rFonts w:eastAsia="Times New Roman"/>
                <w:sz w:val="20"/>
                <w:szCs w:val="20"/>
              </w:rPr>
            </w:pPr>
            <w:r>
              <w:rPr>
                <w:rFonts w:eastAsia="Times New Roman"/>
                <w:sz w:val="20"/>
                <w:szCs w:val="20"/>
              </w:rPr>
              <w:t>%)</w:t>
            </w:r>
          </w:p>
        </w:tc>
      </w:tr>
      <w:tr w:rsidR="00000000" w14:paraId="06310D53" w14:textId="77777777">
        <w:tc>
          <w:tcPr>
            <w:tcW w:w="0" w:type="auto"/>
            <w:shd w:val="clear" w:color="auto" w:fill="CCEEFF"/>
            <w:tcMar>
              <w:top w:w="0" w:type="dxa"/>
              <w:left w:w="0" w:type="dxa"/>
              <w:bottom w:w="50" w:type="dxa"/>
              <w:right w:w="0" w:type="dxa"/>
            </w:tcMar>
            <w:vAlign w:val="bottom"/>
            <w:hideMark/>
          </w:tcPr>
          <w:p w14:paraId="7D207E18" w14:textId="77777777" w:rsidR="00000000" w:rsidRDefault="009027A3">
            <w:pPr>
              <w:rPr>
                <w:rFonts w:eastAsia="Times New Roman"/>
                <w:sz w:val="20"/>
                <w:szCs w:val="20"/>
              </w:rPr>
            </w:pPr>
            <w:r>
              <w:rPr>
                <w:rFonts w:eastAsia="Times New Roman"/>
                <w:sz w:val="20"/>
                <w:szCs w:val="20"/>
              </w:rPr>
              <w:t>Net increase (decrease) in cash</w:t>
            </w:r>
          </w:p>
        </w:tc>
        <w:tc>
          <w:tcPr>
            <w:tcW w:w="0" w:type="auto"/>
            <w:shd w:val="clear" w:color="auto" w:fill="CCEEFF"/>
            <w:tcMar>
              <w:top w:w="0" w:type="dxa"/>
              <w:left w:w="0" w:type="dxa"/>
              <w:bottom w:w="50" w:type="dxa"/>
              <w:right w:w="0" w:type="dxa"/>
            </w:tcMar>
            <w:vAlign w:val="bottom"/>
            <w:hideMark/>
          </w:tcPr>
          <w:p w14:paraId="62926331"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F42E09"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96E3F0" w14:textId="77777777" w:rsidR="00000000" w:rsidRDefault="009027A3">
            <w:pPr>
              <w:jc w:val="right"/>
              <w:rPr>
                <w:rFonts w:eastAsia="Times New Roman"/>
                <w:sz w:val="20"/>
                <w:szCs w:val="20"/>
              </w:rPr>
            </w:pPr>
            <w:r>
              <w:rPr>
                <w:rFonts w:eastAsia="Times New Roman"/>
                <w:sz w:val="20"/>
                <w:szCs w:val="20"/>
              </w:rPr>
              <w:t>70</w:t>
            </w:r>
          </w:p>
        </w:tc>
        <w:tc>
          <w:tcPr>
            <w:tcW w:w="0" w:type="auto"/>
            <w:shd w:val="clear" w:color="auto" w:fill="CCEEFF"/>
            <w:tcMar>
              <w:top w:w="0" w:type="dxa"/>
              <w:left w:w="0" w:type="dxa"/>
              <w:bottom w:w="50" w:type="dxa"/>
              <w:right w:w="0" w:type="dxa"/>
            </w:tcMar>
            <w:vAlign w:val="bottom"/>
            <w:hideMark/>
          </w:tcPr>
          <w:p w14:paraId="25B351C5"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B54B566"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C00B28"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178D62D" w14:textId="77777777" w:rsidR="00000000" w:rsidRDefault="009027A3">
            <w:pPr>
              <w:jc w:val="right"/>
              <w:rPr>
                <w:rFonts w:eastAsia="Times New Roman"/>
                <w:sz w:val="20"/>
                <w:szCs w:val="20"/>
              </w:rPr>
            </w:pPr>
            <w:r>
              <w:rPr>
                <w:rFonts w:eastAsia="Times New Roman"/>
                <w:sz w:val="20"/>
                <w:szCs w:val="20"/>
              </w:rPr>
              <w:t>(11,599</w:t>
            </w:r>
          </w:p>
        </w:tc>
        <w:tc>
          <w:tcPr>
            <w:tcW w:w="0" w:type="auto"/>
            <w:shd w:val="clear" w:color="auto" w:fill="CCEEFF"/>
            <w:tcMar>
              <w:top w:w="0" w:type="dxa"/>
              <w:left w:w="0" w:type="dxa"/>
              <w:bottom w:w="50" w:type="dxa"/>
              <w:right w:w="0" w:type="dxa"/>
            </w:tcMar>
            <w:vAlign w:val="bottom"/>
            <w:hideMark/>
          </w:tcPr>
          <w:p w14:paraId="13BD2B41" w14:textId="77777777" w:rsidR="00000000" w:rsidRDefault="009027A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B312B37"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53B0B7" w14:textId="77777777" w:rsidR="00000000" w:rsidRDefault="009027A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AF2278" w14:textId="77777777" w:rsidR="00000000" w:rsidRDefault="009027A3">
            <w:pPr>
              <w:jc w:val="right"/>
              <w:rPr>
                <w:rFonts w:eastAsia="Times New Roman"/>
                <w:sz w:val="20"/>
                <w:szCs w:val="20"/>
              </w:rPr>
            </w:pPr>
            <w:r>
              <w:rPr>
                <w:rFonts w:eastAsia="Times New Roman"/>
                <w:sz w:val="20"/>
                <w:szCs w:val="20"/>
              </w:rPr>
              <w:t>11,669</w:t>
            </w:r>
          </w:p>
        </w:tc>
        <w:tc>
          <w:tcPr>
            <w:tcW w:w="0" w:type="auto"/>
            <w:shd w:val="clear" w:color="auto" w:fill="CCEEFF"/>
            <w:tcMar>
              <w:top w:w="0" w:type="dxa"/>
              <w:left w:w="0" w:type="dxa"/>
              <w:bottom w:w="50" w:type="dxa"/>
              <w:right w:w="0" w:type="dxa"/>
            </w:tcMar>
            <w:vAlign w:val="bottom"/>
            <w:hideMark/>
          </w:tcPr>
          <w:p w14:paraId="12C9FBBC" w14:textId="77777777" w:rsidR="00000000" w:rsidRDefault="009027A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9CB203B"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A05578" w14:textId="77777777" w:rsidR="00000000" w:rsidRDefault="009027A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FBB4DD" w14:textId="77777777" w:rsidR="00000000" w:rsidRDefault="009027A3">
            <w:pPr>
              <w:jc w:val="right"/>
              <w:rPr>
                <w:rFonts w:eastAsia="Times New Roman"/>
                <w:sz w:val="20"/>
                <w:szCs w:val="20"/>
              </w:rPr>
            </w:pPr>
            <w:r>
              <w:rPr>
                <w:rFonts w:eastAsia="Times New Roman"/>
                <w:sz w:val="20"/>
                <w:szCs w:val="20"/>
              </w:rPr>
              <w:t>(101</w:t>
            </w:r>
          </w:p>
        </w:tc>
        <w:tc>
          <w:tcPr>
            <w:tcW w:w="0" w:type="auto"/>
            <w:shd w:val="clear" w:color="auto" w:fill="CCEEFF"/>
            <w:tcMar>
              <w:top w:w="0" w:type="dxa"/>
              <w:left w:w="0" w:type="dxa"/>
              <w:bottom w:w="50" w:type="dxa"/>
              <w:right w:w="0" w:type="dxa"/>
            </w:tcMar>
            <w:vAlign w:val="bottom"/>
            <w:hideMark/>
          </w:tcPr>
          <w:p w14:paraId="005634B7" w14:textId="77777777" w:rsidR="00000000" w:rsidRDefault="009027A3">
            <w:pPr>
              <w:rPr>
                <w:rFonts w:eastAsia="Times New Roman"/>
                <w:sz w:val="20"/>
                <w:szCs w:val="20"/>
              </w:rPr>
            </w:pPr>
            <w:r>
              <w:rPr>
                <w:rFonts w:eastAsia="Times New Roman"/>
                <w:sz w:val="20"/>
                <w:szCs w:val="20"/>
              </w:rPr>
              <w:t>%)</w:t>
            </w:r>
          </w:p>
        </w:tc>
      </w:tr>
    </w:tbl>
    <w:p w14:paraId="22D8EF83"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77694BF0" w14:textId="77777777" w:rsidR="00000000" w:rsidRDefault="009027A3">
      <w:pPr>
        <w:pStyle w:val="a3"/>
        <w:spacing w:before="0" w:beforeAutospacing="0" w:after="0" w:afterAutospacing="0"/>
        <w:jc w:val="both"/>
        <w:rPr>
          <w:sz w:val="20"/>
          <w:szCs w:val="20"/>
        </w:rPr>
      </w:pPr>
      <w:r>
        <w:rPr>
          <w:sz w:val="20"/>
          <w:szCs w:val="20"/>
        </w:rPr>
        <w:t xml:space="preserve">The loss before income taxes was $2.0 million for the three months ended March 31, 2021, which included $2.8 million of non-cash depreciation and amortization. The loss before </w:t>
      </w:r>
      <w:r>
        <w:rPr>
          <w:sz w:val="20"/>
          <w:szCs w:val="20"/>
        </w:rPr>
        <w:t>taxes for the three and ended March 31, 2020 was $2.5 million, which included $1.3 million of non-cash depreciation and amortization.</w:t>
      </w:r>
    </w:p>
    <w:p w14:paraId="1D933DEC"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4BB4F0B"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2021, the Company currently estimates that it will need to pay approximately $4.2 million to resolve a civil investigation which one of the subsidiaries it acquired in 2020 has been subject to since July 2018. Of this amount, $4.0 million will come from es</w:t>
      </w:r>
      <w:r>
        <w:rPr>
          <w:sz w:val="20"/>
          <w:szCs w:val="20"/>
        </w:rPr>
        <w:t>crowed shares of preferred stock that the Company holds.</w:t>
      </w:r>
    </w:p>
    <w:p w14:paraId="10D41757"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33901CE1" w14:textId="77777777" w:rsidR="00000000" w:rsidRDefault="009027A3">
      <w:pPr>
        <w:pStyle w:val="a3"/>
        <w:shd w:val="clear" w:color="auto" w:fill="FFFFFF"/>
        <w:spacing w:before="0" w:beforeAutospacing="0" w:after="0" w:afterAutospacing="0"/>
        <w:jc w:val="both"/>
        <w:rPr>
          <w:sz w:val="20"/>
          <w:szCs w:val="20"/>
        </w:rPr>
      </w:pPr>
      <w:r>
        <w:rPr>
          <w:b/>
          <w:bCs/>
          <w:i/>
          <w:iCs/>
          <w:sz w:val="20"/>
          <w:szCs w:val="20"/>
        </w:rPr>
        <w:t>Operating Activities</w:t>
      </w:r>
    </w:p>
    <w:p w14:paraId="3AB0A706"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26046F5E" w14:textId="77777777" w:rsidR="00000000" w:rsidRDefault="009027A3">
      <w:pPr>
        <w:pStyle w:val="a3"/>
        <w:spacing w:before="0" w:beforeAutospacing="0" w:after="0" w:afterAutospacing="0"/>
        <w:jc w:val="both"/>
        <w:rPr>
          <w:sz w:val="20"/>
          <w:szCs w:val="20"/>
        </w:rPr>
      </w:pPr>
      <w:r>
        <w:rPr>
          <w:sz w:val="20"/>
          <w:szCs w:val="20"/>
        </w:rPr>
        <w:t>Cash provided by operating activities was $958,000 for the three months ended March 31, 2021 and cash used by operating activities was $3.9 million during the three months en</w:t>
      </w:r>
      <w:r>
        <w:rPr>
          <w:sz w:val="20"/>
          <w:szCs w:val="20"/>
        </w:rPr>
        <w:t>ded March 31, 2020. The decrease in the net loss of $538,000 for the three months ended March 31, 2021 as compared to the same period in 2020 was accompanied by the following changes in non-cash items: an increase in depreciation and amortization expense o</w:t>
      </w:r>
      <w:r>
        <w:rPr>
          <w:sz w:val="20"/>
          <w:szCs w:val="20"/>
        </w:rPr>
        <w:t xml:space="preserve">f $1.4 million, a decrease in stock-based compensation expense of $40,000, a change in the benefit for deferred income taxes of $51,000 and a decrease in interest accretion of $28,000. </w:t>
      </w:r>
    </w:p>
    <w:p w14:paraId="133128FE" w14:textId="77777777" w:rsidR="00000000" w:rsidRDefault="009027A3">
      <w:pPr>
        <w:pStyle w:val="a3"/>
        <w:spacing w:before="0" w:beforeAutospacing="0" w:after="0" w:afterAutospacing="0"/>
        <w:jc w:val="both"/>
        <w:rPr>
          <w:sz w:val="20"/>
          <w:szCs w:val="20"/>
        </w:rPr>
      </w:pPr>
      <w:r>
        <w:rPr>
          <w:sz w:val="20"/>
          <w:szCs w:val="20"/>
        </w:rPr>
        <w:t> </w:t>
      </w:r>
    </w:p>
    <w:p w14:paraId="5FFE4275" w14:textId="77777777" w:rsidR="00000000" w:rsidRDefault="009027A3">
      <w:pPr>
        <w:pStyle w:val="a3"/>
        <w:spacing w:before="0" w:beforeAutospacing="0" w:after="0" w:afterAutospacing="0"/>
        <w:jc w:val="both"/>
        <w:rPr>
          <w:sz w:val="20"/>
          <w:szCs w:val="20"/>
        </w:rPr>
      </w:pPr>
      <w:r>
        <w:rPr>
          <w:sz w:val="20"/>
          <w:szCs w:val="20"/>
        </w:rPr>
        <w:t>The net change in operating assets and liabilities was $2.5 million.</w:t>
      </w:r>
      <w:r>
        <w:rPr>
          <w:sz w:val="20"/>
          <w:szCs w:val="20"/>
        </w:rPr>
        <w:t xml:space="preserve"> Accounts payable, accrued compensation and accrued expenses decreased by $1.7 million for the three months ended March 31, 2021 compared to a decrease of $4.5 million for the three months ended March 31, 2020 as the Company paid past due amounts from the </w:t>
      </w:r>
      <w:r>
        <w:rPr>
          <w:sz w:val="20"/>
          <w:szCs w:val="20"/>
        </w:rPr>
        <w:t>CCH and Meridian acquisitions. Accounts receivable increased by $522,000 for the three months ended March 31, 2021 compared with an increase of $302,000 for the three months ended March 31, 2020. For the three months ended March 31, 2021 and 2020, the chan</w:t>
      </w:r>
      <w:r>
        <w:rPr>
          <w:sz w:val="20"/>
          <w:szCs w:val="20"/>
        </w:rPr>
        <w:t>ge in the lease liabilities is included in this amount.</w:t>
      </w:r>
    </w:p>
    <w:p w14:paraId="38486676" w14:textId="77777777" w:rsidR="00000000" w:rsidRDefault="009027A3">
      <w:pPr>
        <w:pStyle w:val="a3"/>
        <w:spacing w:before="0" w:beforeAutospacing="0" w:after="0" w:afterAutospacing="0"/>
        <w:jc w:val="both"/>
        <w:rPr>
          <w:sz w:val="20"/>
          <w:szCs w:val="20"/>
        </w:rPr>
      </w:pPr>
      <w:r>
        <w:rPr>
          <w:sz w:val="20"/>
          <w:szCs w:val="20"/>
        </w:rPr>
        <w:t> </w:t>
      </w:r>
    </w:p>
    <w:p w14:paraId="4C8F7C2E" w14:textId="77777777" w:rsidR="00000000" w:rsidRDefault="009027A3">
      <w:pPr>
        <w:pStyle w:val="a3"/>
        <w:spacing w:before="0" w:beforeAutospacing="0" w:after="0" w:afterAutospacing="0"/>
        <w:jc w:val="both"/>
        <w:rPr>
          <w:sz w:val="20"/>
          <w:szCs w:val="20"/>
        </w:rPr>
      </w:pPr>
      <w:r>
        <w:rPr>
          <w:b/>
          <w:bCs/>
          <w:i/>
          <w:iCs/>
          <w:sz w:val="20"/>
          <w:szCs w:val="20"/>
        </w:rPr>
        <w:t>Investing Activities</w:t>
      </w:r>
    </w:p>
    <w:p w14:paraId="379BDD35" w14:textId="77777777" w:rsidR="00000000" w:rsidRDefault="009027A3">
      <w:pPr>
        <w:pStyle w:val="a3"/>
        <w:spacing w:before="0" w:beforeAutospacing="0" w:after="0" w:afterAutospacing="0"/>
        <w:jc w:val="both"/>
        <w:rPr>
          <w:sz w:val="20"/>
          <w:szCs w:val="20"/>
        </w:rPr>
      </w:pPr>
      <w:r>
        <w:rPr>
          <w:sz w:val="20"/>
          <w:szCs w:val="20"/>
        </w:rPr>
        <w:t> </w:t>
      </w:r>
    </w:p>
    <w:p w14:paraId="718214B1" w14:textId="77777777" w:rsidR="00000000" w:rsidRDefault="009027A3">
      <w:pPr>
        <w:pStyle w:val="a3"/>
        <w:spacing w:before="0" w:beforeAutospacing="0" w:after="0" w:afterAutospacing="0"/>
        <w:jc w:val="both"/>
        <w:rPr>
          <w:sz w:val="20"/>
          <w:szCs w:val="20"/>
        </w:rPr>
      </w:pPr>
      <w:r>
        <w:rPr>
          <w:sz w:val="20"/>
          <w:szCs w:val="20"/>
        </w:rPr>
        <w:t>Capital expenditures were $695,000 and $539,000 for the three months ended March 31, 2021 and 2020, respectively. The capital expenditures for the three months ended March 31,</w:t>
      </w:r>
      <w:r>
        <w:rPr>
          <w:sz w:val="20"/>
          <w:szCs w:val="20"/>
        </w:rPr>
        <w:t xml:space="preserve"> 2021 and 2020 primarily represented computer equipment purchased and lease hold improvements for the Pakistan offices. Software development costs of $1.5 million and $1.6 million for the three months ended March 31, 2021 and 2020, respectively, were capit</w:t>
      </w:r>
      <w:r>
        <w:rPr>
          <w:sz w:val="20"/>
          <w:szCs w:val="20"/>
        </w:rPr>
        <w:t>alized in connection with the development of software for providing revenue cycle management services and software-as-a-service offerings.</w:t>
      </w:r>
    </w:p>
    <w:p w14:paraId="2660AD5C"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79AA16E" w14:textId="77777777">
        <w:trPr>
          <w:divId w:val="1501040762"/>
        </w:trPr>
        <w:tc>
          <w:tcPr>
            <w:tcW w:w="5000" w:type="pct"/>
            <w:hideMark/>
          </w:tcPr>
          <w:p w14:paraId="65E75AFE"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03A4E6F6" w14:textId="77777777">
        <w:tc>
          <w:tcPr>
            <w:tcW w:w="5000" w:type="pct"/>
            <w:hideMark/>
          </w:tcPr>
          <w:p w14:paraId="022FED07" w14:textId="77777777" w:rsidR="00000000" w:rsidRDefault="009027A3">
            <w:pPr>
              <w:rPr>
                <w:rFonts w:eastAsia="Times New Roman"/>
                <w:sz w:val="20"/>
                <w:szCs w:val="20"/>
              </w:rPr>
            </w:pPr>
            <w:r>
              <w:rPr>
                <w:rFonts w:eastAsia="Times New Roman"/>
                <w:sz w:val="20"/>
                <w:szCs w:val="20"/>
              </w:rPr>
              <w:t> </w:t>
            </w:r>
          </w:p>
        </w:tc>
      </w:tr>
    </w:tbl>
    <w:p w14:paraId="683D0E6F"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095FA976" w14:textId="77777777" w:rsidR="00000000" w:rsidRDefault="009027A3">
      <w:pPr>
        <w:pStyle w:val="a3"/>
        <w:shd w:val="clear" w:color="auto" w:fill="FFFFFF"/>
        <w:spacing w:before="0" w:beforeAutospacing="0" w:after="0" w:afterAutospacing="0"/>
        <w:rPr>
          <w:sz w:val="20"/>
          <w:szCs w:val="20"/>
        </w:rPr>
      </w:pPr>
      <w:r>
        <w:rPr>
          <w:b/>
          <w:bCs/>
          <w:i/>
          <w:iCs/>
          <w:sz w:val="20"/>
          <w:szCs w:val="20"/>
        </w:rPr>
        <w:t>Financing Activities</w:t>
      </w:r>
    </w:p>
    <w:p w14:paraId="35F4C2B3" w14:textId="77777777" w:rsidR="00000000" w:rsidRDefault="009027A3">
      <w:pPr>
        <w:pStyle w:val="a3"/>
        <w:shd w:val="clear" w:color="auto" w:fill="FFFFFF"/>
        <w:spacing w:before="0" w:beforeAutospacing="0" w:after="0" w:afterAutospacing="0"/>
        <w:rPr>
          <w:sz w:val="20"/>
          <w:szCs w:val="20"/>
        </w:rPr>
      </w:pPr>
      <w:r>
        <w:rPr>
          <w:sz w:val="20"/>
          <w:szCs w:val="20"/>
        </w:rPr>
        <w:t> </w:t>
      </w:r>
    </w:p>
    <w:p w14:paraId="09DE14AA" w14:textId="77777777" w:rsidR="00000000" w:rsidRDefault="009027A3">
      <w:pPr>
        <w:pStyle w:val="a3"/>
        <w:shd w:val="clear" w:color="auto" w:fill="FFFFFF"/>
        <w:spacing w:before="0" w:beforeAutospacing="0" w:after="0" w:afterAutospacing="0"/>
        <w:jc w:val="both"/>
        <w:rPr>
          <w:sz w:val="20"/>
          <w:szCs w:val="20"/>
        </w:rPr>
      </w:pPr>
      <w:r>
        <w:rPr>
          <w:sz w:val="20"/>
          <w:szCs w:val="20"/>
        </w:rPr>
        <w:t xml:space="preserve">Cash </w:t>
      </w:r>
      <w:r>
        <w:rPr>
          <w:sz w:val="20"/>
          <w:szCs w:val="20"/>
        </w:rPr>
        <w:t>provided by financing activities during the three months ended March 31, 2021 and 2020 was $1.2 million and $6.8 million, respectively. The Company received $6.4 million from the exercise of common stock warrants during the three months ended March 31, 202</w:t>
      </w:r>
      <w:r>
        <w:rPr>
          <w:sz w:val="20"/>
          <w:szCs w:val="20"/>
        </w:rPr>
        <w:t xml:space="preserve">1. Cash used in financing activities during the three months ended March 31, 2021 included $3.6 million of preferred stock dividends, $241,000 of repayments for debt obligations and $1.4 million of tax withholding obligations paid in connection with stock </w:t>
      </w:r>
      <w:r>
        <w:rPr>
          <w:sz w:val="20"/>
          <w:szCs w:val="20"/>
        </w:rPr>
        <w:t>awards issued to employees. Cash used in financing activities for three months ended March 31, 2020 included $2.0 million of preferred stock dividends, $139,000 of repayment for debt obligations and $820,000 of tax withholding obligations paid in connectio</w:t>
      </w:r>
      <w:r>
        <w:rPr>
          <w:sz w:val="20"/>
          <w:szCs w:val="20"/>
        </w:rPr>
        <w:t>n with stock awards issued to employees.</w:t>
      </w:r>
    </w:p>
    <w:p w14:paraId="27CB63C0" w14:textId="77777777" w:rsidR="00000000" w:rsidRDefault="009027A3">
      <w:pPr>
        <w:pStyle w:val="a3"/>
        <w:shd w:val="clear" w:color="auto" w:fill="FFFFFF"/>
        <w:spacing w:before="0" w:beforeAutospacing="0" w:after="0" w:afterAutospacing="0"/>
        <w:jc w:val="both"/>
        <w:rPr>
          <w:sz w:val="20"/>
          <w:szCs w:val="20"/>
        </w:rPr>
      </w:pPr>
      <w:r>
        <w:rPr>
          <w:sz w:val="20"/>
          <w:szCs w:val="20"/>
        </w:rPr>
        <w:t> </w:t>
      </w:r>
    </w:p>
    <w:p w14:paraId="40BE73BF" w14:textId="77777777" w:rsidR="00000000" w:rsidRDefault="009027A3">
      <w:pPr>
        <w:pStyle w:val="a3"/>
        <w:shd w:val="clear" w:color="auto" w:fill="FFFFFF"/>
        <w:spacing w:before="0" w:beforeAutospacing="0" w:after="0" w:afterAutospacing="0"/>
        <w:rPr>
          <w:sz w:val="20"/>
          <w:szCs w:val="20"/>
        </w:rPr>
      </w:pPr>
      <w:r>
        <w:rPr>
          <w:b/>
          <w:bCs/>
          <w:sz w:val="20"/>
          <w:szCs w:val="20"/>
        </w:rPr>
        <w:t>Contractual Obligations and Commitments</w:t>
      </w:r>
    </w:p>
    <w:p w14:paraId="656B4CA9" w14:textId="77777777" w:rsidR="00000000" w:rsidRDefault="009027A3">
      <w:pPr>
        <w:pStyle w:val="a3"/>
        <w:shd w:val="clear" w:color="auto" w:fill="FFFFFF"/>
        <w:spacing w:before="0" w:beforeAutospacing="0" w:after="0" w:afterAutospacing="0"/>
        <w:rPr>
          <w:sz w:val="20"/>
          <w:szCs w:val="20"/>
        </w:rPr>
      </w:pPr>
      <w:r>
        <w:rPr>
          <w:sz w:val="20"/>
          <w:szCs w:val="20"/>
        </w:rPr>
        <w:t> </w:t>
      </w:r>
    </w:p>
    <w:p w14:paraId="6068ED46" w14:textId="77777777" w:rsidR="00000000" w:rsidRDefault="009027A3">
      <w:pPr>
        <w:pStyle w:val="a3"/>
        <w:spacing w:before="0" w:beforeAutospacing="0" w:after="0" w:afterAutospacing="0"/>
        <w:jc w:val="both"/>
        <w:rPr>
          <w:sz w:val="20"/>
          <w:szCs w:val="20"/>
        </w:rPr>
      </w:pPr>
      <w:r>
        <w:rPr>
          <w:sz w:val="20"/>
          <w:szCs w:val="20"/>
        </w:rPr>
        <w:t>We have contractual obligations under our line of credit. We also maintain operating leases for property and certain office equipment. We were in compliance with all SVB c</w:t>
      </w:r>
      <w:r>
        <w:rPr>
          <w:sz w:val="20"/>
          <w:szCs w:val="20"/>
        </w:rPr>
        <w:t>ovenants as of March 31, 2021. For additional information, see Contractual Obligations and Commitments under Item 7, “Management’s Discussion and Analysis of Financial Condition and Results of Operations,” in the Company’s Annual Report on Form 10-K for th</w:t>
      </w:r>
      <w:r>
        <w:rPr>
          <w:sz w:val="20"/>
          <w:szCs w:val="20"/>
        </w:rPr>
        <w:t>e year ended December 31, 2020, filed with the SEC on February 25, 2021.</w:t>
      </w:r>
    </w:p>
    <w:p w14:paraId="34637644" w14:textId="77777777" w:rsidR="00000000" w:rsidRDefault="009027A3">
      <w:pPr>
        <w:pStyle w:val="a3"/>
        <w:shd w:val="clear" w:color="auto" w:fill="FFFFFF"/>
        <w:spacing w:before="0" w:beforeAutospacing="0" w:after="0" w:afterAutospacing="0"/>
        <w:jc w:val="both"/>
        <w:rPr>
          <w:sz w:val="20"/>
          <w:szCs w:val="20"/>
        </w:rPr>
      </w:pPr>
      <w:r>
        <w:rPr>
          <w:b/>
          <w:bCs/>
          <w:sz w:val="20"/>
          <w:szCs w:val="20"/>
        </w:rPr>
        <w:t> </w:t>
      </w:r>
    </w:p>
    <w:p w14:paraId="66BCCE64" w14:textId="77777777" w:rsidR="00000000" w:rsidRDefault="009027A3">
      <w:pPr>
        <w:pStyle w:val="a3"/>
        <w:shd w:val="clear" w:color="auto" w:fill="FFFFFF"/>
        <w:spacing w:before="0" w:beforeAutospacing="0" w:after="0" w:afterAutospacing="0"/>
        <w:jc w:val="both"/>
        <w:rPr>
          <w:sz w:val="20"/>
          <w:szCs w:val="20"/>
        </w:rPr>
      </w:pPr>
      <w:r>
        <w:rPr>
          <w:b/>
          <w:bCs/>
          <w:sz w:val="20"/>
          <w:szCs w:val="20"/>
        </w:rPr>
        <w:t>Off-Balance Sheet Arrangements</w:t>
      </w:r>
    </w:p>
    <w:p w14:paraId="7446BB4D" w14:textId="77777777" w:rsidR="00000000" w:rsidRDefault="009027A3">
      <w:pPr>
        <w:pStyle w:val="a3"/>
        <w:shd w:val="clear" w:color="auto" w:fill="FFFFFF"/>
        <w:spacing w:before="0" w:beforeAutospacing="0" w:after="0" w:afterAutospacing="0"/>
        <w:ind w:firstLine="540"/>
        <w:jc w:val="both"/>
        <w:rPr>
          <w:sz w:val="20"/>
          <w:szCs w:val="20"/>
        </w:rPr>
      </w:pPr>
      <w:r>
        <w:rPr>
          <w:sz w:val="20"/>
          <w:szCs w:val="20"/>
        </w:rPr>
        <w:t> </w:t>
      </w:r>
    </w:p>
    <w:p w14:paraId="588C652B" w14:textId="77777777" w:rsidR="00000000" w:rsidRDefault="009027A3">
      <w:pPr>
        <w:pStyle w:val="a3"/>
        <w:shd w:val="clear" w:color="auto" w:fill="FFFFFF"/>
        <w:spacing w:before="0" w:beforeAutospacing="0" w:after="0" w:afterAutospacing="0"/>
        <w:jc w:val="both"/>
        <w:rPr>
          <w:sz w:val="20"/>
          <w:szCs w:val="20"/>
        </w:rPr>
      </w:pPr>
      <w:r>
        <w:rPr>
          <w:sz w:val="20"/>
          <w:szCs w:val="20"/>
        </w:rPr>
        <w:t>As of March 31, 2021, and 2020, we did not have any relationships with unconsolidated entities or financial partnerships, such as entities often ref</w:t>
      </w:r>
      <w:r>
        <w:rPr>
          <w:sz w:val="20"/>
          <w:szCs w:val="20"/>
        </w:rPr>
        <w:t>erred to as structured finance or special-purpose entities, which would have been established for the purpose of facilitating off-balance sheet arrangements or other contractually narrow or limited purposes. During the first quarter of 2020, a New Jersey c</w:t>
      </w:r>
      <w:r>
        <w:rPr>
          <w:sz w:val="20"/>
          <w:szCs w:val="20"/>
        </w:rPr>
        <w:t>orporation, talkMD Clinicians, PA (“talkMD”), was formed by the wife of the Executive Chairman, who is a licensed physician, to provide telehealth services. talkMD was determined to be a variable interest entity (“VIE”) for financial reporting purposes bec</w:t>
      </w:r>
      <w:r>
        <w:rPr>
          <w:sz w:val="20"/>
          <w:szCs w:val="20"/>
        </w:rPr>
        <w:t>ause the entity will be controlled by the Company. As of March 31, 2021, talkMD had not yet commenced operations or had any transactions or agreements with the Company or otherwise. We do not engage in off-balance sheet financing arrangements.</w:t>
      </w:r>
    </w:p>
    <w:p w14:paraId="1D12078D" w14:textId="77777777" w:rsidR="00000000" w:rsidRDefault="009027A3">
      <w:pPr>
        <w:pStyle w:val="a3"/>
        <w:spacing w:before="0" w:beforeAutospacing="0" w:after="0" w:afterAutospacing="0"/>
        <w:ind w:left="1440" w:hanging="1440"/>
        <w:rPr>
          <w:b/>
          <w:bCs/>
          <w:sz w:val="20"/>
          <w:szCs w:val="20"/>
        </w:rPr>
      </w:pPr>
      <w:r>
        <w:rPr>
          <w:b/>
          <w:bCs/>
          <w:i/>
          <w:iCs/>
          <w:sz w:val="20"/>
          <w:szCs w:val="20"/>
        </w:rPr>
        <w:t> </w:t>
      </w:r>
    </w:p>
    <w:p w14:paraId="57B87966" w14:textId="77777777" w:rsidR="00000000" w:rsidRDefault="009027A3">
      <w:pPr>
        <w:pStyle w:val="a3"/>
        <w:spacing w:before="0" w:beforeAutospacing="0" w:after="0" w:afterAutospacing="0"/>
        <w:ind w:left="1440" w:hanging="1440"/>
        <w:rPr>
          <w:b/>
          <w:bCs/>
          <w:sz w:val="20"/>
          <w:szCs w:val="20"/>
        </w:rPr>
      </w:pPr>
      <w:bookmarkStart w:id="9" w:name="c_002"/>
      <w:bookmarkEnd w:id="9"/>
      <w:r>
        <w:rPr>
          <w:b/>
          <w:bCs/>
          <w:i/>
          <w:iCs/>
          <w:sz w:val="20"/>
          <w:szCs w:val="20"/>
        </w:rPr>
        <w:t>Item 3. Qu</w:t>
      </w:r>
      <w:r>
        <w:rPr>
          <w:b/>
          <w:bCs/>
          <w:i/>
          <w:iCs/>
          <w:sz w:val="20"/>
          <w:szCs w:val="20"/>
        </w:rPr>
        <w:t>antitative and Qualitative Disclosures about Market Risk</w:t>
      </w:r>
    </w:p>
    <w:p w14:paraId="5B161B57" w14:textId="77777777" w:rsidR="00000000" w:rsidRDefault="009027A3">
      <w:pPr>
        <w:pStyle w:val="a3"/>
        <w:spacing w:before="0" w:beforeAutospacing="0" w:after="0" w:afterAutospacing="0"/>
        <w:rPr>
          <w:sz w:val="20"/>
          <w:szCs w:val="20"/>
        </w:rPr>
      </w:pPr>
      <w:r>
        <w:rPr>
          <w:sz w:val="20"/>
          <w:szCs w:val="20"/>
        </w:rPr>
        <w:t> </w:t>
      </w:r>
    </w:p>
    <w:p w14:paraId="7A23B7E9" w14:textId="77777777" w:rsidR="00000000" w:rsidRDefault="009027A3">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Regulation S-K.</w:t>
      </w:r>
    </w:p>
    <w:p w14:paraId="475367A5" w14:textId="77777777" w:rsidR="00000000" w:rsidRDefault="009027A3">
      <w:pPr>
        <w:pStyle w:val="a3"/>
        <w:spacing w:before="0" w:beforeAutospacing="0" w:after="0" w:afterAutospacing="0"/>
        <w:jc w:val="both"/>
        <w:rPr>
          <w:sz w:val="20"/>
          <w:szCs w:val="20"/>
        </w:rPr>
      </w:pPr>
      <w:r>
        <w:rPr>
          <w:sz w:val="20"/>
          <w:szCs w:val="20"/>
        </w:rPr>
        <w:t> </w:t>
      </w:r>
    </w:p>
    <w:p w14:paraId="65BC0479" w14:textId="77777777" w:rsidR="00000000" w:rsidRDefault="009027A3">
      <w:pPr>
        <w:pStyle w:val="a3"/>
        <w:spacing w:before="0" w:beforeAutospacing="0" w:after="0" w:afterAutospacing="0"/>
        <w:ind w:left="1440" w:hanging="1440"/>
        <w:rPr>
          <w:b/>
          <w:bCs/>
          <w:sz w:val="20"/>
          <w:szCs w:val="20"/>
        </w:rPr>
      </w:pPr>
      <w:bookmarkStart w:id="10" w:name="c_003"/>
      <w:bookmarkEnd w:id="10"/>
      <w:r>
        <w:rPr>
          <w:b/>
          <w:bCs/>
          <w:i/>
          <w:iCs/>
          <w:sz w:val="20"/>
          <w:szCs w:val="20"/>
        </w:rPr>
        <w:t>Item 4. Controls an</w:t>
      </w:r>
      <w:r>
        <w:rPr>
          <w:b/>
          <w:bCs/>
          <w:i/>
          <w:iCs/>
          <w:sz w:val="20"/>
          <w:szCs w:val="20"/>
        </w:rPr>
        <w:t>d Procedures</w:t>
      </w:r>
    </w:p>
    <w:p w14:paraId="7904867F" w14:textId="77777777" w:rsidR="00000000" w:rsidRDefault="009027A3">
      <w:pPr>
        <w:pStyle w:val="a3"/>
        <w:spacing w:before="0" w:beforeAutospacing="0" w:after="0" w:afterAutospacing="0"/>
        <w:rPr>
          <w:sz w:val="20"/>
          <w:szCs w:val="20"/>
        </w:rPr>
      </w:pPr>
      <w:r>
        <w:rPr>
          <w:b/>
          <w:bCs/>
          <w:i/>
          <w:iCs/>
          <w:sz w:val="20"/>
          <w:szCs w:val="20"/>
        </w:rPr>
        <w:t> </w:t>
      </w:r>
    </w:p>
    <w:p w14:paraId="3DA8AF99" w14:textId="77777777" w:rsidR="00000000" w:rsidRDefault="009027A3">
      <w:pPr>
        <w:pStyle w:val="a3"/>
        <w:spacing w:before="0" w:beforeAutospacing="0" w:after="0" w:afterAutospacing="0"/>
        <w:rPr>
          <w:sz w:val="20"/>
          <w:szCs w:val="20"/>
        </w:rPr>
      </w:pPr>
      <w:r>
        <w:rPr>
          <w:i/>
          <w:iCs/>
          <w:sz w:val="20"/>
          <w:szCs w:val="20"/>
        </w:rPr>
        <w:t>Evaluation of Disclosure Controls and Procedures</w:t>
      </w:r>
    </w:p>
    <w:p w14:paraId="0B6544FF" w14:textId="77777777" w:rsidR="00000000" w:rsidRDefault="009027A3">
      <w:pPr>
        <w:pStyle w:val="a3"/>
        <w:spacing w:before="0" w:beforeAutospacing="0" w:after="0" w:afterAutospacing="0"/>
        <w:rPr>
          <w:sz w:val="20"/>
          <w:szCs w:val="20"/>
        </w:rPr>
      </w:pPr>
      <w:r>
        <w:rPr>
          <w:sz w:val="20"/>
          <w:szCs w:val="20"/>
        </w:rPr>
        <w:t> </w:t>
      </w:r>
    </w:p>
    <w:p w14:paraId="471497E5" w14:textId="77777777" w:rsidR="00000000" w:rsidRDefault="009027A3">
      <w:pPr>
        <w:pStyle w:val="a3"/>
        <w:spacing w:before="0" w:beforeAutospacing="0" w:after="0" w:afterAutospacing="0"/>
        <w:jc w:val="both"/>
        <w:rPr>
          <w:sz w:val="20"/>
          <w:szCs w:val="20"/>
        </w:rPr>
      </w:pPr>
      <w:r>
        <w:rPr>
          <w:sz w:val="20"/>
          <w:szCs w:val="20"/>
        </w:rPr>
        <w:t xml:space="preserve">Our </w:t>
      </w:r>
      <w:r>
        <w:rPr>
          <w:sz w:val="20"/>
          <w:szCs w:val="20"/>
        </w:rPr>
        <w:t>management, with the participation of our Chief Executive Officer and Chief Financial Officer, based on the 2013 framework and criteria established by the Committee of Sponsoring Organizations of the Treadway Commission (“COSO”), evaluated the effectivenes</w:t>
      </w:r>
      <w:r>
        <w:rPr>
          <w:sz w:val="20"/>
          <w:szCs w:val="20"/>
        </w:rPr>
        <w:t>s of our disclosure controls and procedures as of March 31, 2021 as required by Rules 13a-15(b) and 15d-15(b) of the Exchange Act. The term “disclosure controls and procedures,” as defined in Rules 13a-15(e) and 15d-15(e) under the Exchange Act, means cont</w:t>
      </w:r>
      <w:r>
        <w:rPr>
          <w:sz w:val="20"/>
          <w:szCs w:val="20"/>
        </w:rPr>
        <w:t>rols and other procedures of a company that are designed to ensure that information required to be disclosed by a company in the reports that it files or submits under the Exchange Act is recorded, processed, summarized and reported, within the time period</w:t>
      </w:r>
      <w:r>
        <w:rPr>
          <w:sz w:val="20"/>
          <w:szCs w:val="20"/>
        </w:rPr>
        <w:t>s specified in the SEC’s rules and forms.</w:t>
      </w:r>
    </w:p>
    <w:p w14:paraId="7C13FAF0" w14:textId="77777777" w:rsidR="00000000" w:rsidRDefault="009027A3">
      <w:pPr>
        <w:pStyle w:val="a3"/>
        <w:spacing w:before="0" w:beforeAutospacing="0" w:after="0" w:afterAutospacing="0"/>
        <w:jc w:val="both"/>
        <w:rPr>
          <w:sz w:val="20"/>
          <w:szCs w:val="20"/>
        </w:rPr>
      </w:pPr>
      <w:r>
        <w:rPr>
          <w:sz w:val="20"/>
          <w:szCs w:val="20"/>
        </w:rPr>
        <w:t> </w:t>
      </w:r>
    </w:p>
    <w:p w14:paraId="258EC5B8" w14:textId="77777777" w:rsidR="00000000" w:rsidRDefault="009027A3">
      <w:pPr>
        <w:pStyle w:val="a3"/>
        <w:spacing w:before="0" w:beforeAutospacing="0" w:after="0" w:afterAutospacing="0"/>
        <w:jc w:val="both"/>
        <w:rPr>
          <w:sz w:val="20"/>
          <w:szCs w:val="20"/>
        </w:rPr>
      </w:pPr>
      <w:r>
        <w:rPr>
          <w:sz w:val="20"/>
          <w:szCs w:val="20"/>
        </w:rPr>
        <w:t xml:space="preserve">Disclosure controls and procedures include, without limitation, controls and procedures designed to ensure that information required to be disclosed by a company in the reports that it files or submits under the </w:t>
      </w:r>
      <w:r>
        <w:rPr>
          <w:sz w:val="20"/>
          <w:szCs w:val="20"/>
        </w:rPr>
        <w:t>Exchange Act is accumulated and communicated to the company’s management, including its principal executive and principal financial officer, to allow timely decisions regarding required disclosure. Management recognizes that any controls and procedures, no</w:t>
      </w:r>
      <w:r>
        <w:rPr>
          <w:sz w:val="20"/>
          <w:szCs w:val="20"/>
        </w:rPr>
        <w:t xml:space="preserve"> matter how well designed and operated, can provide only reasonable assurance of achieving their objectives and management necessarily applies its judgment in evaluating the cost-benefit relationship of possible controls and procedures.</w:t>
      </w:r>
    </w:p>
    <w:p w14:paraId="7143F97C" w14:textId="77777777" w:rsidR="00000000" w:rsidRDefault="009027A3">
      <w:pPr>
        <w:pStyle w:val="a3"/>
        <w:spacing w:before="0" w:beforeAutospacing="0" w:after="0" w:afterAutospacing="0"/>
        <w:jc w:val="both"/>
        <w:rPr>
          <w:sz w:val="20"/>
          <w:szCs w:val="20"/>
        </w:rPr>
      </w:pPr>
      <w:r>
        <w:rPr>
          <w:sz w:val="20"/>
          <w:szCs w:val="20"/>
        </w:rPr>
        <w:t> </w:t>
      </w:r>
    </w:p>
    <w:p w14:paraId="57C6FB7D" w14:textId="77777777" w:rsidR="00000000" w:rsidRDefault="009027A3">
      <w:pPr>
        <w:pStyle w:val="a3"/>
        <w:spacing w:before="0" w:beforeAutospacing="0" w:after="0" w:afterAutospacing="0"/>
        <w:jc w:val="both"/>
        <w:rPr>
          <w:sz w:val="20"/>
          <w:szCs w:val="20"/>
        </w:rPr>
      </w:pPr>
      <w:r>
        <w:rPr>
          <w:sz w:val="20"/>
          <w:szCs w:val="20"/>
        </w:rPr>
        <w:t>Based on the eval</w:t>
      </w:r>
      <w:r>
        <w:rPr>
          <w:sz w:val="20"/>
          <w:szCs w:val="20"/>
        </w:rPr>
        <w:t>uation of our disclosure controls and procedures, as of March 31, 2021, our Chief Executive Officer and Chief Financial Officer concluded that, as of such date, our disclosure controls and procedures were effective at the reasonable assurance level.</w:t>
      </w:r>
    </w:p>
    <w:p w14:paraId="07AAC48D" w14:textId="77777777" w:rsidR="00000000" w:rsidRDefault="009027A3">
      <w:pPr>
        <w:pStyle w:val="a3"/>
        <w:spacing w:before="0" w:beforeAutospacing="0" w:after="0" w:afterAutospacing="0"/>
        <w:jc w:val="both"/>
        <w:rPr>
          <w:sz w:val="20"/>
          <w:szCs w:val="20"/>
        </w:rPr>
      </w:pPr>
      <w:r>
        <w:rPr>
          <w:sz w:val="20"/>
          <w:szCs w:val="20"/>
        </w:rPr>
        <w:t> </w:t>
      </w:r>
    </w:p>
    <w:p w14:paraId="3D431C68" w14:textId="77777777" w:rsidR="00000000" w:rsidRDefault="009027A3">
      <w:pPr>
        <w:pStyle w:val="a3"/>
        <w:spacing w:before="0" w:beforeAutospacing="0" w:after="0" w:afterAutospacing="0"/>
        <w:rPr>
          <w:sz w:val="20"/>
          <w:szCs w:val="20"/>
        </w:rPr>
      </w:pPr>
      <w:r>
        <w:rPr>
          <w:i/>
          <w:iCs/>
          <w:sz w:val="20"/>
          <w:szCs w:val="20"/>
        </w:rPr>
        <w:t>Chan</w:t>
      </w:r>
      <w:r>
        <w:rPr>
          <w:i/>
          <w:iCs/>
          <w:sz w:val="20"/>
          <w:szCs w:val="20"/>
        </w:rPr>
        <w:t>ges in Internal Control Over Financial Reporting</w:t>
      </w:r>
    </w:p>
    <w:p w14:paraId="52A58AB0" w14:textId="77777777" w:rsidR="00000000" w:rsidRDefault="009027A3">
      <w:pPr>
        <w:pStyle w:val="a3"/>
        <w:spacing w:before="0" w:beforeAutospacing="0" w:after="0" w:afterAutospacing="0"/>
        <w:jc w:val="both"/>
        <w:rPr>
          <w:sz w:val="20"/>
          <w:szCs w:val="20"/>
        </w:rPr>
      </w:pPr>
      <w:r>
        <w:rPr>
          <w:sz w:val="20"/>
          <w:szCs w:val="20"/>
        </w:rPr>
        <w:t> </w:t>
      </w:r>
    </w:p>
    <w:p w14:paraId="33C651AA" w14:textId="77777777" w:rsidR="00000000" w:rsidRDefault="009027A3">
      <w:pPr>
        <w:pStyle w:val="a3"/>
        <w:spacing w:before="0" w:beforeAutospacing="0" w:after="0" w:afterAutospacing="0"/>
        <w:jc w:val="both"/>
        <w:rPr>
          <w:sz w:val="20"/>
          <w:szCs w:val="20"/>
        </w:rPr>
      </w:pPr>
      <w:r>
        <w:rPr>
          <w:sz w:val="20"/>
          <w:szCs w:val="20"/>
        </w:rPr>
        <w:t>There were no changes in our internal control over financial reporting (as defined in Rules 13a-15(f) and 15d-15(f) of the Exchange Act) that occurred during our most recent fiscal quarter that have materi</w:t>
      </w:r>
      <w:r>
        <w:rPr>
          <w:sz w:val="20"/>
          <w:szCs w:val="20"/>
        </w:rPr>
        <w:t>ally affected, or are reasonably likely to materially affect, our internal control over financial reporting.</w:t>
      </w:r>
    </w:p>
    <w:p w14:paraId="5A37A46C"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87331E" w14:textId="77777777">
        <w:trPr>
          <w:divId w:val="952132248"/>
        </w:trPr>
        <w:tc>
          <w:tcPr>
            <w:tcW w:w="5000" w:type="pct"/>
            <w:hideMark/>
          </w:tcPr>
          <w:p w14:paraId="23ABAFE2" w14:textId="77777777" w:rsidR="00000000" w:rsidRDefault="009027A3">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1B9C7DE" w14:textId="77777777">
        <w:tc>
          <w:tcPr>
            <w:tcW w:w="5000" w:type="pct"/>
            <w:hideMark/>
          </w:tcPr>
          <w:p w14:paraId="39C0BA59" w14:textId="77777777" w:rsidR="00000000" w:rsidRDefault="009027A3">
            <w:pPr>
              <w:rPr>
                <w:rFonts w:eastAsia="Times New Roman"/>
                <w:sz w:val="20"/>
                <w:szCs w:val="20"/>
              </w:rPr>
            </w:pPr>
            <w:r>
              <w:rPr>
                <w:rFonts w:eastAsia="Times New Roman"/>
                <w:sz w:val="20"/>
                <w:szCs w:val="20"/>
              </w:rPr>
              <w:t> </w:t>
            </w:r>
          </w:p>
        </w:tc>
      </w:tr>
    </w:tbl>
    <w:p w14:paraId="3F3559D4" w14:textId="77777777" w:rsidR="00000000" w:rsidRDefault="009027A3">
      <w:pPr>
        <w:pStyle w:val="a3"/>
        <w:spacing w:before="0" w:beforeAutospacing="0" w:after="0" w:afterAutospacing="0"/>
        <w:jc w:val="center"/>
        <w:rPr>
          <w:sz w:val="20"/>
          <w:szCs w:val="20"/>
        </w:rPr>
      </w:pPr>
      <w:r>
        <w:rPr>
          <w:sz w:val="20"/>
          <w:szCs w:val="20"/>
        </w:rPr>
        <w:t> </w:t>
      </w:r>
    </w:p>
    <w:p w14:paraId="7CC3ED1C" w14:textId="77777777" w:rsidR="00000000" w:rsidRDefault="009027A3">
      <w:pPr>
        <w:pStyle w:val="a3"/>
        <w:spacing w:before="0" w:beforeAutospacing="0" w:after="0" w:afterAutospacing="0"/>
        <w:jc w:val="center"/>
        <w:rPr>
          <w:sz w:val="20"/>
          <w:szCs w:val="20"/>
        </w:rPr>
      </w:pPr>
      <w:bookmarkStart w:id="11" w:name="c_004"/>
      <w:bookmarkEnd w:id="11"/>
      <w:r>
        <w:rPr>
          <w:b/>
          <w:bCs/>
          <w:sz w:val="20"/>
          <w:szCs w:val="20"/>
        </w:rPr>
        <w:t>Part II. Other Information</w:t>
      </w:r>
    </w:p>
    <w:p w14:paraId="036C35E0" w14:textId="77777777" w:rsidR="00000000" w:rsidRDefault="009027A3">
      <w:pPr>
        <w:pStyle w:val="a3"/>
        <w:spacing w:before="0" w:beforeAutospacing="0" w:after="0" w:afterAutospacing="0"/>
        <w:rPr>
          <w:sz w:val="20"/>
          <w:szCs w:val="20"/>
        </w:rPr>
      </w:pPr>
      <w:r>
        <w:rPr>
          <w:sz w:val="20"/>
          <w:szCs w:val="20"/>
        </w:rPr>
        <w:t> </w:t>
      </w:r>
    </w:p>
    <w:p w14:paraId="695B78A9" w14:textId="77777777" w:rsidR="00000000" w:rsidRDefault="009027A3">
      <w:pPr>
        <w:pStyle w:val="a3"/>
        <w:spacing w:before="0" w:beforeAutospacing="0" w:after="0" w:afterAutospacing="0"/>
        <w:rPr>
          <w:b/>
          <w:bCs/>
          <w:sz w:val="20"/>
          <w:szCs w:val="20"/>
        </w:rPr>
      </w:pPr>
      <w:bookmarkStart w:id="12" w:name="c_005"/>
      <w:bookmarkEnd w:id="12"/>
      <w:r>
        <w:rPr>
          <w:b/>
          <w:bCs/>
          <w:i/>
          <w:iCs/>
          <w:sz w:val="20"/>
          <w:szCs w:val="20"/>
        </w:rPr>
        <w:t>Item 1. Legal Proceedings</w:t>
      </w:r>
    </w:p>
    <w:p w14:paraId="7530E4A0" w14:textId="77777777" w:rsidR="00000000" w:rsidRDefault="009027A3">
      <w:pPr>
        <w:pStyle w:val="a3"/>
        <w:spacing w:before="0" w:beforeAutospacing="0" w:after="0" w:afterAutospacing="0"/>
        <w:rPr>
          <w:sz w:val="20"/>
          <w:szCs w:val="20"/>
        </w:rPr>
      </w:pPr>
      <w:r>
        <w:rPr>
          <w:b/>
          <w:bCs/>
          <w:i/>
          <w:iCs/>
          <w:sz w:val="20"/>
          <w:szCs w:val="20"/>
        </w:rPr>
        <w:t> </w:t>
      </w:r>
    </w:p>
    <w:p w14:paraId="6FBFCA47" w14:textId="77777777" w:rsidR="00000000" w:rsidRDefault="009027A3">
      <w:pPr>
        <w:pStyle w:val="a3"/>
        <w:spacing w:before="0" w:beforeAutospacing="0" w:after="0" w:afterAutospacing="0"/>
        <w:jc w:val="both"/>
        <w:rPr>
          <w:sz w:val="20"/>
          <w:szCs w:val="20"/>
        </w:rPr>
      </w:pPr>
      <w:r>
        <w:rPr>
          <w:sz w:val="20"/>
          <w:szCs w:val="20"/>
        </w:rPr>
        <w:t>See discussion of legal proceedings in “</w:t>
      </w:r>
      <w:r>
        <w:rPr>
          <w:sz w:val="20"/>
          <w:szCs w:val="20"/>
        </w:rPr>
        <w:t>Note 8, Commitments And Contingencies” of the Notes to Condensed Consolidated Financial Statements in this Quarterly Report, which is incorporated by reference herein.</w:t>
      </w:r>
    </w:p>
    <w:p w14:paraId="2BC0053F" w14:textId="77777777" w:rsidR="00000000" w:rsidRDefault="009027A3">
      <w:pPr>
        <w:pStyle w:val="a3"/>
        <w:spacing w:before="0" w:beforeAutospacing="0" w:after="0" w:afterAutospacing="0"/>
        <w:jc w:val="both"/>
        <w:rPr>
          <w:sz w:val="20"/>
          <w:szCs w:val="20"/>
        </w:rPr>
      </w:pPr>
      <w:r>
        <w:rPr>
          <w:b/>
          <w:bCs/>
          <w:i/>
          <w:iCs/>
          <w:sz w:val="20"/>
          <w:szCs w:val="20"/>
        </w:rPr>
        <w:t> </w:t>
      </w:r>
    </w:p>
    <w:p w14:paraId="00961AAE" w14:textId="77777777" w:rsidR="00000000" w:rsidRDefault="009027A3">
      <w:pPr>
        <w:pStyle w:val="a3"/>
        <w:spacing w:before="0" w:beforeAutospacing="0" w:after="0" w:afterAutospacing="0"/>
        <w:rPr>
          <w:b/>
          <w:bCs/>
          <w:sz w:val="20"/>
          <w:szCs w:val="20"/>
        </w:rPr>
      </w:pPr>
      <w:bookmarkStart w:id="13" w:name="c_006"/>
      <w:bookmarkEnd w:id="13"/>
      <w:r>
        <w:rPr>
          <w:b/>
          <w:bCs/>
          <w:i/>
          <w:iCs/>
          <w:sz w:val="20"/>
          <w:szCs w:val="20"/>
        </w:rPr>
        <w:t>Item 1A. Risk Factors</w:t>
      </w:r>
    </w:p>
    <w:p w14:paraId="198A420E" w14:textId="77777777" w:rsidR="00000000" w:rsidRDefault="009027A3">
      <w:pPr>
        <w:pStyle w:val="a3"/>
        <w:spacing w:before="0" w:beforeAutospacing="0" w:after="0" w:afterAutospacing="0"/>
        <w:jc w:val="both"/>
        <w:rPr>
          <w:sz w:val="20"/>
          <w:szCs w:val="20"/>
        </w:rPr>
      </w:pPr>
      <w:r>
        <w:rPr>
          <w:sz w:val="20"/>
          <w:szCs w:val="20"/>
        </w:rPr>
        <w:t> </w:t>
      </w:r>
    </w:p>
    <w:p w14:paraId="6814D971" w14:textId="77777777" w:rsidR="00000000" w:rsidRDefault="009027A3">
      <w:pPr>
        <w:pStyle w:val="a3"/>
        <w:spacing w:before="0" w:beforeAutospacing="0" w:after="0" w:afterAutospacing="0"/>
        <w:jc w:val="both"/>
        <w:rPr>
          <w:sz w:val="20"/>
          <w:szCs w:val="20"/>
        </w:rPr>
      </w:pPr>
      <w:r>
        <w:rPr>
          <w:sz w:val="20"/>
          <w:szCs w:val="20"/>
        </w:rPr>
        <w:t xml:space="preserve">In </w:t>
      </w:r>
      <w:r>
        <w:rPr>
          <w:sz w:val="20"/>
          <w:szCs w:val="20"/>
        </w:rPr>
        <w:t>addition to the other information set forth in this Quarterly Report on Form 10-Q and the risk factor noted below, you should carefully consider the factors discussed in Part I—Item 1A. “Risk Factors” in our Annual Report on Form 10-K, filed with the SEC o</w:t>
      </w:r>
      <w:r>
        <w:rPr>
          <w:sz w:val="20"/>
          <w:szCs w:val="20"/>
        </w:rPr>
        <w:t>n February 25, 2021, which could materially affect our business, financial condition and/or future results and may be further impacted by the coronavirus pandemic. The risks described in our Annual Report on Form 10-K and herein are not the only risks faci</w:t>
      </w:r>
      <w:r>
        <w:rPr>
          <w:sz w:val="20"/>
          <w:szCs w:val="20"/>
        </w:rPr>
        <w:t>ng us. Additional risks and uncertainties not currently known to us or that we currently deem to be immaterial may also materially adversely affect our business, financial condition, cash flows and/or future results.</w:t>
      </w:r>
    </w:p>
    <w:p w14:paraId="02E6BEE6" w14:textId="77777777" w:rsidR="00000000" w:rsidRDefault="009027A3">
      <w:pPr>
        <w:pStyle w:val="a3"/>
        <w:spacing w:before="0" w:beforeAutospacing="0" w:after="0" w:afterAutospacing="0"/>
        <w:jc w:val="both"/>
        <w:rPr>
          <w:sz w:val="20"/>
          <w:szCs w:val="20"/>
        </w:rPr>
      </w:pPr>
      <w:r>
        <w:rPr>
          <w:b/>
          <w:bCs/>
          <w:i/>
          <w:iCs/>
          <w:sz w:val="20"/>
          <w:szCs w:val="20"/>
        </w:rPr>
        <w:t> </w:t>
      </w:r>
    </w:p>
    <w:p w14:paraId="69363C7E" w14:textId="77777777" w:rsidR="00000000" w:rsidRDefault="009027A3">
      <w:pPr>
        <w:pStyle w:val="a3"/>
        <w:spacing w:before="0" w:beforeAutospacing="0" w:after="0" w:afterAutospacing="0"/>
        <w:jc w:val="both"/>
        <w:rPr>
          <w:sz w:val="20"/>
          <w:szCs w:val="20"/>
        </w:rPr>
      </w:pPr>
      <w:r>
        <w:rPr>
          <w:b/>
          <w:bCs/>
          <w:i/>
          <w:iCs/>
          <w:sz w:val="20"/>
          <w:szCs w:val="20"/>
        </w:rPr>
        <w:t>Our business, financial condition, re</w:t>
      </w:r>
      <w:r>
        <w:rPr>
          <w:b/>
          <w:bCs/>
          <w:i/>
          <w:iCs/>
          <w:sz w:val="20"/>
          <w:szCs w:val="20"/>
        </w:rPr>
        <w:t>sults of operations and growth could be harmed by the effects of the COVID-19 pandemic.</w:t>
      </w:r>
    </w:p>
    <w:p w14:paraId="60BB9DCB" w14:textId="77777777" w:rsidR="00000000" w:rsidRDefault="009027A3">
      <w:pPr>
        <w:pStyle w:val="a3"/>
        <w:spacing w:before="0" w:beforeAutospacing="0" w:after="0" w:afterAutospacing="0"/>
        <w:jc w:val="both"/>
        <w:rPr>
          <w:sz w:val="20"/>
          <w:szCs w:val="20"/>
        </w:rPr>
      </w:pPr>
      <w:r>
        <w:rPr>
          <w:sz w:val="20"/>
          <w:szCs w:val="20"/>
        </w:rPr>
        <w:t> </w:t>
      </w:r>
    </w:p>
    <w:p w14:paraId="18A1546F" w14:textId="77777777" w:rsidR="00000000" w:rsidRDefault="009027A3">
      <w:pPr>
        <w:pStyle w:val="a3"/>
        <w:spacing w:before="0" w:beforeAutospacing="0" w:after="0" w:afterAutospacing="0"/>
        <w:jc w:val="both"/>
        <w:rPr>
          <w:sz w:val="20"/>
          <w:szCs w:val="20"/>
        </w:rPr>
      </w:pPr>
      <w:r>
        <w:rPr>
          <w:sz w:val="20"/>
          <w:szCs w:val="20"/>
        </w:rPr>
        <w:t>We are subject to risks related to the public health crises such as the global pandemic associated with the coronavirus (“COVID-19”). In December 2019, a novel strain</w:t>
      </w:r>
      <w:r>
        <w:rPr>
          <w:sz w:val="20"/>
          <w:szCs w:val="20"/>
        </w:rPr>
        <w:t xml:space="preserve"> of coronavirus, SARS-CoV-2, was reported to have surfaced in Wuhan, China. Since then, SARS-CoV-2, and the resulting disease COVID-19, has spread to most countries, and all 50 states within the United States. In March 2020, the World Health Organization d</w:t>
      </w:r>
      <w:r>
        <w:rPr>
          <w:sz w:val="20"/>
          <w:szCs w:val="20"/>
        </w:rPr>
        <w:t>eclared the COVID-19 outbreak a pandemic. Further, the President of the United States declared the COVID-19 pandemic a national emergency, invoking powers under the Stafford Act, the legislation that directs federal emergency disaster response, and under t</w:t>
      </w:r>
      <w:r>
        <w:rPr>
          <w:sz w:val="20"/>
          <w:szCs w:val="20"/>
        </w:rPr>
        <w:t xml:space="preserve">he Defense Production Act, the legislation </w:t>
      </w:r>
      <w:r>
        <w:rPr>
          <w:sz w:val="20"/>
          <w:szCs w:val="20"/>
          <w:shd w:val="clear" w:color="auto" w:fill="FFFFFF"/>
        </w:rPr>
        <w:t>that facilitates the production of goods and services necessary for national security and for other purposes</w:t>
      </w:r>
      <w:r>
        <w:rPr>
          <w:sz w:val="20"/>
          <w:szCs w:val="20"/>
        </w:rPr>
        <w:t xml:space="preserve">. Numerous governmental jurisdictions, including the State of New Jersey where we maintain our principal </w:t>
      </w:r>
      <w:r>
        <w:rPr>
          <w:sz w:val="20"/>
          <w:szCs w:val="20"/>
        </w:rPr>
        <w:t>executive offices, and those in which many of our U.S. and international offices are based, have imposed, and others in the future may impose, “shelter-in-place” orders, quarantines, executive orders and similar government orders and restrictions for their</w:t>
      </w:r>
      <w:r>
        <w:rPr>
          <w:sz w:val="20"/>
          <w:szCs w:val="20"/>
        </w:rPr>
        <w:t xml:space="preserve"> residents to control the spread of COVID-19. Most states and the federal government, including the State of New Jersey, together with foreign jurisdictions in which we have operations centers, have declared a state of emergency related to the spread of CO</w:t>
      </w:r>
      <w:r>
        <w:rPr>
          <w:sz w:val="20"/>
          <w:szCs w:val="20"/>
        </w:rPr>
        <w:t>VID-19. Such orders or restrictions, and the perception that such orders or restrictions could occur, have resulted in business closures, work stoppages, slowdowns and delays, work-from-home policies, travel restrictions and cancellation of events, among o</w:t>
      </w:r>
      <w:r>
        <w:rPr>
          <w:sz w:val="20"/>
          <w:szCs w:val="20"/>
        </w:rPr>
        <w:t>ther effects, thereby negatively impacting our customers, employees, and offices, among others. We may experience further limitations on employee resources in the future, including because of sickness of employees or their families. These challenges have b</w:t>
      </w:r>
      <w:r>
        <w:rPr>
          <w:sz w:val="20"/>
          <w:szCs w:val="20"/>
        </w:rPr>
        <w:t>een, and are anticipated to continue being, particularly difficult to manage in foreign jurisdictions in which we have offices due to, among other things, a reduced ability to enable efficient and secure work-from-home.</w:t>
      </w:r>
    </w:p>
    <w:p w14:paraId="0030D815" w14:textId="77777777" w:rsidR="00000000" w:rsidRDefault="009027A3">
      <w:pPr>
        <w:pStyle w:val="a3"/>
        <w:spacing w:before="0" w:beforeAutospacing="0" w:after="0" w:afterAutospacing="0"/>
        <w:jc w:val="both"/>
        <w:rPr>
          <w:sz w:val="20"/>
          <w:szCs w:val="20"/>
        </w:rPr>
      </w:pPr>
      <w:r>
        <w:rPr>
          <w:sz w:val="20"/>
          <w:szCs w:val="20"/>
        </w:rPr>
        <w:t> </w:t>
      </w:r>
    </w:p>
    <w:p w14:paraId="6CDE421E" w14:textId="77777777" w:rsidR="00000000" w:rsidRDefault="009027A3">
      <w:pPr>
        <w:pStyle w:val="a3"/>
        <w:spacing w:before="0" w:beforeAutospacing="0" w:after="0" w:afterAutospacing="0"/>
        <w:jc w:val="both"/>
        <w:rPr>
          <w:sz w:val="20"/>
          <w:szCs w:val="20"/>
        </w:rPr>
      </w:pPr>
      <w:r>
        <w:rPr>
          <w:sz w:val="20"/>
          <w:szCs w:val="20"/>
        </w:rPr>
        <w:t>Health care organizations around t</w:t>
      </w:r>
      <w:r>
        <w:rPr>
          <w:sz w:val="20"/>
          <w:szCs w:val="20"/>
        </w:rPr>
        <w:t>he world, including our health care provider customers, have faced and will continue to face, substantial challenges in treating patients with COVID-19, such as the diversion of staff and resources from ordinary functions to the treatment of COVID-19, supp</w:t>
      </w:r>
      <w:r>
        <w:rPr>
          <w:sz w:val="20"/>
          <w:szCs w:val="20"/>
        </w:rPr>
        <w:t>ly, resource and capital shortages and overburdening of staff and resource capacity. In the United States, governmental authorities have also recommended, and in certain cases required, that elective, specialty and other procedures and appointments, includ</w:t>
      </w:r>
      <w:r>
        <w:rPr>
          <w:sz w:val="20"/>
          <w:szCs w:val="20"/>
        </w:rPr>
        <w:t xml:space="preserve">ing certain primary care services, be suspended or canceled to avoid non-essential patient exposure to medical environments and potential infection with COVID-19 and to focus limited resources and personnel capacity toward the treatment of COVID-19. These </w:t>
      </w:r>
      <w:r>
        <w:rPr>
          <w:sz w:val="20"/>
          <w:szCs w:val="20"/>
        </w:rPr>
        <w:t>measures and challenges will likely continue for the duration of the pandemic, which is uncertain, and will disproportionately harm the results of operations, liquidity and financial condition of these health care organizations and our health care provider</w:t>
      </w:r>
      <w:r>
        <w:rPr>
          <w:sz w:val="20"/>
          <w:szCs w:val="20"/>
        </w:rPr>
        <w:t xml:space="preserve"> customers. As a result, our health care provider customers may seek contractual accommodations from us in the future. To the extent such health care provider customers experience challenges and difficulties, it will adversely affect our business operation</w:t>
      </w:r>
      <w:r>
        <w:rPr>
          <w:sz w:val="20"/>
          <w:szCs w:val="20"/>
        </w:rPr>
        <w:t xml:space="preserve"> and results of operations. We note, for example, that approximately 65% of our revenue is directly tied to the cash collected by our health care provider customers, which means that our short-term revenue has and is expected to decline as less patients vi</w:t>
      </w:r>
      <w:r>
        <w:rPr>
          <w:sz w:val="20"/>
          <w:szCs w:val="20"/>
        </w:rPr>
        <w:t>sit their doctors during periods of social distancing. Further, a recession or prolonged economic contraction as a result of COVID-19 pandemic could also harm the business and results of operations of our enterprise customers, resulting in potential busine</w:t>
      </w:r>
      <w:r>
        <w:rPr>
          <w:sz w:val="20"/>
          <w:szCs w:val="20"/>
        </w:rPr>
        <w:t>ss closures, layoffs of employees and a significant increase in unemployment in the United States and elsewhere which may continue even after the pandemic. The occurrence of any such events may lead to reduced income for customers and reduced size of workf</w:t>
      </w:r>
      <w:r>
        <w:rPr>
          <w:sz w:val="20"/>
          <w:szCs w:val="20"/>
        </w:rPr>
        <w:t>orces, which could reduce our revenue and harm our business, financial condition and results of operations.</w:t>
      </w:r>
    </w:p>
    <w:p w14:paraId="259B6459"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1AC27BF" w14:textId="77777777">
        <w:trPr>
          <w:divId w:val="438641310"/>
        </w:trPr>
        <w:tc>
          <w:tcPr>
            <w:tcW w:w="5000" w:type="pct"/>
            <w:hideMark/>
          </w:tcPr>
          <w:p w14:paraId="55657E53" w14:textId="77777777" w:rsidR="00000000" w:rsidRDefault="009027A3">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4F6EC0A5" w14:textId="77777777">
        <w:tc>
          <w:tcPr>
            <w:tcW w:w="5000" w:type="pct"/>
            <w:hideMark/>
          </w:tcPr>
          <w:p w14:paraId="347D8BF3" w14:textId="77777777" w:rsidR="00000000" w:rsidRDefault="009027A3">
            <w:pPr>
              <w:rPr>
                <w:rFonts w:eastAsia="Times New Roman"/>
                <w:sz w:val="20"/>
                <w:szCs w:val="20"/>
              </w:rPr>
            </w:pPr>
            <w:r>
              <w:rPr>
                <w:rFonts w:eastAsia="Times New Roman"/>
                <w:sz w:val="20"/>
                <w:szCs w:val="20"/>
              </w:rPr>
              <w:t> </w:t>
            </w:r>
          </w:p>
        </w:tc>
      </w:tr>
    </w:tbl>
    <w:p w14:paraId="66E14BD6" w14:textId="77777777" w:rsidR="00000000" w:rsidRDefault="009027A3">
      <w:pPr>
        <w:pStyle w:val="a3"/>
        <w:spacing w:before="0" w:beforeAutospacing="0" w:after="0" w:afterAutospacing="0"/>
        <w:jc w:val="both"/>
        <w:rPr>
          <w:sz w:val="20"/>
          <w:szCs w:val="20"/>
        </w:rPr>
      </w:pPr>
      <w:r>
        <w:rPr>
          <w:sz w:val="20"/>
          <w:szCs w:val="20"/>
        </w:rPr>
        <w:t> </w:t>
      </w:r>
    </w:p>
    <w:p w14:paraId="6C273F09" w14:textId="77777777" w:rsidR="00000000" w:rsidRDefault="009027A3">
      <w:pPr>
        <w:pStyle w:val="a3"/>
        <w:spacing w:before="0" w:beforeAutospacing="0" w:after="0" w:afterAutospacing="0"/>
        <w:jc w:val="both"/>
        <w:rPr>
          <w:sz w:val="20"/>
          <w:szCs w:val="20"/>
        </w:rPr>
      </w:pPr>
      <w:r>
        <w:rPr>
          <w:sz w:val="20"/>
          <w:szCs w:val="20"/>
        </w:rPr>
        <w:t>The widespread COVID-19 pandemic has resulted in, and may continue to result in, significant volatility and uncertainty in U.S and inter</w:t>
      </w:r>
      <w:r>
        <w:rPr>
          <w:sz w:val="20"/>
          <w:szCs w:val="20"/>
        </w:rPr>
        <w:t xml:space="preserve">national financial markets, reducing our ability to access capital, which could in the future negatively affect our liquidity. In addition, a recession or market correction resulting from the spread of COVID-19 could materially affect our business and the </w:t>
      </w:r>
      <w:r>
        <w:rPr>
          <w:sz w:val="20"/>
          <w:szCs w:val="20"/>
        </w:rPr>
        <w:t>value of our common stock and Preferred Stock.</w:t>
      </w:r>
    </w:p>
    <w:p w14:paraId="38AA247F" w14:textId="77777777" w:rsidR="00000000" w:rsidRDefault="009027A3">
      <w:pPr>
        <w:pStyle w:val="a3"/>
        <w:spacing w:before="0" w:beforeAutospacing="0" w:after="0" w:afterAutospacing="0"/>
        <w:jc w:val="both"/>
        <w:rPr>
          <w:sz w:val="20"/>
          <w:szCs w:val="20"/>
        </w:rPr>
      </w:pPr>
      <w:r>
        <w:rPr>
          <w:sz w:val="20"/>
          <w:szCs w:val="20"/>
        </w:rPr>
        <w:t> </w:t>
      </w:r>
    </w:p>
    <w:p w14:paraId="7246E916" w14:textId="77777777" w:rsidR="00000000" w:rsidRDefault="009027A3">
      <w:pPr>
        <w:pStyle w:val="a3"/>
        <w:spacing w:before="0" w:beforeAutospacing="0" w:after="0" w:afterAutospacing="0"/>
        <w:jc w:val="both"/>
        <w:rPr>
          <w:sz w:val="20"/>
          <w:szCs w:val="20"/>
        </w:rPr>
      </w:pPr>
      <w:r>
        <w:rPr>
          <w:sz w:val="20"/>
          <w:szCs w:val="20"/>
        </w:rPr>
        <w:t xml:space="preserve">Further, </w:t>
      </w:r>
      <w:r>
        <w:rPr>
          <w:sz w:val="20"/>
          <w:szCs w:val="20"/>
        </w:rPr>
        <w:t>given the dislocation and government-imposed travel related limitations as a consequence of the COVID-19 pandemic, our ability to complete acquisitions in the near-term may be delayed. Future acquisitions may be subject to difficulties in evaluating potent</w:t>
      </w:r>
      <w:r>
        <w:rPr>
          <w:sz w:val="20"/>
          <w:szCs w:val="20"/>
        </w:rPr>
        <w:t>ial acquisition targets as a result of the inability to accurately predict the duration or long-term economic and business consequences resulting from the COVID-19 pandemic.</w:t>
      </w:r>
    </w:p>
    <w:p w14:paraId="2568DFBD" w14:textId="77777777" w:rsidR="00000000" w:rsidRDefault="009027A3">
      <w:pPr>
        <w:pStyle w:val="a3"/>
        <w:spacing w:before="0" w:beforeAutospacing="0" w:after="0" w:afterAutospacing="0"/>
        <w:jc w:val="both"/>
        <w:rPr>
          <w:sz w:val="20"/>
          <w:szCs w:val="20"/>
        </w:rPr>
      </w:pPr>
      <w:r>
        <w:rPr>
          <w:sz w:val="20"/>
          <w:szCs w:val="20"/>
        </w:rPr>
        <w:t> </w:t>
      </w:r>
    </w:p>
    <w:p w14:paraId="435C1B1E" w14:textId="77777777" w:rsidR="00000000" w:rsidRDefault="009027A3">
      <w:pPr>
        <w:pStyle w:val="a3"/>
        <w:spacing w:before="0" w:beforeAutospacing="0" w:after="0" w:afterAutospacing="0"/>
        <w:jc w:val="both"/>
        <w:rPr>
          <w:sz w:val="20"/>
          <w:szCs w:val="20"/>
        </w:rPr>
      </w:pPr>
      <w:r>
        <w:rPr>
          <w:sz w:val="20"/>
          <w:szCs w:val="20"/>
        </w:rPr>
        <w:t>In addition, any difficulties we may experience in connection with the integrati</w:t>
      </w:r>
      <w:r>
        <w:rPr>
          <w:sz w:val="20"/>
          <w:szCs w:val="20"/>
        </w:rPr>
        <w:t xml:space="preserve">on of CCH or Meridian could delay or prevent us from realizing such expected benefits and enhancing our business, and our business, financial condition and results of operation could be materially and adversely impacted. While we are working diligently to </w:t>
      </w:r>
      <w:r>
        <w:rPr>
          <w:sz w:val="20"/>
          <w:szCs w:val="20"/>
        </w:rPr>
        <w:t>accelerate integration activities, the employee disruptions and communication challenges created by the COVID-19 pandemic present particular challenges to our integration of CCH and Meridian and could make it difficult to effectively and timely complete ou</w:t>
      </w:r>
      <w:r>
        <w:rPr>
          <w:sz w:val="20"/>
          <w:szCs w:val="20"/>
        </w:rPr>
        <w:t>r integration goals.</w:t>
      </w:r>
    </w:p>
    <w:p w14:paraId="3F893659" w14:textId="77777777" w:rsidR="00000000" w:rsidRDefault="009027A3">
      <w:pPr>
        <w:pStyle w:val="a3"/>
        <w:spacing w:before="0" w:beforeAutospacing="0" w:after="0" w:afterAutospacing="0"/>
        <w:jc w:val="both"/>
        <w:rPr>
          <w:sz w:val="20"/>
          <w:szCs w:val="20"/>
        </w:rPr>
      </w:pPr>
      <w:r>
        <w:rPr>
          <w:sz w:val="20"/>
          <w:szCs w:val="20"/>
        </w:rPr>
        <w:t> </w:t>
      </w:r>
    </w:p>
    <w:p w14:paraId="0DF6D61E" w14:textId="77777777" w:rsidR="00000000" w:rsidRDefault="009027A3">
      <w:pPr>
        <w:pStyle w:val="a3"/>
        <w:spacing w:before="0" w:beforeAutospacing="0" w:after="0" w:afterAutospacing="0"/>
        <w:jc w:val="both"/>
        <w:rPr>
          <w:sz w:val="20"/>
          <w:szCs w:val="20"/>
        </w:rPr>
      </w:pPr>
      <w:r>
        <w:rPr>
          <w:sz w:val="20"/>
          <w:szCs w:val="20"/>
        </w:rPr>
        <w:t xml:space="preserve">The global outbreak of COVID-19 continues to rapidly evolve. We have taken steps intended to mitigate the effects of the pandemic and to protect our global workforce including, but not limited to: moving a significant portion of our </w:t>
      </w:r>
      <w:r>
        <w:rPr>
          <w:sz w:val="20"/>
          <w:szCs w:val="20"/>
        </w:rPr>
        <w:t xml:space="preserve">workforce to remote operations, enacting social distancing and hygiene guidelines set forth by the Centers for Disease Control and Prevention and World Health Organization at our offices, and discontinuing company travel and events, among others. Although </w:t>
      </w:r>
      <w:r>
        <w:rPr>
          <w:sz w:val="20"/>
          <w:szCs w:val="20"/>
        </w:rPr>
        <w:t>we believe we have taken the appropriate actions, we cannot guarantee that these measures will mitigate all or any negative effects of the pandemic. The ultimate impact of the COVID-19 pandemic or a similar health epidemic is highly uncertain and subject t</w:t>
      </w:r>
      <w:r>
        <w:rPr>
          <w:sz w:val="20"/>
          <w:szCs w:val="20"/>
        </w:rPr>
        <w:t>o change. We cannot at this time precisely predict what effects the COVID-19 outbreak will have on our business, results of operations and financial condition, including due to uncertainties relating to the ultimate geographic spread of the virus, the seve</w:t>
      </w:r>
      <w:r>
        <w:rPr>
          <w:sz w:val="20"/>
          <w:szCs w:val="20"/>
        </w:rPr>
        <w:t>rity of the disease, the duration of the pandemic and the governmental responses to the pandemic. However, we will continue to monitor the COVID-19 situation closely.</w:t>
      </w:r>
    </w:p>
    <w:p w14:paraId="5180F1F2" w14:textId="77777777" w:rsidR="00000000" w:rsidRDefault="009027A3">
      <w:pPr>
        <w:pStyle w:val="a3"/>
        <w:spacing w:before="0" w:beforeAutospacing="0" w:after="0" w:afterAutospacing="0"/>
        <w:jc w:val="both"/>
        <w:rPr>
          <w:sz w:val="20"/>
          <w:szCs w:val="20"/>
        </w:rPr>
      </w:pPr>
      <w:r>
        <w:rPr>
          <w:sz w:val="20"/>
          <w:szCs w:val="20"/>
        </w:rPr>
        <w:t> </w:t>
      </w:r>
    </w:p>
    <w:p w14:paraId="5ACEC1D4" w14:textId="77777777" w:rsidR="00000000" w:rsidRDefault="009027A3">
      <w:pPr>
        <w:pStyle w:val="a3"/>
        <w:spacing w:before="0" w:beforeAutospacing="0" w:after="0" w:afterAutospacing="0"/>
        <w:jc w:val="both"/>
        <w:rPr>
          <w:sz w:val="20"/>
          <w:szCs w:val="20"/>
        </w:rPr>
      </w:pPr>
      <w:r>
        <w:rPr>
          <w:sz w:val="20"/>
          <w:szCs w:val="20"/>
        </w:rPr>
        <w:t>In addition, given the inherent uncertainty surrounding COVID-19 due to rapidly changin</w:t>
      </w:r>
      <w:r>
        <w:rPr>
          <w:sz w:val="20"/>
          <w:szCs w:val="20"/>
        </w:rPr>
        <w:t xml:space="preserve">g governmental directives, public health challenges and economic disruption and the duration of the foregoing, the potential impact that COVID-19 could have on the Risk Factors described in Part I—Item 1A. “Risk Factors” in our Annual Report on Form 10-K, </w:t>
      </w:r>
      <w:r>
        <w:rPr>
          <w:sz w:val="20"/>
          <w:szCs w:val="20"/>
        </w:rPr>
        <w:t>filed with the SEC on February 25, 2021, remain unclear.</w:t>
      </w:r>
    </w:p>
    <w:p w14:paraId="48EED7F4" w14:textId="77777777" w:rsidR="00000000" w:rsidRDefault="009027A3">
      <w:pPr>
        <w:pStyle w:val="a3"/>
        <w:spacing w:before="0" w:beforeAutospacing="0" w:after="0" w:afterAutospacing="0"/>
        <w:jc w:val="both"/>
        <w:rPr>
          <w:sz w:val="20"/>
          <w:szCs w:val="20"/>
        </w:rPr>
      </w:pPr>
      <w:r>
        <w:rPr>
          <w:sz w:val="20"/>
          <w:szCs w:val="20"/>
        </w:rPr>
        <w:t> </w:t>
      </w:r>
    </w:p>
    <w:p w14:paraId="0DDF81BD" w14:textId="77777777" w:rsidR="00000000" w:rsidRDefault="009027A3">
      <w:pPr>
        <w:pStyle w:val="a3"/>
        <w:spacing w:before="0" w:beforeAutospacing="0" w:after="0" w:afterAutospacing="0"/>
        <w:rPr>
          <w:b/>
          <w:bCs/>
          <w:sz w:val="20"/>
          <w:szCs w:val="20"/>
        </w:rPr>
      </w:pPr>
      <w:bookmarkStart w:id="14" w:name="c_007"/>
      <w:bookmarkEnd w:id="14"/>
      <w:r>
        <w:rPr>
          <w:b/>
          <w:bCs/>
          <w:i/>
          <w:iCs/>
          <w:sz w:val="20"/>
          <w:szCs w:val="20"/>
        </w:rPr>
        <w:t>Item 2. Unregistered Sales of Equity Securities and Use of Proceeds</w:t>
      </w:r>
    </w:p>
    <w:p w14:paraId="5280D7D2" w14:textId="77777777" w:rsidR="00000000" w:rsidRDefault="009027A3">
      <w:pPr>
        <w:pStyle w:val="a3"/>
        <w:spacing w:before="0" w:beforeAutospacing="0" w:after="0" w:afterAutospacing="0"/>
        <w:jc w:val="both"/>
        <w:rPr>
          <w:sz w:val="20"/>
          <w:szCs w:val="20"/>
        </w:rPr>
      </w:pPr>
      <w:r>
        <w:rPr>
          <w:sz w:val="20"/>
          <w:szCs w:val="20"/>
        </w:rPr>
        <w:t> </w:t>
      </w:r>
    </w:p>
    <w:p w14:paraId="33E47AEA" w14:textId="77777777" w:rsidR="00000000" w:rsidRDefault="009027A3">
      <w:pPr>
        <w:pStyle w:val="a3"/>
        <w:spacing w:before="0" w:beforeAutospacing="0" w:after="0" w:afterAutospacing="0"/>
        <w:jc w:val="both"/>
        <w:rPr>
          <w:sz w:val="20"/>
          <w:szCs w:val="20"/>
        </w:rPr>
      </w:pPr>
      <w:r>
        <w:rPr>
          <w:sz w:val="20"/>
          <w:szCs w:val="20"/>
        </w:rPr>
        <w:t>Not applicable.</w:t>
      </w:r>
    </w:p>
    <w:p w14:paraId="5F4C44DD" w14:textId="77777777" w:rsidR="00000000" w:rsidRDefault="009027A3">
      <w:pPr>
        <w:pStyle w:val="a3"/>
        <w:spacing w:before="0" w:beforeAutospacing="0" w:after="0" w:afterAutospacing="0"/>
        <w:jc w:val="both"/>
        <w:rPr>
          <w:sz w:val="20"/>
          <w:szCs w:val="20"/>
        </w:rPr>
      </w:pPr>
      <w:r>
        <w:rPr>
          <w:i/>
          <w:iCs/>
          <w:sz w:val="20"/>
          <w:szCs w:val="20"/>
        </w:rPr>
        <w:t> </w:t>
      </w:r>
    </w:p>
    <w:p w14:paraId="0BFAB4AB" w14:textId="77777777" w:rsidR="00000000" w:rsidRDefault="009027A3">
      <w:pPr>
        <w:pStyle w:val="a3"/>
        <w:spacing w:before="0" w:beforeAutospacing="0" w:after="0" w:afterAutospacing="0"/>
        <w:jc w:val="both"/>
        <w:rPr>
          <w:sz w:val="20"/>
          <w:szCs w:val="20"/>
        </w:rPr>
      </w:pPr>
      <w:bookmarkStart w:id="15" w:name="c_008"/>
      <w:bookmarkEnd w:id="15"/>
      <w:r>
        <w:rPr>
          <w:b/>
          <w:bCs/>
          <w:i/>
          <w:iCs/>
          <w:sz w:val="20"/>
          <w:szCs w:val="20"/>
        </w:rPr>
        <w:t>Item 3. Defaults upon Senior Securities</w:t>
      </w:r>
    </w:p>
    <w:p w14:paraId="2BF1CA8E" w14:textId="77777777" w:rsidR="00000000" w:rsidRDefault="009027A3">
      <w:pPr>
        <w:pStyle w:val="a3"/>
        <w:spacing w:before="0" w:beforeAutospacing="0" w:after="0" w:afterAutospacing="0"/>
        <w:jc w:val="both"/>
        <w:rPr>
          <w:sz w:val="20"/>
          <w:szCs w:val="20"/>
        </w:rPr>
      </w:pPr>
      <w:r>
        <w:rPr>
          <w:sz w:val="20"/>
          <w:szCs w:val="20"/>
        </w:rPr>
        <w:t> </w:t>
      </w:r>
    </w:p>
    <w:p w14:paraId="75F47988" w14:textId="77777777" w:rsidR="00000000" w:rsidRDefault="009027A3">
      <w:pPr>
        <w:pStyle w:val="a3"/>
        <w:spacing w:before="0" w:beforeAutospacing="0" w:after="0" w:afterAutospacing="0"/>
        <w:jc w:val="both"/>
        <w:rPr>
          <w:sz w:val="20"/>
          <w:szCs w:val="20"/>
        </w:rPr>
      </w:pPr>
      <w:r>
        <w:rPr>
          <w:sz w:val="20"/>
          <w:szCs w:val="20"/>
        </w:rPr>
        <w:t>Not applicable.</w:t>
      </w:r>
    </w:p>
    <w:p w14:paraId="3EE74F57" w14:textId="77777777" w:rsidR="00000000" w:rsidRDefault="009027A3">
      <w:pPr>
        <w:pStyle w:val="a3"/>
        <w:spacing w:before="0" w:beforeAutospacing="0" w:after="0" w:afterAutospacing="0"/>
        <w:jc w:val="both"/>
        <w:rPr>
          <w:sz w:val="20"/>
          <w:szCs w:val="20"/>
        </w:rPr>
      </w:pPr>
      <w:r>
        <w:rPr>
          <w:b/>
          <w:bCs/>
          <w:i/>
          <w:iCs/>
          <w:sz w:val="20"/>
          <w:szCs w:val="20"/>
        </w:rPr>
        <w:t> </w:t>
      </w:r>
    </w:p>
    <w:p w14:paraId="4ADB9D0A" w14:textId="77777777" w:rsidR="00000000" w:rsidRDefault="009027A3">
      <w:pPr>
        <w:pStyle w:val="a3"/>
        <w:spacing w:before="0" w:beforeAutospacing="0" w:after="0" w:afterAutospacing="0"/>
        <w:rPr>
          <w:b/>
          <w:bCs/>
          <w:sz w:val="20"/>
          <w:szCs w:val="20"/>
        </w:rPr>
      </w:pPr>
      <w:bookmarkStart w:id="16" w:name="c_009"/>
      <w:bookmarkEnd w:id="16"/>
      <w:r>
        <w:rPr>
          <w:b/>
          <w:bCs/>
          <w:i/>
          <w:iCs/>
          <w:sz w:val="20"/>
          <w:szCs w:val="20"/>
        </w:rPr>
        <w:t>Item 4. Mine Safety Disclosures</w:t>
      </w:r>
    </w:p>
    <w:p w14:paraId="662459B4" w14:textId="77777777" w:rsidR="00000000" w:rsidRDefault="009027A3">
      <w:pPr>
        <w:pStyle w:val="a3"/>
        <w:spacing w:before="0" w:beforeAutospacing="0" w:after="0" w:afterAutospacing="0"/>
        <w:jc w:val="both"/>
        <w:rPr>
          <w:sz w:val="20"/>
          <w:szCs w:val="20"/>
        </w:rPr>
      </w:pPr>
      <w:r>
        <w:rPr>
          <w:sz w:val="20"/>
          <w:szCs w:val="20"/>
        </w:rPr>
        <w:t> </w:t>
      </w:r>
    </w:p>
    <w:p w14:paraId="1B923CC3" w14:textId="77777777" w:rsidR="00000000" w:rsidRDefault="009027A3">
      <w:pPr>
        <w:pStyle w:val="a3"/>
        <w:spacing w:before="0" w:beforeAutospacing="0" w:after="0" w:afterAutospacing="0"/>
        <w:jc w:val="both"/>
        <w:rPr>
          <w:sz w:val="20"/>
          <w:szCs w:val="20"/>
        </w:rPr>
      </w:pPr>
      <w:r>
        <w:rPr>
          <w:sz w:val="20"/>
          <w:szCs w:val="20"/>
        </w:rPr>
        <w:t>Not applicable.</w:t>
      </w:r>
    </w:p>
    <w:p w14:paraId="5431CDAB" w14:textId="77777777" w:rsidR="00000000" w:rsidRDefault="009027A3">
      <w:pPr>
        <w:pStyle w:val="a3"/>
        <w:spacing w:before="0" w:beforeAutospacing="0" w:after="0" w:afterAutospacing="0"/>
        <w:jc w:val="both"/>
        <w:rPr>
          <w:sz w:val="20"/>
          <w:szCs w:val="20"/>
        </w:rPr>
      </w:pPr>
      <w:r>
        <w:rPr>
          <w:b/>
          <w:bCs/>
          <w:i/>
          <w:iCs/>
          <w:sz w:val="20"/>
          <w:szCs w:val="20"/>
        </w:rPr>
        <w:t> </w:t>
      </w:r>
    </w:p>
    <w:p w14:paraId="15AC083E" w14:textId="77777777" w:rsidR="00000000" w:rsidRDefault="009027A3">
      <w:pPr>
        <w:pStyle w:val="a3"/>
        <w:spacing w:before="0" w:beforeAutospacing="0" w:after="0" w:afterAutospacing="0"/>
        <w:rPr>
          <w:b/>
          <w:bCs/>
          <w:sz w:val="20"/>
          <w:szCs w:val="20"/>
        </w:rPr>
      </w:pPr>
      <w:bookmarkStart w:id="17" w:name="c_010"/>
      <w:bookmarkEnd w:id="17"/>
      <w:r>
        <w:rPr>
          <w:b/>
          <w:bCs/>
          <w:i/>
          <w:iCs/>
          <w:sz w:val="20"/>
          <w:szCs w:val="20"/>
        </w:rPr>
        <w:t>Item 5. Other Information</w:t>
      </w:r>
    </w:p>
    <w:p w14:paraId="03C4F451" w14:textId="77777777" w:rsidR="00000000" w:rsidRDefault="009027A3">
      <w:pPr>
        <w:pStyle w:val="a3"/>
        <w:spacing w:before="0" w:beforeAutospacing="0" w:after="0" w:afterAutospacing="0"/>
        <w:jc w:val="both"/>
        <w:rPr>
          <w:sz w:val="20"/>
          <w:szCs w:val="20"/>
        </w:rPr>
      </w:pPr>
      <w:r>
        <w:rPr>
          <w:sz w:val="20"/>
          <w:szCs w:val="20"/>
        </w:rPr>
        <w:t> </w:t>
      </w:r>
    </w:p>
    <w:p w14:paraId="35DD66F9" w14:textId="77777777" w:rsidR="00000000" w:rsidRDefault="009027A3">
      <w:pPr>
        <w:pStyle w:val="a3"/>
        <w:spacing w:before="0" w:beforeAutospacing="0" w:after="0" w:afterAutospacing="0"/>
        <w:jc w:val="both"/>
        <w:rPr>
          <w:sz w:val="20"/>
          <w:szCs w:val="20"/>
        </w:rPr>
      </w:pPr>
      <w:r>
        <w:rPr>
          <w:sz w:val="20"/>
          <w:szCs w:val="20"/>
        </w:rPr>
        <w:t>Not applicable.</w:t>
      </w:r>
    </w:p>
    <w:p w14:paraId="09C423FE"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E9EC42E" w14:textId="77777777">
        <w:trPr>
          <w:divId w:val="261911485"/>
        </w:trPr>
        <w:tc>
          <w:tcPr>
            <w:tcW w:w="5000" w:type="pct"/>
            <w:hideMark/>
          </w:tcPr>
          <w:p w14:paraId="44A59054" w14:textId="77777777" w:rsidR="00000000" w:rsidRDefault="009027A3">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5768DBBF" w14:textId="77777777">
        <w:tc>
          <w:tcPr>
            <w:tcW w:w="5000" w:type="pct"/>
            <w:hideMark/>
          </w:tcPr>
          <w:p w14:paraId="4BD8CE22" w14:textId="77777777" w:rsidR="00000000" w:rsidRDefault="009027A3">
            <w:pPr>
              <w:rPr>
                <w:rFonts w:eastAsia="Times New Roman"/>
                <w:sz w:val="20"/>
                <w:szCs w:val="20"/>
              </w:rPr>
            </w:pPr>
            <w:r>
              <w:rPr>
                <w:rFonts w:eastAsia="Times New Roman"/>
                <w:sz w:val="20"/>
                <w:szCs w:val="20"/>
              </w:rPr>
              <w:t> </w:t>
            </w:r>
          </w:p>
        </w:tc>
      </w:tr>
    </w:tbl>
    <w:p w14:paraId="6CC30FB7" w14:textId="77777777" w:rsidR="00000000" w:rsidRDefault="009027A3">
      <w:pPr>
        <w:pStyle w:val="a3"/>
        <w:spacing w:before="0" w:beforeAutospacing="0" w:after="0" w:afterAutospacing="0"/>
        <w:jc w:val="both"/>
        <w:rPr>
          <w:sz w:val="20"/>
          <w:szCs w:val="20"/>
        </w:rPr>
      </w:pPr>
      <w:r>
        <w:rPr>
          <w:sz w:val="20"/>
          <w:szCs w:val="20"/>
        </w:rPr>
        <w:t> </w:t>
      </w:r>
    </w:p>
    <w:p w14:paraId="123EDDD0" w14:textId="77777777" w:rsidR="00000000" w:rsidRDefault="009027A3">
      <w:pPr>
        <w:pStyle w:val="a3"/>
        <w:spacing w:before="0" w:beforeAutospacing="0" w:after="0" w:afterAutospacing="0"/>
        <w:rPr>
          <w:b/>
          <w:bCs/>
          <w:sz w:val="20"/>
          <w:szCs w:val="20"/>
        </w:rPr>
      </w:pPr>
      <w:bookmarkStart w:id="18" w:name="c_011"/>
      <w:bookmarkEnd w:id="18"/>
      <w:r>
        <w:rPr>
          <w:b/>
          <w:bCs/>
          <w:i/>
          <w:iCs/>
          <w:sz w:val="20"/>
          <w:szCs w:val="20"/>
        </w:rPr>
        <w:t>Item 6. Exhibits</w:t>
      </w:r>
    </w:p>
    <w:p w14:paraId="10D031A2"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14:paraId="610CB417" w14:textId="77777777">
        <w:tc>
          <w:tcPr>
            <w:tcW w:w="1440" w:type="dxa"/>
            <w:tcBorders>
              <w:bottom w:val="single" w:sz="12" w:space="0" w:color="000000"/>
            </w:tcBorders>
            <w:hideMark/>
          </w:tcPr>
          <w:p w14:paraId="1E0CC8C1" w14:textId="77777777" w:rsidR="00000000" w:rsidRDefault="009027A3">
            <w:pPr>
              <w:jc w:val="cente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14:paraId="6B7E50BA" w14:textId="77777777" w:rsidR="00000000" w:rsidRDefault="009027A3">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67EBEDBF" w14:textId="77777777" w:rsidR="00000000" w:rsidRDefault="009027A3">
            <w:pPr>
              <w:jc w:val="center"/>
              <w:rPr>
                <w:rFonts w:eastAsia="Times New Roman"/>
                <w:sz w:val="20"/>
                <w:szCs w:val="20"/>
              </w:rPr>
            </w:pPr>
            <w:r>
              <w:rPr>
                <w:rFonts w:eastAsia="Times New Roman"/>
                <w:b/>
                <w:bCs/>
                <w:sz w:val="20"/>
                <w:szCs w:val="20"/>
              </w:rPr>
              <w:t>Exhibit Description</w:t>
            </w:r>
          </w:p>
        </w:tc>
      </w:tr>
      <w:tr w:rsidR="00000000" w14:paraId="72A948D5" w14:textId="77777777">
        <w:tc>
          <w:tcPr>
            <w:tcW w:w="0" w:type="auto"/>
            <w:hideMark/>
          </w:tcPr>
          <w:p w14:paraId="3F65D24A" w14:textId="77777777" w:rsidR="00000000" w:rsidRDefault="009027A3">
            <w:pPr>
              <w:rPr>
                <w:rFonts w:eastAsia="Times New Roman"/>
                <w:sz w:val="20"/>
                <w:szCs w:val="20"/>
              </w:rPr>
            </w:pPr>
            <w:r>
              <w:rPr>
                <w:rFonts w:eastAsia="Times New Roman"/>
                <w:sz w:val="20"/>
                <w:szCs w:val="20"/>
              </w:rPr>
              <w:t> </w:t>
            </w:r>
          </w:p>
        </w:tc>
        <w:tc>
          <w:tcPr>
            <w:tcW w:w="0" w:type="auto"/>
            <w:hideMark/>
          </w:tcPr>
          <w:p w14:paraId="404124FE" w14:textId="77777777" w:rsidR="00000000" w:rsidRDefault="009027A3">
            <w:pPr>
              <w:rPr>
                <w:rFonts w:eastAsia="Times New Roman"/>
                <w:sz w:val="20"/>
                <w:szCs w:val="20"/>
              </w:rPr>
            </w:pPr>
            <w:r>
              <w:rPr>
                <w:rFonts w:eastAsia="Times New Roman"/>
                <w:sz w:val="20"/>
                <w:szCs w:val="20"/>
              </w:rPr>
              <w:t> </w:t>
            </w:r>
          </w:p>
        </w:tc>
        <w:tc>
          <w:tcPr>
            <w:tcW w:w="0" w:type="auto"/>
            <w:hideMark/>
          </w:tcPr>
          <w:p w14:paraId="1E350263" w14:textId="77777777" w:rsidR="00000000" w:rsidRDefault="009027A3">
            <w:pPr>
              <w:jc w:val="both"/>
              <w:rPr>
                <w:rFonts w:eastAsia="Times New Roman"/>
                <w:sz w:val="20"/>
                <w:szCs w:val="20"/>
              </w:rPr>
            </w:pPr>
            <w:r>
              <w:rPr>
                <w:rFonts w:eastAsia="Times New Roman"/>
                <w:sz w:val="20"/>
                <w:szCs w:val="20"/>
              </w:rPr>
              <w:t> </w:t>
            </w:r>
          </w:p>
        </w:tc>
      </w:tr>
      <w:tr w:rsidR="00000000" w14:paraId="4F103B4D" w14:textId="77777777">
        <w:tc>
          <w:tcPr>
            <w:tcW w:w="0" w:type="auto"/>
            <w:hideMark/>
          </w:tcPr>
          <w:p w14:paraId="635C0E69" w14:textId="77777777" w:rsidR="00000000" w:rsidRDefault="009027A3">
            <w:pPr>
              <w:rPr>
                <w:rFonts w:eastAsia="Times New Roman"/>
                <w:sz w:val="20"/>
                <w:szCs w:val="20"/>
              </w:rPr>
            </w:pPr>
            <w:r>
              <w:rPr>
                <w:rFonts w:eastAsia="Times New Roman"/>
                <w:sz w:val="20"/>
                <w:szCs w:val="20"/>
              </w:rPr>
              <w:t>31.1</w:t>
            </w:r>
          </w:p>
        </w:tc>
        <w:tc>
          <w:tcPr>
            <w:tcW w:w="0" w:type="auto"/>
            <w:hideMark/>
          </w:tcPr>
          <w:p w14:paraId="5DA1B5DF" w14:textId="77777777" w:rsidR="00000000" w:rsidRDefault="009027A3">
            <w:pPr>
              <w:rPr>
                <w:rFonts w:eastAsia="Times New Roman"/>
                <w:sz w:val="20"/>
                <w:szCs w:val="20"/>
              </w:rPr>
            </w:pPr>
            <w:r>
              <w:rPr>
                <w:rFonts w:eastAsia="Times New Roman"/>
                <w:sz w:val="20"/>
                <w:szCs w:val="20"/>
              </w:rPr>
              <w:t> </w:t>
            </w:r>
          </w:p>
        </w:tc>
        <w:tc>
          <w:tcPr>
            <w:tcW w:w="0" w:type="auto"/>
            <w:hideMark/>
          </w:tcPr>
          <w:p w14:paraId="1FCB2326" w14:textId="77777777" w:rsidR="00000000" w:rsidRDefault="009027A3">
            <w:pPr>
              <w:jc w:val="both"/>
              <w:rPr>
                <w:rFonts w:eastAsia="Times New Roman"/>
                <w:sz w:val="20"/>
                <w:szCs w:val="20"/>
              </w:rPr>
            </w:pPr>
            <w:hyperlink r:id="rId5" w:history="1">
              <w:r>
                <w:rPr>
                  <w:rStyle w:val="a4"/>
                  <w:rFonts w:eastAsia="Times New Roman"/>
                  <w:sz w:val="20"/>
                  <w:szCs w:val="20"/>
                </w:rPr>
                <w:t>Certification of the Company’</w:t>
              </w:r>
              <w:r>
                <w:rPr>
                  <w:rStyle w:val="a4"/>
                  <w:rFonts w:eastAsia="Times New Roman"/>
                  <w:sz w:val="20"/>
                  <w:szCs w:val="20"/>
                </w:rPr>
                <w:t>s Principal Executive Officer pursuant to Exchange Act Rules 13a-14(a)/15d-14(a), of the Securities Exchange Act of 1934, as amended.</w:t>
              </w:r>
            </w:hyperlink>
          </w:p>
        </w:tc>
      </w:tr>
      <w:tr w:rsidR="00000000" w14:paraId="4CF8A83E" w14:textId="77777777">
        <w:tc>
          <w:tcPr>
            <w:tcW w:w="0" w:type="auto"/>
            <w:hideMark/>
          </w:tcPr>
          <w:p w14:paraId="3CBFD24A" w14:textId="77777777" w:rsidR="00000000" w:rsidRDefault="009027A3">
            <w:pPr>
              <w:rPr>
                <w:rFonts w:eastAsia="Times New Roman"/>
                <w:sz w:val="20"/>
                <w:szCs w:val="20"/>
              </w:rPr>
            </w:pPr>
            <w:r>
              <w:rPr>
                <w:rFonts w:eastAsia="Times New Roman"/>
                <w:sz w:val="20"/>
                <w:szCs w:val="20"/>
              </w:rPr>
              <w:t>31.2</w:t>
            </w:r>
          </w:p>
        </w:tc>
        <w:tc>
          <w:tcPr>
            <w:tcW w:w="0" w:type="auto"/>
            <w:hideMark/>
          </w:tcPr>
          <w:p w14:paraId="25F32824" w14:textId="77777777" w:rsidR="00000000" w:rsidRDefault="009027A3">
            <w:pPr>
              <w:rPr>
                <w:rFonts w:eastAsia="Times New Roman"/>
                <w:sz w:val="20"/>
                <w:szCs w:val="20"/>
              </w:rPr>
            </w:pPr>
            <w:r>
              <w:rPr>
                <w:rFonts w:eastAsia="Times New Roman"/>
                <w:sz w:val="20"/>
                <w:szCs w:val="20"/>
              </w:rPr>
              <w:t> </w:t>
            </w:r>
          </w:p>
        </w:tc>
        <w:tc>
          <w:tcPr>
            <w:tcW w:w="0" w:type="auto"/>
            <w:hideMark/>
          </w:tcPr>
          <w:p w14:paraId="7C57BCF3" w14:textId="77777777" w:rsidR="00000000" w:rsidRDefault="009027A3">
            <w:pPr>
              <w:jc w:val="both"/>
              <w:rPr>
                <w:rFonts w:eastAsia="Times New Roman"/>
                <w:sz w:val="20"/>
                <w:szCs w:val="20"/>
              </w:rPr>
            </w:pPr>
            <w:hyperlink r:id="rId6" w:history="1">
              <w:r>
                <w:rPr>
                  <w:rStyle w:val="a4"/>
                  <w:rFonts w:eastAsia="Times New Roman"/>
                  <w:sz w:val="20"/>
                  <w:szCs w:val="20"/>
                </w:rPr>
                <w:t>Certification of the Company’</w:t>
              </w:r>
              <w:r>
                <w:rPr>
                  <w:rStyle w:val="a4"/>
                  <w:rFonts w:eastAsia="Times New Roman"/>
                  <w:sz w:val="20"/>
                  <w:szCs w:val="20"/>
                </w:rPr>
                <w:t>s Principal Financial Officer pursuant to Exchange Act Rules 13a-14(a)/15d-14(a), of the Securities Exchange Act of 1934, as amended.</w:t>
              </w:r>
            </w:hyperlink>
          </w:p>
        </w:tc>
      </w:tr>
      <w:tr w:rsidR="00000000" w14:paraId="35993E36" w14:textId="77777777">
        <w:tc>
          <w:tcPr>
            <w:tcW w:w="0" w:type="auto"/>
            <w:hideMark/>
          </w:tcPr>
          <w:p w14:paraId="7A5B3700" w14:textId="77777777" w:rsidR="00000000" w:rsidRDefault="009027A3">
            <w:pPr>
              <w:rPr>
                <w:rFonts w:eastAsia="Times New Roman"/>
                <w:sz w:val="20"/>
                <w:szCs w:val="20"/>
              </w:rPr>
            </w:pPr>
            <w:r>
              <w:rPr>
                <w:rFonts w:eastAsia="Times New Roman"/>
                <w:sz w:val="20"/>
                <w:szCs w:val="20"/>
              </w:rPr>
              <w:t>32.1*</w:t>
            </w:r>
          </w:p>
        </w:tc>
        <w:tc>
          <w:tcPr>
            <w:tcW w:w="0" w:type="auto"/>
            <w:hideMark/>
          </w:tcPr>
          <w:p w14:paraId="1859EB18" w14:textId="77777777" w:rsidR="00000000" w:rsidRDefault="009027A3">
            <w:pPr>
              <w:rPr>
                <w:rFonts w:eastAsia="Times New Roman"/>
                <w:sz w:val="20"/>
                <w:szCs w:val="20"/>
              </w:rPr>
            </w:pPr>
            <w:r>
              <w:rPr>
                <w:rFonts w:eastAsia="Times New Roman"/>
                <w:sz w:val="20"/>
                <w:szCs w:val="20"/>
              </w:rPr>
              <w:t> </w:t>
            </w:r>
          </w:p>
        </w:tc>
        <w:tc>
          <w:tcPr>
            <w:tcW w:w="0" w:type="auto"/>
            <w:hideMark/>
          </w:tcPr>
          <w:p w14:paraId="4C9CC75E" w14:textId="77777777" w:rsidR="00000000" w:rsidRDefault="009027A3">
            <w:pPr>
              <w:jc w:val="both"/>
              <w:rPr>
                <w:rFonts w:eastAsia="Times New Roman"/>
                <w:sz w:val="20"/>
                <w:szCs w:val="20"/>
              </w:rPr>
            </w:pPr>
            <w:hyperlink r:id="rId7" w:history="1">
              <w:r>
                <w:rPr>
                  <w:rStyle w:val="a4"/>
                  <w:rFonts w:eastAsia="Times New Roman"/>
                  <w:sz w:val="20"/>
                  <w:szCs w:val="20"/>
                </w:rPr>
                <w:t>Certification of the Company’s Chief Executive Officer pursuant to 18 U.S.C. Section 1</w:t>
              </w:r>
              <w:r>
                <w:rPr>
                  <w:rStyle w:val="a4"/>
                  <w:rFonts w:eastAsia="Times New Roman"/>
                  <w:sz w:val="20"/>
                  <w:szCs w:val="20"/>
                </w:rPr>
                <w:t>350, as adopted pursuant to Section 906 of the Sarbanes-Oxley Act of 2002.</w:t>
              </w:r>
            </w:hyperlink>
          </w:p>
        </w:tc>
      </w:tr>
      <w:tr w:rsidR="00000000" w14:paraId="3C4D6F1E" w14:textId="77777777">
        <w:tc>
          <w:tcPr>
            <w:tcW w:w="0" w:type="auto"/>
            <w:hideMark/>
          </w:tcPr>
          <w:p w14:paraId="52F46805" w14:textId="77777777" w:rsidR="00000000" w:rsidRDefault="009027A3">
            <w:pPr>
              <w:rPr>
                <w:rFonts w:eastAsia="Times New Roman"/>
                <w:sz w:val="20"/>
                <w:szCs w:val="20"/>
              </w:rPr>
            </w:pPr>
            <w:r>
              <w:rPr>
                <w:rFonts w:eastAsia="Times New Roman"/>
                <w:sz w:val="20"/>
                <w:szCs w:val="20"/>
              </w:rPr>
              <w:t>32.2*</w:t>
            </w:r>
          </w:p>
        </w:tc>
        <w:tc>
          <w:tcPr>
            <w:tcW w:w="0" w:type="auto"/>
            <w:hideMark/>
          </w:tcPr>
          <w:p w14:paraId="05476FD2" w14:textId="77777777" w:rsidR="00000000" w:rsidRDefault="009027A3">
            <w:pPr>
              <w:rPr>
                <w:rFonts w:eastAsia="Times New Roman"/>
                <w:sz w:val="20"/>
                <w:szCs w:val="20"/>
              </w:rPr>
            </w:pPr>
            <w:r>
              <w:rPr>
                <w:rFonts w:eastAsia="Times New Roman"/>
                <w:sz w:val="20"/>
                <w:szCs w:val="20"/>
              </w:rPr>
              <w:t> </w:t>
            </w:r>
          </w:p>
        </w:tc>
        <w:tc>
          <w:tcPr>
            <w:tcW w:w="0" w:type="auto"/>
            <w:hideMark/>
          </w:tcPr>
          <w:p w14:paraId="20998343" w14:textId="77777777" w:rsidR="00000000" w:rsidRDefault="009027A3">
            <w:pPr>
              <w:jc w:val="both"/>
              <w:rPr>
                <w:rFonts w:eastAsia="Times New Roman"/>
                <w:sz w:val="20"/>
                <w:szCs w:val="20"/>
              </w:rPr>
            </w:pPr>
            <w:hyperlink r:id="rId8" w:history="1">
              <w:r>
                <w:rPr>
                  <w:rStyle w:val="a4"/>
                  <w:rFonts w:eastAsia="Times New Roman"/>
                  <w:sz w:val="20"/>
                  <w:szCs w:val="20"/>
                </w:rPr>
                <w:t>Certification of the Company’s Chief Financial Officer pursuant to 18 U.S.C. Section 1350, as adopted pursuant to Section 906 of the Sarbanes-Oxl</w:t>
              </w:r>
              <w:r>
                <w:rPr>
                  <w:rStyle w:val="a4"/>
                  <w:rFonts w:eastAsia="Times New Roman"/>
                  <w:sz w:val="20"/>
                  <w:szCs w:val="20"/>
                </w:rPr>
                <w:t>ey Act of 2002.</w:t>
              </w:r>
            </w:hyperlink>
          </w:p>
        </w:tc>
      </w:tr>
      <w:tr w:rsidR="00000000" w14:paraId="29BE05D9" w14:textId="77777777">
        <w:tc>
          <w:tcPr>
            <w:tcW w:w="0" w:type="auto"/>
            <w:hideMark/>
          </w:tcPr>
          <w:p w14:paraId="01AC9A35" w14:textId="77777777" w:rsidR="00000000" w:rsidRDefault="009027A3">
            <w:pPr>
              <w:rPr>
                <w:rFonts w:eastAsia="Times New Roman"/>
                <w:sz w:val="20"/>
                <w:szCs w:val="20"/>
              </w:rPr>
            </w:pPr>
            <w:r>
              <w:rPr>
                <w:rFonts w:eastAsia="Times New Roman"/>
                <w:sz w:val="20"/>
                <w:szCs w:val="20"/>
              </w:rPr>
              <w:t>101.INS</w:t>
            </w:r>
          </w:p>
        </w:tc>
        <w:tc>
          <w:tcPr>
            <w:tcW w:w="0" w:type="auto"/>
            <w:hideMark/>
          </w:tcPr>
          <w:p w14:paraId="55A4A198" w14:textId="77777777" w:rsidR="00000000" w:rsidRDefault="009027A3">
            <w:pPr>
              <w:rPr>
                <w:rFonts w:eastAsia="Times New Roman"/>
                <w:sz w:val="20"/>
                <w:szCs w:val="20"/>
              </w:rPr>
            </w:pPr>
            <w:r>
              <w:rPr>
                <w:rFonts w:eastAsia="Times New Roman"/>
                <w:sz w:val="20"/>
                <w:szCs w:val="20"/>
              </w:rPr>
              <w:t> </w:t>
            </w:r>
          </w:p>
        </w:tc>
        <w:tc>
          <w:tcPr>
            <w:tcW w:w="0" w:type="auto"/>
            <w:hideMark/>
          </w:tcPr>
          <w:p w14:paraId="27D822DB" w14:textId="77777777" w:rsidR="00000000" w:rsidRDefault="009027A3">
            <w:pPr>
              <w:jc w:val="both"/>
              <w:rPr>
                <w:rFonts w:eastAsia="Times New Roman"/>
                <w:sz w:val="20"/>
                <w:szCs w:val="20"/>
              </w:rPr>
            </w:pPr>
            <w:r>
              <w:rPr>
                <w:rFonts w:eastAsia="Times New Roman"/>
                <w:sz w:val="20"/>
                <w:szCs w:val="20"/>
              </w:rPr>
              <w:t>XBRL Instance</w:t>
            </w:r>
          </w:p>
        </w:tc>
      </w:tr>
      <w:tr w:rsidR="00000000" w14:paraId="402AAD0F" w14:textId="77777777">
        <w:tc>
          <w:tcPr>
            <w:tcW w:w="0" w:type="auto"/>
            <w:hideMark/>
          </w:tcPr>
          <w:p w14:paraId="79F32AF3" w14:textId="77777777" w:rsidR="00000000" w:rsidRDefault="009027A3">
            <w:pPr>
              <w:rPr>
                <w:rFonts w:eastAsia="Times New Roman"/>
                <w:sz w:val="20"/>
                <w:szCs w:val="20"/>
              </w:rPr>
            </w:pPr>
            <w:r>
              <w:rPr>
                <w:rFonts w:eastAsia="Times New Roman"/>
                <w:sz w:val="20"/>
                <w:szCs w:val="20"/>
              </w:rPr>
              <w:t>101.SCH</w:t>
            </w:r>
          </w:p>
        </w:tc>
        <w:tc>
          <w:tcPr>
            <w:tcW w:w="0" w:type="auto"/>
            <w:hideMark/>
          </w:tcPr>
          <w:p w14:paraId="00C3934F" w14:textId="77777777" w:rsidR="00000000" w:rsidRDefault="009027A3">
            <w:pPr>
              <w:rPr>
                <w:rFonts w:eastAsia="Times New Roman"/>
                <w:sz w:val="20"/>
                <w:szCs w:val="20"/>
              </w:rPr>
            </w:pPr>
            <w:r>
              <w:rPr>
                <w:rFonts w:eastAsia="Times New Roman"/>
                <w:sz w:val="20"/>
                <w:szCs w:val="20"/>
              </w:rPr>
              <w:t> </w:t>
            </w:r>
          </w:p>
        </w:tc>
        <w:tc>
          <w:tcPr>
            <w:tcW w:w="0" w:type="auto"/>
            <w:hideMark/>
          </w:tcPr>
          <w:p w14:paraId="69F6E7E2" w14:textId="77777777" w:rsidR="00000000" w:rsidRDefault="009027A3">
            <w:pPr>
              <w:jc w:val="both"/>
              <w:rPr>
                <w:rFonts w:eastAsia="Times New Roman"/>
                <w:sz w:val="20"/>
                <w:szCs w:val="20"/>
              </w:rPr>
            </w:pPr>
            <w:r>
              <w:rPr>
                <w:rFonts w:eastAsia="Times New Roman"/>
                <w:sz w:val="20"/>
                <w:szCs w:val="20"/>
              </w:rPr>
              <w:t>XBRL Taxonomy Extension Schema</w:t>
            </w:r>
          </w:p>
        </w:tc>
      </w:tr>
      <w:tr w:rsidR="00000000" w14:paraId="10BFCE4B" w14:textId="77777777">
        <w:tc>
          <w:tcPr>
            <w:tcW w:w="0" w:type="auto"/>
            <w:hideMark/>
          </w:tcPr>
          <w:p w14:paraId="403DE33A" w14:textId="77777777" w:rsidR="00000000" w:rsidRDefault="009027A3">
            <w:pPr>
              <w:rPr>
                <w:rFonts w:eastAsia="Times New Roman"/>
                <w:sz w:val="20"/>
                <w:szCs w:val="20"/>
              </w:rPr>
            </w:pPr>
            <w:r>
              <w:rPr>
                <w:rFonts w:eastAsia="Times New Roman"/>
                <w:sz w:val="20"/>
                <w:szCs w:val="20"/>
              </w:rPr>
              <w:t>101.CAL</w:t>
            </w:r>
          </w:p>
        </w:tc>
        <w:tc>
          <w:tcPr>
            <w:tcW w:w="0" w:type="auto"/>
            <w:hideMark/>
          </w:tcPr>
          <w:p w14:paraId="21430C8D" w14:textId="77777777" w:rsidR="00000000" w:rsidRDefault="009027A3">
            <w:pPr>
              <w:rPr>
                <w:rFonts w:eastAsia="Times New Roman"/>
                <w:sz w:val="20"/>
                <w:szCs w:val="20"/>
              </w:rPr>
            </w:pPr>
            <w:r>
              <w:rPr>
                <w:rFonts w:eastAsia="Times New Roman"/>
                <w:sz w:val="20"/>
                <w:szCs w:val="20"/>
              </w:rPr>
              <w:t> </w:t>
            </w:r>
          </w:p>
        </w:tc>
        <w:tc>
          <w:tcPr>
            <w:tcW w:w="0" w:type="auto"/>
            <w:hideMark/>
          </w:tcPr>
          <w:p w14:paraId="244546F4" w14:textId="77777777" w:rsidR="00000000" w:rsidRDefault="009027A3">
            <w:pPr>
              <w:jc w:val="both"/>
              <w:rPr>
                <w:rFonts w:eastAsia="Times New Roman"/>
                <w:sz w:val="20"/>
                <w:szCs w:val="20"/>
              </w:rPr>
            </w:pPr>
            <w:r>
              <w:rPr>
                <w:rFonts w:eastAsia="Times New Roman"/>
                <w:sz w:val="20"/>
                <w:szCs w:val="20"/>
              </w:rPr>
              <w:t>XBRL Taxonomy Extension Calculation Linkbase</w:t>
            </w:r>
          </w:p>
        </w:tc>
      </w:tr>
      <w:tr w:rsidR="00000000" w14:paraId="4C7B1DEF" w14:textId="77777777">
        <w:tc>
          <w:tcPr>
            <w:tcW w:w="0" w:type="auto"/>
            <w:hideMark/>
          </w:tcPr>
          <w:p w14:paraId="2959C9F2" w14:textId="77777777" w:rsidR="00000000" w:rsidRDefault="009027A3">
            <w:pPr>
              <w:rPr>
                <w:rFonts w:eastAsia="Times New Roman"/>
                <w:sz w:val="20"/>
                <w:szCs w:val="20"/>
              </w:rPr>
            </w:pPr>
            <w:r>
              <w:rPr>
                <w:rFonts w:eastAsia="Times New Roman"/>
                <w:sz w:val="20"/>
                <w:szCs w:val="20"/>
              </w:rPr>
              <w:t>101.LAB</w:t>
            </w:r>
          </w:p>
        </w:tc>
        <w:tc>
          <w:tcPr>
            <w:tcW w:w="0" w:type="auto"/>
            <w:hideMark/>
          </w:tcPr>
          <w:p w14:paraId="74A51351" w14:textId="77777777" w:rsidR="00000000" w:rsidRDefault="009027A3">
            <w:pPr>
              <w:rPr>
                <w:rFonts w:eastAsia="Times New Roman"/>
                <w:sz w:val="20"/>
                <w:szCs w:val="20"/>
              </w:rPr>
            </w:pPr>
            <w:r>
              <w:rPr>
                <w:rFonts w:eastAsia="Times New Roman"/>
                <w:sz w:val="20"/>
                <w:szCs w:val="20"/>
              </w:rPr>
              <w:t> </w:t>
            </w:r>
          </w:p>
        </w:tc>
        <w:tc>
          <w:tcPr>
            <w:tcW w:w="0" w:type="auto"/>
            <w:hideMark/>
          </w:tcPr>
          <w:p w14:paraId="7BE2F26C" w14:textId="77777777" w:rsidR="00000000" w:rsidRDefault="009027A3">
            <w:pPr>
              <w:jc w:val="both"/>
              <w:rPr>
                <w:rFonts w:eastAsia="Times New Roman"/>
                <w:sz w:val="20"/>
                <w:szCs w:val="20"/>
              </w:rPr>
            </w:pPr>
            <w:r>
              <w:rPr>
                <w:rFonts w:eastAsia="Times New Roman"/>
                <w:sz w:val="20"/>
                <w:szCs w:val="20"/>
              </w:rPr>
              <w:t>XBRL Taxonomy Extension Label Linkbase</w:t>
            </w:r>
          </w:p>
        </w:tc>
      </w:tr>
      <w:tr w:rsidR="00000000" w14:paraId="0F0EED7B" w14:textId="77777777">
        <w:tc>
          <w:tcPr>
            <w:tcW w:w="0" w:type="auto"/>
            <w:hideMark/>
          </w:tcPr>
          <w:p w14:paraId="2A3827AD" w14:textId="77777777" w:rsidR="00000000" w:rsidRDefault="009027A3">
            <w:pPr>
              <w:rPr>
                <w:rFonts w:eastAsia="Times New Roman"/>
                <w:sz w:val="20"/>
                <w:szCs w:val="20"/>
              </w:rPr>
            </w:pPr>
            <w:r>
              <w:rPr>
                <w:rFonts w:eastAsia="Times New Roman"/>
                <w:sz w:val="20"/>
                <w:szCs w:val="20"/>
              </w:rPr>
              <w:t>101.PRE</w:t>
            </w:r>
          </w:p>
        </w:tc>
        <w:tc>
          <w:tcPr>
            <w:tcW w:w="0" w:type="auto"/>
            <w:hideMark/>
          </w:tcPr>
          <w:p w14:paraId="4756E71F" w14:textId="77777777" w:rsidR="00000000" w:rsidRDefault="009027A3">
            <w:pPr>
              <w:rPr>
                <w:rFonts w:eastAsia="Times New Roman"/>
                <w:sz w:val="20"/>
                <w:szCs w:val="20"/>
              </w:rPr>
            </w:pPr>
            <w:r>
              <w:rPr>
                <w:rFonts w:eastAsia="Times New Roman"/>
                <w:sz w:val="20"/>
                <w:szCs w:val="20"/>
              </w:rPr>
              <w:t> </w:t>
            </w:r>
          </w:p>
        </w:tc>
        <w:tc>
          <w:tcPr>
            <w:tcW w:w="0" w:type="auto"/>
            <w:hideMark/>
          </w:tcPr>
          <w:p w14:paraId="6BED70D8" w14:textId="77777777" w:rsidR="00000000" w:rsidRDefault="009027A3">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r w:rsidR="00000000" w14:paraId="4DB1CCA7" w14:textId="77777777">
        <w:tc>
          <w:tcPr>
            <w:tcW w:w="0" w:type="auto"/>
            <w:hideMark/>
          </w:tcPr>
          <w:p w14:paraId="4AB94772" w14:textId="77777777" w:rsidR="00000000" w:rsidRDefault="009027A3">
            <w:pPr>
              <w:rPr>
                <w:rFonts w:eastAsia="Times New Roman"/>
                <w:sz w:val="20"/>
                <w:szCs w:val="20"/>
              </w:rPr>
            </w:pPr>
            <w:r>
              <w:rPr>
                <w:rFonts w:eastAsia="Times New Roman"/>
                <w:sz w:val="20"/>
                <w:szCs w:val="20"/>
              </w:rPr>
              <w:t>101.DEF</w:t>
            </w:r>
          </w:p>
        </w:tc>
        <w:tc>
          <w:tcPr>
            <w:tcW w:w="0" w:type="auto"/>
            <w:hideMark/>
          </w:tcPr>
          <w:p w14:paraId="40F6D05B" w14:textId="77777777" w:rsidR="00000000" w:rsidRDefault="009027A3">
            <w:pPr>
              <w:rPr>
                <w:rFonts w:eastAsia="Times New Roman"/>
                <w:sz w:val="20"/>
                <w:szCs w:val="20"/>
              </w:rPr>
            </w:pPr>
            <w:r>
              <w:rPr>
                <w:rFonts w:eastAsia="Times New Roman"/>
                <w:sz w:val="20"/>
                <w:szCs w:val="20"/>
              </w:rPr>
              <w:t> </w:t>
            </w:r>
          </w:p>
        </w:tc>
        <w:tc>
          <w:tcPr>
            <w:tcW w:w="0" w:type="auto"/>
            <w:hideMark/>
          </w:tcPr>
          <w:p w14:paraId="57A41B22" w14:textId="77777777" w:rsidR="00000000" w:rsidRDefault="009027A3">
            <w:pPr>
              <w:jc w:val="both"/>
              <w:rPr>
                <w:rFonts w:eastAsia="Times New Roman"/>
                <w:sz w:val="20"/>
                <w:szCs w:val="20"/>
              </w:rPr>
            </w:pPr>
            <w:r>
              <w:rPr>
                <w:rFonts w:eastAsia="Times New Roman"/>
                <w:sz w:val="20"/>
                <w:szCs w:val="20"/>
              </w:rPr>
              <w:t>XBRL Taxonomy Extension Definition Linkbase</w:t>
            </w:r>
          </w:p>
        </w:tc>
      </w:tr>
    </w:tbl>
    <w:p w14:paraId="390512B0" w14:textId="77777777" w:rsidR="00000000" w:rsidRDefault="009027A3">
      <w:pPr>
        <w:pStyle w:val="a3"/>
        <w:spacing w:before="0" w:beforeAutospacing="0" w:after="0" w:afterAutospacing="0"/>
        <w:rPr>
          <w:sz w:val="20"/>
          <w:szCs w:val="20"/>
        </w:rPr>
      </w:pPr>
      <w:r>
        <w:rPr>
          <w:b/>
          <w:bCs/>
          <w:sz w:val="20"/>
          <w:szCs w:val="20"/>
        </w:rPr>
        <w:t> </w:t>
      </w:r>
    </w:p>
    <w:p w14:paraId="12AAB29F" w14:textId="77777777" w:rsidR="00000000" w:rsidRDefault="009027A3">
      <w:pPr>
        <w:pStyle w:val="a3"/>
        <w:spacing w:before="0" w:beforeAutospacing="0" w:after="0" w:afterAutospacing="0"/>
        <w:jc w:val="both"/>
        <w:rPr>
          <w:sz w:val="20"/>
          <w:szCs w:val="20"/>
        </w:rPr>
      </w:pPr>
      <w:r>
        <w:rPr>
          <w:sz w:val="20"/>
          <w:szCs w:val="20"/>
        </w:rPr>
        <w:t>*The certifications on Exhibit 32 hereto are not deemed “filed” for purposes of Section 18 of the Securities and Exchange Act of 1934, as amended, or otherwi</w:t>
      </w:r>
      <w:r>
        <w:rPr>
          <w:sz w:val="20"/>
          <w:szCs w:val="20"/>
        </w:rPr>
        <w:t>se subject to the liability of that Section. Such certifications will not be deemed incorporated by reference into any filing under the Securities Act or the Exchange Act.</w:t>
      </w:r>
    </w:p>
    <w:p w14:paraId="39933895" w14:textId="77777777" w:rsidR="00000000" w:rsidRDefault="009027A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A37C80D" w14:textId="77777777">
        <w:trPr>
          <w:divId w:val="328870360"/>
        </w:trPr>
        <w:tc>
          <w:tcPr>
            <w:tcW w:w="5000" w:type="pct"/>
            <w:hideMark/>
          </w:tcPr>
          <w:p w14:paraId="5FEE7628" w14:textId="77777777" w:rsidR="00000000" w:rsidRDefault="009027A3">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62017EA9" w14:textId="77777777">
        <w:tc>
          <w:tcPr>
            <w:tcW w:w="5000" w:type="pct"/>
            <w:hideMark/>
          </w:tcPr>
          <w:p w14:paraId="29028DAA" w14:textId="77777777" w:rsidR="00000000" w:rsidRDefault="009027A3">
            <w:pPr>
              <w:rPr>
                <w:rFonts w:eastAsia="Times New Roman"/>
                <w:sz w:val="20"/>
                <w:szCs w:val="20"/>
              </w:rPr>
            </w:pPr>
            <w:r>
              <w:rPr>
                <w:rFonts w:eastAsia="Times New Roman"/>
                <w:sz w:val="20"/>
                <w:szCs w:val="20"/>
              </w:rPr>
              <w:t> </w:t>
            </w:r>
          </w:p>
        </w:tc>
      </w:tr>
    </w:tbl>
    <w:p w14:paraId="6E64F34E" w14:textId="77777777" w:rsidR="00000000" w:rsidRDefault="009027A3">
      <w:pPr>
        <w:pStyle w:val="a3"/>
        <w:spacing w:before="0" w:beforeAutospacing="0" w:after="0" w:afterAutospacing="0"/>
        <w:jc w:val="center"/>
        <w:rPr>
          <w:sz w:val="20"/>
          <w:szCs w:val="20"/>
        </w:rPr>
      </w:pPr>
      <w:r>
        <w:rPr>
          <w:b/>
          <w:bCs/>
          <w:sz w:val="20"/>
          <w:szCs w:val="20"/>
        </w:rPr>
        <w:t> </w:t>
      </w:r>
    </w:p>
    <w:p w14:paraId="31D6F657" w14:textId="77777777" w:rsidR="00000000" w:rsidRDefault="009027A3">
      <w:pPr>
        <w:pStyle w:val="a3"/>
        <w:spacing w:before="0" w:beforeAutospacing="0" w:after="0" w:afterAutospacing="0"/>
        <w:jc w:val="center"/>
        <w:rPr>
          <w:b/>
          <w:bCs/>
          <w:sz w:val="20"/>
          <w:szCs w:val="20"/>
        </w:rPr>
      </w:pPr>
      <w:bookmarkStart w:id="19" w:name="c_012"/>
      <w:bookmarkEnd w:id="19"/>
      <w:r>
        <w:rPr>
          <w:b/>
          <w:bCs/>
          <w:sz w:val="20"/>
          <w:szCs w:val="20"/>
        </w:rPr>
        <w:t>Signatures</w:t>
      </w:r>
    </w:p>
    <w:p w14:paraId="1EB53CF3" w14:textId="77777777" w:rsidR="00000000" w:rsidRDefault="009027A3">
      <w:pPr>
        <w:pStyle w:val="a3"/>
        <w:spacing w:before="0" w:beforeAutospacing="0" w:after="0" w:afterAutospacing="0"/>
        <w:jc w:val="center"/>
        <w:rPr>
          <w:sz w:val="20"/>
          <w:szCs w:val="20"/>
        </w:rPr>
      </w:pPr>
      <w:r>
        <w:rPr>
          <w:sz w:val="20"/>
          <w:szCs w:val="20"/>
        </w:rPr>
        <w:t> </w:t>
      </w:r>
    </w:p>
    <w:p w14:paraId="29F00BD9" w14:textId="77777777" w:rsidR="00000000" w:rsidRDefault="009027A3">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14:paraId="790347F0" w14:textId="77777777" w:rsidR="00000000" w:rsidRDefault="009027A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5CBD9528" w14:textId="77777777">
        <w:tc>
          <w:tcPr>
            <w:tcW w:w="0" w:type="auto"/>
            <w:hideMark/>
          </w:tcPr>
          <w:p w14:paraId="0DEBC6AA" w14:textId="77777777" w:rsidR="00000000" w:rsidRDefault="009027A3">
            <w:pPr>
              <w:rPr>
                <w:rFonts w:eastAsia="Times New Roman"/>
                <w:sz w:val="20"/>
                <w:szCs w:val="20"/>
              </w:rPr>
            </w:pPr>
            <w:r>
              <w:rPr>
                <w:rFonts w:eastAsia="Times New Roman"/>
                <w:sz w:val="20"/>
                <w:szCs w:val="20"/>
              </w:rPr>
              <w:t> </w:t>
            </w:r>
          </w:p>
        </w:tc>
        <w:tc>
          <w:tcPr>
            <w:tcW w:w="0" w:type="auto"/>
            <w:gridSpan w:val="2"/>
            <w:hideMark/>
          </w:tcPr>
          <w:p w14:paraId="293120A1" w14:textId="77777777" w:rsidR="00000000" w:rsidRDefault="009027A3">
            <w:pPr>
              <w:rPr>
                <w:rFonts w:eastAsia="Times New Roman"/>
                <w:sz w:val="20"/>
                <w:szCs w:val="20"/>
              </w:rPr>
            </w:pPr>
            <w:r>
              <w:rPr>
                <w:rFonts w:eastAsia="Times New Roman"/>
                <w:b/>
                <w:bCs/>
                <w:sz w:val="20"/>
                <w:szCs w:val="20"/>
              </w:rPr>
              <w:t>CareCloud, Inc.</w:t>
            </w:r>
          </w:p>
        </w:tc>
      </w:tr>
      <w:tr w:rsidR="00000000" w14:paraId="2B5D0CD1" w14:textId="77777777">
        <w:tc>
          <w:tcPr>
            <w:tcW w:w="2500" w:type="pct"/>
            <w:hideMark/>
          </w:tcPr>
          <w:p w14:paraId="7010031C" w14:textId="77777777" w:rsidR="00000000" w:rsidRDefault="009027A3">
            <w:pPr>
              <w:rPr>
                <w:rFonts w:eastAsia="Times New Roman"/>
                <w:sz w:val="20"/>
                <w:szCs w:val="20"/>
              </w:rPr>
            </w:pPr>
            <w:r>
              <w:rPr>
                <w:rFonts w:eastAsia="Times New Roman"/>
                <w:sz w:val="20"/>
                <w:szCs w:val="20"/>
              </w:rPr>
              <w:t> </w:t>
            </w:r>
          </w:p>
        </w:tc>
        <w:tc>
          <w:tcPr>
            <w:tcW w:w="150" w:type="pct"/>
            <w:hideMark/>
          </w:tcPr>
          <w:p w14:paraId="3154325F" w14:textId="77777777" w:rsidR="00000000" w:rsidRDefault="009027A3">
            <w:pPr>
              <w:rPr>
                <w:rFonts w:eastAsia="Times New Roman"/>
                <w:sz w:val="20"/>
                <w:szCs w:val="20"/>
              </w:rPr>
            </w:pPr>
            <w:r>
              <w:rPr>
                <w:rFonts w:eastAsia="Times New Roman"/>
                <w:sz w:val="20"/>
                <w:szCs w:val="20"/>
              </w:rPr>
              <w:t> </w:t>
            </w:r>
          </w:p>
        </w:tc>
        <w:tc>
          <w:tcPr>
            <w:tcW w:w="2350" w:type="pct"/>
            <w:hideMark/>
          </w:tcPr>
          <w:p w14:paraId="061D4141" w14:textId="77777777" w:rsidR="00000000" w:rsidRDefault="009027A3">
            <w:pPr>
              <w:rPr>
                <w:rFonts w:eastAsia="Times New Roman"/>
                <w:sz w:val="20"/>
                <w:szCs w:val="20"/>
              </w:rPr>
            </w:pPr>
            <w:r>
              <w:rPr>
                <w:rFonts w:eastAsia="Times New Roman"/>
                <w:sz w:val="20"/>
                <w:szCs w:val="20"/>
              </w:rPr>
              <w:t> </w:t>
            </w:r>
          </w:p>
        </w:tc>
      </w:tr>
      <w:tr w:rsidR="00000000" w14:paraId="7DA9C333" w14:textId="77777777">
        <w:tc>
          <w:tcPr>
            <w:tcW w:w="0" w:type="auto"/>
            <w:tcMar>
              <w:top w:w="0" w:type="dxa"/>
              <w:left w:w="0" w:type="dxa"/>
              <w:bottom w:w="30" w:type="dxa"/>
              <w:right w:w="0" w:type="dxa"/>
            </w:tcMar>
            <w:hideMark/>
          </w:tcPr>
          <w:p w14:paraId="2BC17C3A"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8C78FCB" w14:textId="77777777" w:rsidR="00000000" w:rsidRDefault="009027A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AE4269A" w14:textId="77777777" w:rsidR="00000000" w:rsidRDefault="009027A3">
            <w:pPr>
              <w:rPr>
                <w:rFonts w:eastAsia="Times New Roman"/>
                <w:sz w:val="20"/>
                <w:szCs w:val="20"/>
              </w:rPr>
            </w:pPr>
            <w:r>
              <w:rPr>
                <w:rFonts w:eastAsia="Times New Roman"/>
                <w:i/>
                <w:iCs/>
                <w:sz w:val="20"/>
                <w:szCs w:val="20"/>
              </w:rPr>
              <w:t>/s/ A. Hadi Chaudhry</w:t>
            </w:r>
          </w:p>
        </w:tc>
      </w:tr>
      <w:tr w:rsidR="00000000" w14:paraId="3691102A" w14:textId="77777777">
        <w:tc>
          <w:tcPr>
            <w:tcW w:w="0" w:type="auto"/>
            <w:hideMark/>
          </w:tcPr>
          <w:p w14:paraId="74B272E3" w14:textId="77777777" w:rsidR="00000000" w:rsidRDefault="009027A3">
            <w:pPr>
              <w:rPr>
                <w:rFonts w:eastAsia="Times New Roman"/>
                <w:sz w:val="20"/>
                <w:szCs w:val="20"/>
              </w:rPr>
            </w:pPr>
            <w:r>
              <w:rPr>
                <w:rFonts w:eastAsia="Times New Roman"/>
                <w:sz w:val="20"/>
                <w:szCs w:val="20"/>
              </w:rPr>
              <w:t> </w:t>
            </w:r>
          </w:p>
        </w:tc>
        <w:tc>
          <w:tcPr>
            <w:tcW w:w="0" w:type="auto"/>
            <w:hideMark/>
          </w:tcPr>
          <w:p w14:paraId="7CEE55F0" w14:textId="77777777" w:rsidR="00000000" w:rsidRDefault="009027A3">
            <w:pPr>
              <w:rPr>
                <w:rFonts w:eastAsia="Times New Roman"/>
                <w:sz w:val="20"/>
                <w:szCs w:val="20"/>
              </w:rPr>
            </w:pPr>
            <w:r>
              <w:rPr>
                <w:rFonts w:eastAsia="Times New Roman"/>
                <w:sz w:val="20"/>
                <w:szCs w:val="20"/>
              </w:rPr>
              <w:t> </w:t>
            </w:r>
          </w:p>
        </w:tc>
        <w:tc>
          <w:tcPr>
            <w:tcW w:w="0" w:type="auto"/>
            <w:hideMark/>
          </w:tcPr>
          <w:p w14:paraId="5E63D28B" w14:textId="77777777" w:rsidR="00000000" w:rsidRDefault="009027A3">
            <w:pPr>
              <w:rPr>
                <w:rFonts w:eastAsia="Times New Roman"/>
                <w:sz w:val="20"/>
                <w:szCs w:val="20"/>
              </w:rPr>
            </w:pPr>
            <w:r>
              <w:rPr>
                <w:rFonts w:eastAsia="Times New Roman"/>
                <w:sz w:val="20"/>
                <w:szCs w:val="20"/>
              </w:rPr>
              <w:t xml:space="preserve">A. </w:t>
            </w:r>
            <w:r>
              <w:rPr>
                <w:rFonts w:eastAsia="Times New Roman"/>
                <w:sz w:val="20"/>
                <w:szCs w:val="20"/>
              </w:rPr>
              <w:t>Hadi Chaudhry</w:t>
            </w:r>
          </w:p>
        </w:tc>
      </w:tr>
      <w:tr w:rsidR="00000000" w14:paraId="02280E20" w14:textId="77777777">
        <w:tc>
          <w:tcPr>
            <w:tcW w:w="0" w:type="auto"/>
            <w:hideMark/>
          </w:tcPr>
          <w:p w14:paraId="7625E3C9" w14:textId="77777777" w:rsidR="00000000" w:rsidRDefault="009027A3">
            <w:pPr>
              <w:rPr>
                <w:rFonts w:eastAsia="Times New Roman"/>
                <w:sz w:val="20"/>
                <w:szCs w:val="20"/>
              </w:rPr>
            </w:pPr>
            <w:r>
              <w:rPr>
                <w:rFonts w:eastAsia="Times New Roman"/>
                <w:sz w:val="20"/>
                <w:szCs w:val="20"/>
              </w:rPr>
              <w:t> </w:t>
            </w:r>
          </w:p>
        </w:tc>
        <w:tc>
          <w:tcPr>
            <w:tcW w:w="0" w:type="auto"/>
            <w:hideMark/>
          </w:tcPr>
          <w:p w14:paraId="26A08FA1" w14:textId="77777777" w:rsidR="00000000" w:rsidRDefault="009027A3">
            <w:pPr>
              <w:rPr>
                <w:rFonts w:eastAsia="Times New Roman"/>
                <w:sz w:val="20"/>
                <w:szCs w:val="20"/>
              </w:rPr>
            </w:pPr>
            <w:r>
              <w:rPr>
                <w:rFonts w:eastAsia="Times New Roman"/>
                <w:sz w:val="20"/>
                <w:szCs w:val="20"/>
              </w:rPr>
              <w:t> </w:t>
            </w:r>
          </w:p>
        </w:tc>
        <w:tc>
          <w:tcPr>
            <w:tcW w:w="0" w:type="auto"/>
            <w:hideMark/>
          </w:tcPr>
          <w:p w14:paraId="78B2E5D5" w14:textId="77777777" w:rsidR="00000000" w:rsidRDefault="009027A3">
            <w:pPr>
              <w:rPr>
                <w:rFonts w:eastAsia="Times New Roman"/>
                <w:sz w:val="20"/>
                <w:szCs w:val="20"/>
              </w:rPr>
            </w:pPr>
            <w:r>
              <w:rPr>
                <w:rFonts w:eastAsia="Times New Roman"/>
                <w:sz w:val="20"/>
                <w:szCs w:val="20"/>
              </w:rPr>
              <w:t>Chief Executive Officer</w:t>
            </w:r>
          </w:p>
        </w:tc>
      </w:tr>
      <w:tr w:rsidR="00000000" w14:paraId="667C51D4" w14:textId="77777777">
        <w:tc>
          <w:tcPr>
            <w:tcW w:w="0" w:type="auto"/>
            <w:hideMark/>
          </w:tcPr>
          <w:p w14:paraId="55B28AE9" w14:textId="77777777" w:rsidR="00000000" w:rsidRDefault="009027A3">
            <w:pPr>
              <w:rPr>
                <w:rFonts w:eastAsia="Times New Roman"/>
                <w:sz w:val="20"/>
                <w:szCs w:val="20"/>
              </w:rPr>
            </w:pPr>
            <w:r>
              <w:rPr>
                <w:rFonts w:eastAsia="Times New Roman"/>
                <w:sz w:val="20"/>
                <w:szCs w:val="20"/>
              </w:rPr>
              <w:t> </w:t>
            </w:r>
          </w:p>
        </w:tc>
        <w:tc>
          <w:tcPr>
            <w:tcW w:w="0" w:type="auto"/>
            <w:hideMark/>
          </w:tcPr>
          <w:p w14:paraId="3D87E9B5" w14:textId="77777777" w:rsidR="00000000" w:rsidRDefault="009027A3">
            <w:pPr>
              <w:rPr>
                <w:rFonts w:eastAsia="Times New Roman"/>
                <w:sz w:val="20"/>
                <w:szCs w:val="20"/>
              </w:rPr>
            </w:pPr>
          </w:p>
        </w:tc>
        <w:tc>
          <w:tcPr>
            <w:tcW w:w="0" w:type="auto"/>
            <w:hideMark/>
          </w:tcPr>
          <w:p w14:paraId="221DA62A" w14:textId="77777777" w:rsidR="00000000" w:rsidRDefault="009027A3">
            <w:pPr>
              <w:rPr>
                <w:rFonts w:eastAsia="Times New Roman"/>
                <w:sz w:val="20"/>
                <w:szCs w:val="20"/>
              </w:rPr>
            </w:pPr>
            <w:r>
              <w:rPr>
                <w:rFonts w:eastAsia="Times New Roman"/>
                <w:sz w:val="20"/>
                <w:szCs w:val="20"/>
              </w:rPr>
              <w:t>Date: May 6, 2021</w:t>
            </w:r>
          </w:p>
        </w:tc>
      </w:tr>
      <w:tr w:rsidR="00000000" w14:paraId="26E7CD47" w14:textId="77777777">
        <w:tc>
          <w:tcPr>
            <w:tcW w:w="0" w:type="auto"/>
            <w:hideMark/>
          </w:tcPr>
          <w:p w14:paraId="4A5C112D" w14:textId="77777777" w:rsidR="00000000" w:rsidRDefault="009027A3">
            <w:pPr>
              <w:rPr>
                <w:rFonts w:eastAsia="Times New Roman"/>
                <w:sz w:val="20"/>
                <w:szCs w:val="20"/>
              </w:rPr>
            </w:pPr>
            <w:r>
              <w:rPr>
                <w:rFonts w:eastAsia="Times New Roman"/>
                <w:sz w:val="20"/>
                <w:szCs w:val="20"/>
              </w:rPr>
              <w:t> </w:t>
            </w:r>
          </w:p>
        </w:tc>
        <w:tc>
          <w:tcPr>
            <w:tcW w:w="0" w:type="auto"/>
            <w:hideMark/>
          </w:tcPr>
          <w:p w14:paraId="490BB90C" w14:textId="77777777" w:rsidR="00000000" w:rsidRDefault="009027A3">
            <w:pPr>
              <w:rPr>
                <w:rFonts w:eastAsia="Times New Roman"/>
                <w:sz w:val="20"/>
                <w:szCs w:val="20"/>
              </w:rPr>
            </w:pPr>
            <w:r>
              <w:rPr>
                <w:rFonts w:eastAsia="Times New Roman"/>
                <w:sz w:val="20"/>
                <w:szCs w:val="20"/>
              </w:rPr>
              <w:t> </w:t>
            </w:r>
          </w:p>
        </w:tc>
        <w:tc>
          <w:tcPr>
            <w:tcW w:w="0" w:type="auto"/>
            <w:hideMark/>
          </w:tcPr>
          <w:p w14:paraId="61C6E90F" w14:textId="77777777" w:rsidR="00000000" w:rsidRDefault="009027A3">
            <w:pPr>
              <w:rPr>
                <w:rFonts w:eastAsia="Times New Roman"/>
                <w:sz w:val="20"/>
                <w:szCs w:val="20"/>
              </w:rPr>
            </w:pPr>
            <w:r>
              <w:rPr>
                <w:rFonts w:eastAsia="Times New Roman"/>
                <w:sz w:val="20"/>
                <w:szCs w:val="20"/>
              </w:rPr>
              <w:t> </w:t>
            </w:r>
          </w:p>
        </w:tc>
      </w:tr>
      <w:tr w:rsidR="00000000" w14:paraId="2CFEB0EA" w14:textId="77777777">
        <w:tc>
          <w:tcPr>
            <w:tcW w:w="0" w:type="auto"/>
            <w:tcMar>
              <w:top w:w="0" w:type="dxa"/>
              <w:left w:w="0" w:type="dxa"/>
              <w:bottom w:w="30" w:type="dxa"/>
              <w:right w:w="0" w:type="dxa"/>
            </w:tcMar>
            <w:hideMark/>
          </w:tcPr>
          <w:p w14:paraId="25BAD4B1" w14:textId="77777777" w:rsidR="00000000" w:rsidRDefault="009027A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B7E511D" w14:textId="77777777" w:rsidR="00000000" w:rsidRDefault="009027A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07FA6B9A" w14:textId="77777777" w:rsidR="00000000" w:rsidRDefault="009027A3">
            <w:pPr>
              <w:rPr>
                <w:rFonts w:eastAsia="Times New Roman"/>
                <w:sz w:val="20"/>
                <w:szCs w:val="20"/>
              </w:rPr>
            </w:pPr>
            <w:r>
              <w:rPr>
                <w:rFonts w:eastAsia="Times New Roman"/>
                <w:i/>
                <w:iCs/>
                <w:sz w:val="20"/>
                <w:szCs w:val="20"/>
              </w:rPr>
              <w:t>/s/ Bill Korn</w:t>
            </w:r>
          </w:p>
        </w:tc>
      </w:tr>
      <w:tr w:rsidR="00000000" w14:paraId="14A56888" w14:textId="77777777">
        <w:tc>
          <w:tcPr>
            <w:tcW w:w="0" w:type="auto"/>
            <w:hideMark/>
          </w:tcPr>
          <w:p w14:paraId="41D5BCCD" w14:textId="77777777" w:rsidR="00000000" w:rsidRDefault="009027A3">
            <w:pPr>
              <w:rPr>
                <w:rFonts w:eastAsia="Times New Roman"/>
                <w:sz w:val="20"/>
                <w:szCs w:val="20"/>
              </w:rPr>
            </w:pPr>
            <w:r>
              <w:rPr>
                <w:rFonts w:eastAsia="Times New Roman"/>
                <w:sz w:val="20"/>
                <w:szCs w:val="20"/>
              </w:rPr>
              <w:t> </w:t>
            </w:r>
          </w:p>
        </w:tc>
        <w:tc>
          <w:tcPr>
            <w:tcW w:w="0" w:type="auto"/>
            <w:hideMark/>
          </w:tcPr>
          <w:p w14:paraId="3FB8DC5D" w14:textId="77777777" w:rsidR="00000000" w:rsidRDefault="009027A3">
            <w:pPr>
              <w:rPr>
                <w:rFonts w:eastAsia="Times New Roman"/>
                <w:sz w:val="20"/>
                <w:szCs w:val="20"/>
              </w:rPr>
            </w:pPr>
            <w:r>
              <w:rPr>
                <w:rFonts w:eastAsia="Times New Roman"/>
                <w:sz w:val="20"/>
                <w:szCs w:val="20"/>
              </w:rPr>
              <w:t> </w:t>
            </w:r>
          </w:p>
        </w:tc>
        <w:tc>
          <w:tcPr>
            <w:tcW w:w="0" w:type="auto"/>
            <w:hideMark/>
          </w:tcPr>
          <w:p w14:paraId="31EAB819" w14:textId="77777777" w:rsidR="00000000" w:rsidRDefault="009027A3">
            <w:pPr>
              <w:rPr>
                <w:rFonts w:eastAsia="Times New Roman"/>
                <w:sz w:val="20"/>
                <w:szCs w:val="20"/>
              </w:rPr>
            </w:pPr>
            <w:r>
              <w:rPr>
                <w:rFonts w:eastAsia="Times New Roman"/>
                <w:sz w:val="20"/>
                <w:szCs w:val="20"/>
              </w:rPr>
              <w:t>Bill Korn</w:t>
            </w:r>
          </w:p>
        </w:tc>
      </w:tr>
      <w:tr w:rsidR="00000000" w14:paraId="58F63A0A" w14:textId="77777777">
        <w:tc>
          <w:tcPr>
            <w:tcW w:w="0" w:type="auto"/>
            <w:hideMark/>
          </w:tcPr>
          <w:p w14:paraId="28A7EDE4" w14:textId="77777777" w:rsidR="00000000" w:rsidRDefault="009027A3">
            <w:pPr>
              <w:rPr>
                <w:rFonts w:eastAsia="Times New Roman"/>
                <w:sz w:val="20"/>
                <w:szCs w:val="20"/>
              </w:rPr>
            </w:pPr>
            <w:r>
              <w:rPr>
                <w:rFonts w:eastAsia="Times New Roman"/>
                <w:sz w:val="20"/>
                <w:szCs w:val="20"/>
              </w:rPr>
              <w:t> </w:t>
            </w:r>
          </w:p>
        </w:tc>
        <w:tc>
          <w:tcPr>
            <w:tcW w:w="0" w:type="auto"/>
            <w:hideMark/>
          </w:tcPr>
          <w:p w14:paraId="4D5E1E6A" w14:textId="77777777" w:rsidR="00000000" w:rsidRDefault="009027A3">
            <w:pPr>
              <w:rPr>
                <w:rFonts w:eastAsia="Times New Roman"/>
                <w:sz w:val="20"/>
                <w:szCs w:val="20"/>
              </w:rPr>
            </w:pPr>
            <w:r>
              <w:rPr>
                <w:rFonts w:eastAsia="Times New Roman"/>
                <w:sz w:val="20"/>
                <w:szCs w:val="20"/>
              </w:rPr>
              <w:t> </w:t>
            </w:r>
          </w:p>
        </w:tc>
        <w:tc>
          <w:tcPr>
            <w:tcW w:w="0" w:type="auto"/>
            <w:hideMark/>
          </w:tcPr>
          <w:p w14:paraId="2EC1B980" w14:textId="77777777" w:rsidR="00000000" w:rsidRDefault="009027A3">
            <w:pPr>
              <w:rPr>
                <w:rFonts w:eastAsia="Times New Roman"/>
                <w:sz w:val="20"/>
                <w:szCs w:val="20"/>
              </w:rPr>
            </w:pPr>
            <w:r>
              <w:rPr>
                <w:rFonts w:eastAsia="Times New Roman"/>
                <w:sz w:val="20"/>
                <w:szCs w:val="20"/>
              </w:rPr>
              <w:t>Chief Financial Officer</w:t>
            </w:r>
          </w:p>
        </w:tc>
      </w:tr>
      <w:tr w:rsidR="00000000" w14:paraId="2EC83F70" w14:textId="77777777">
        <w:tc>
          <w:tcPr>
            <w:tcW w:w="0" w:type="auto"/>
            <w:hideMark/>
          </w:tcPr>
          <w:p w14:paraId="791D89F7" w14:textId="77777777" w:rsidR="00000000" w:rsidRDefault="009027A3">
            <w:pPr>
              <w:rPr>
                <w:rFonts w:eastAsia="Times New Roman"/>
                <w:sz w:val="20"/>
                <w:szCs w:val="20"/>
              </w:rPr>
            </w:pPr>
            <w:r>
              <w:rPr>
                <w:rFonts w:eastAsia="Times New Roman"/>
                <w:sz w:val="20"/>
                <w:szCs w:val="20"/>
              </w:rPr>
              <w:t> </w:t>
            </w:r>
          </w:p>
        </w:tc>
        <w:tc>
          <w:tcPr>
            <w:tcW w:w="0" w:type="auto"/>
            <w:hideMark/>
          </w:tcPr>
          <w:p w14:paraId="7D42BDFD" w14:textId="77777777" w:rsidR="00000000" w:rsidRDefault="009027A3">
            <w:pPr>
              <w:rPr>
                <w:rFonts w:eastAsia="Times New Roman"/>
                <w:sz w:val="20"/>
                <w:szCs w:val="20"/>
              </w:rPr>
            </w:pPr>
          </w:p>
        </w:tc>
        <w:tc>
          <w:tcPr>
            <w:tcW w:w="0" w:type="auto"/>
            <w:hideMark/>
          </w:tcPr>
          <w:p w14:paraId="047F9D75" w14:textId="77777777" w:rsidR="00000000" w:rsidRDefault="009027A3">
            <w:pPr>
              <w:rPr>
                <w:rFonts w:eastAsia="Times New Roman"/>
                <w:sz w:val="20"/>
                <w:szCs w:val="20"/>
              </w:rPr>
            </w:pPr>
            <w:r>
              <w:rPr>
                <w:rFonts w:eastAsia="Times New Roman"/>
                <w:sz w:val="20"/>
                <w:szCs w:val="20"/>
              </w:rPr>
              <w:t>Date: May 6, 2021</w:t>
            </w:r>
          </w:p>
        </w:tc>
      </w:tr>
    </w:tbl>
    <w:p w14:paraId="53366C6D" w14:textId="77777777" w:rsidR="00000000" w:rsidRDefault="009027A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CC7D7F" w14:textId="77777777">
        <w:trPr>
          <w:divId w:val="1727290628"/>
        </w:trPr>
        <w:tc>
          <w:tcPr>
            <w:tcW w:w="5000" w:type="pct"/>
            <w:hideMark/>
          </w:tcPr>
          <w:p w14:paraId="69EA6909" w14:textId="77777777" w:rsidR="00000000" w:rsidRDefault="009027A3">
            <w:pPr>
              <w:jc w:val="center"/>
              <w:rPr>
                <w:rFonts w:eastAsia="Times New Roman"/>
                <w:sz w:val="20"/>
                <w:szCs w:val="20"/>
              </w:rPr>
            </w:pPr>
            <w:r>
              <w:rPr>
                <w:rFonts w:eastAsia="Times New Roman"/>
                <w:sz w:val="20"/>
                <w:szCs w:val="20"/>
              </w:rPr>
              <w:t>4</w:t>
            </w:r>
            <w:r>
              <w:rPr>
                <w:rFonts w:eastAsia="Times New Roman"/>
                <w:sz w:val="20"/>
                <w:szCs w:val="20"/>
              </w:rPr>
              <w:t>3</w:t>
            </w:r>
          </w:p>
        </w:tc>
      </w:tr>
    </w:tbl>
    <w:p w14:paraId="1FF75B50" w14:textId="77777777" w:rsidR="00000000" w:rsidRDefault="009027A3">
      <w:pPr>
        <w:pStyle w:val="a3"/>
        <w:spacing w:before="0" w:beforeAutospacing="0" w:after="0" w:afterAutospacing="0"/>
        <w:rPr>
          <w:sz w:val="20"/>
          <w:szCs w:val="20"/>
        </w:rPr>
      </w:pPr>
      <w:r>
        <w:rPr>
          <w:sz w:val="20"/>
          <w:szCs w:val="20"/>
        </w:rPr>
        <w:t> </w:t>
      </w:r>
    </w:p>
    <w:p w14:paraId="6F76CE4C" w14:textId="77777777" w:rsidR="009027A3" w:rsidRDefault="009027A3">
      <w:pPr>
        <w:pStyle w:val="a3"/>
        <w:spacing w:before="0" w:beforeAutospacing="0" w:after="0" w:afterAutospacing="0"/>
        <w:rPr>
          <w:sz w:val="20"/>
          <w:szCs w:val="20"/>
        </w:rPr>
      </w:pPr>
      <w:r>
        <w:rPr>
          <w:sz w:val="20"/>
          <w:szCs w:val="20"/>
        </w:rPr>
        <w:t> </w:t>
      </w:r>
    </w:p>
    <w:sectPr w:rsidR="009027A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27A3"/>
    <w:rsid w:val="0090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35A1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348">
      <w:marLeft w:val="0"/>
      <w:marRight w:val="0"/>
      <w:marTop w:val="0"/>
      <w:marBottom w:val="120"/>
      <w:divBdr>
        <w:top w:val="none" w:sz="0" w:space="0" w:color="auto"/>
        <w:left w:val="none" w:sz="0" w:space="0" w:color="auto"/>
        <w:bottom w:val="single" w:sz="12" w:space="0" w:color="000000"/>
        <w:right w:val="none" w:sz="0" w:space="0" w:color="auto"/>
      </w:divBdr>
    </w:div>
    <w:div w:id="41640355">
      <w:marLeft w:val="0"/>
      <w:marRight w:val="0"/>
      <w:marTop w:val="0"/>
      <w:marBottom w:val="120"/>
      <w:divBdr>
        <w:top w:val="none" w:sz="0" w:space="0" w:color="auto"/>
        <w:left w:val="none" w:sz="0" w:space="0" w:color="auto"/>
        <w:bottom w:val="single" w:sz="12" w:space="0" w:color="000000"/>
        <w:right w:val="none" w:sz="0" w:space="0" w:color="auto"/>
      </w:divBdr>
    </w:div>
    <w:div w:id="86196658">
      <w:marLeft w:val="0"/>
      <w:marRight w:val="0"/>
      <w:marTop w:val="0"/>
      <w:marBottom w:val="120"/>
      <w:divBdr>
        <w:top w:val="none" w:sz="0" w:space="0" w:color="auto"/>
        <w:left w:val="none" w:sz="0" w:space="0" w:color="auto"/>
        <w:bottom w:val="single" w:sz="12" w:space="0" w:color="000000"/>
        <w:right w:val="none" w:sz="0" w:space="0" w:color="auto"/>
      </w:divBdr>
    </w:div>
    <w:div w:id="122356130">
      <w:marLeft w:val="0"/>
      <w:marRight w:val="0"/>
      <w:marTop w:val="0"/>
      <w:marBottom w:val="120"/>
      <w:divBdr>
        <w:top w:val="none" w:sz="0" w:space="0" w:color="auto"/>
        <w:left w:val="none" w:sz="0" w:space="0" w:color="auto"/>
        <w:bottom w:val="single" w:sz="12" w:space="0" w:color="000000"/>
        <w:right w:val="none" w:sz="0" w:space="0" w:color="auto"/>
      </w:divBdr>
    </w:div>
    <w:div w:id="191262669">
      <w:marLeft w:val="0"/>
      <w:marRight w:val="0"/>
      <w:marTop w:val="0"/>
      <w:marBottom w:val="120"/>
      <w:divBdr>
        <w:top w:val="none" w:sz="0" w:space="0" w:color="auto"/>
        <w:left w:val="none" w:sz="0" w:space="0" w:color="auto"/>
        <w:bottom w:val="single" w:sz="12" w:space="0" w:color="000000"/>
        <w:right w:val="none" w:sz="0" w:space="0" w:color="auto"/>
      </w:divBdr>
    </w:div>
    <w:div w:id="200823453">
      <w:marLeft w:val="0"/>
      <w:marRight w:val="0"/>
      <w:marTop w:val="0"/>
      <w:marBottom w:val="120"/>
      <w:divBdr>
        <w:top w:val="none" w:sz="0" w:space="0" w:color="auto"/>
        <w:left w:val="none" w:sz="0" w:space="0" w:color="auto"/>
        <w:bottom w:val="single" w:sz="12" w:space="0" w:color="000000"/>
        <w:right w:val="none" w:sz="0" w:space="0" w:color="auto"/>
      </w:divBdr>
    </w:div>
    <w:div w:id="233515090">
      <w:marLeft w:val="0"/>
      <w:marRight w:val="0"/>
      <w:marTop w:val="0"/>
      <w:marBottom w:val="120"/>
      <w:divBdr>
        <w:top w:val="none" w:sz="0" w:space="0" w:color="auto"/>
        <w:left w:val="none" w:sz="0" w:space="0" w:color="auto"/>
        <w:bottom w:val="single" w:sz="12" w:space="0" w:color="000000"/>
        <w:right w:val="none" w:sz="0" w:space="0" w:color="auto"/>
      </w:divBdr>
    </w:div>
    <w:div w:id="261911485">
      <w:marLeft w:val="0"/>
      <w:marRight w:val="0"/>
      <w:marTop w:val="0"/>
      <w:marBottom w:val="120"/>
      <w:divBdr>
        <w:top w:val="none" w:sz="0" w:space="0" w:color="auto"/>
        <w:left w:val="none" w:sz="0" w:space="0" w:color="auto"/>
        <w:bottom w:val="single" w:sz="12" w:space="0" w:color="000000"/>
        <w:right w:val="none" w:sz="0" w:space="0" w:color="auto"/>
      </w:divBdr>
    </w:div>
    <w:div w:id="265583672">
      <w:marLeft w:val="0"/>
      <w:marRight w:val="0"/>
      <w:marTop w:val="0"/>
      <w:marBottom w:val="120"/>
      <w:divBdr>
        <w:top w:val="none" w:sz="0" w:space="0" w:color="auto"/>
        <w:left w:val="none" w:sz="0" w:space="0" w:color="auto"/>
        <w:bottom w:val="single" w:sz="12" w:space="0" w:color="000000"/>
        <w:right w:val="none" w:sz="0" w:space="0" w:color="auto"/>
      </w:divBdr>
    </w:div>
    <w:div w:id="313415551">
      <w:marLeft w:val="0"/>
      <w:marRight w:val="0"/>
      <w:marTop w:val="0"/>
      <w:marBottom w:val="120"/>
      <w:divBdr>
        <w:top w:val="none" w:sz="0" w:space="0" w:color="auto"/>
        <w:left w:val="none" w:sz="0" w:space="0" w:color="auto"/>
        <w:bottom w:val="single" w:sz="12" w:space="0" w:color="000000"/>
        <w:right w:val="none" w:sz="0" w:space="0" w:color="auto"/>
      </w:divBdr>
    </w:div>
    <w:div w:id="328870360">
      <w:marLeft w:val="0"/>
      <w:marRight w:val="0"/>
      <w:marTop w:val="0"/>
      <w:marBottom w:val="120"/>
      <w:divBdr>
        <w:top w:val="none" w:sz="0" w:space="0" w:color="auto"/>
        <w:left w:val="none" w:sz="0" w:space="0" w:color="auto"/>
        <w:bottom w:val="single" w:sz="12" w:space="0" w:color="000000"/>
        <w:right w:val="none" w:sz="0" w:space="0" w:color="auto"/>
      </w:divBdr>
    </w:div>
    <w:div w:id="438641310">
      <w:marLeft w:val="0"/>
      <w:marRight w:val="0"/>
      <w:marTop w:val="0"/>
      <w:marBottom w:val="120"/>
      <w:divBdr>
        <w:top w:val="none" w:sz="0" w:space="0" w:color="auto"/>
        <w:left w:val="none" w:sz="0" w:space="0" w:color="auto"/>
        <w:bottom w:val="single" w:sz="12" w:space="0" w:color="000000"/>
        <w:right w:val="none" w:sz="0" w:space="0" w:color="auto"/>
      </w:divBdr>
    </w:div>
    <w:div w:id="472842362">
      <w:marLeft w:val="0"/>
      <w:marRight w:val="0"/>
      <w:marTop w:val="0"/>
      <w:marBottom w:val="120"/>
      <w:divBdr>
        <w:top w:val="none" w:sz="0" w:space="0" w:color="auto"/>
        <w:left w:val="none" w:sz="0" w:space="0" w:color="auto"/>
        <w:bottom w:val="single" w:sz="12" w:space="0" w:color="000000"/>
        <w:right w:val="none" w:sz="0" w:space="0" w:color="auto"/>
      </w:divBdr>
    </w:div>
    <w:div w:id="489978068">
      <w:marLeft w:val="0"/>
      <w:marRight w:val="0"/>
      <w:marTop w:val="0"/>
      <w:marBottom w:val="120"/>
      <w:divBdr>
        <w:top w:val="none" w:sz="0" w:space="0" w:color="auto"/>
        <w:left w:val="none" w:sz="0" w:space="0" w:color="auto"/>
        <w:bottom w:val="single" w:sz="12" w:space="0" w:color="000000"/>
        <w:right w:val="none" w:sz="0" w:space="0" w:color="auto"/>
      </w:divBdr>
    </w:div>
    <w:div w:id="490414345">
      <w:marLeft w:val="0"/>
      <w:marRight w:val="0"/>
      <w:marTop w:val="0"/>
      <w:marBottom w:val="120"/>
      <w:divBdr>
        <w:top w:val="none" w:sz="0" w:space="0" w:color="auto"/>
        <w:left w:val="none" w:sz="0" w:space="0" w:color="auto"/>
        <w:bottom w:val="single" w:sz="12" w:space="0" w:color="000000"/>
        <w:right w:val="none" w:sz="0" w:space="0" w:color="auto"/>
      </w:divBdr>
    </w:div>
    <w:div w:id="519052668">
      <w:marLeft w:val="0"/>
      <w:marRight w:val="0"/>
      <w:marTop w:val="0"/>
      <w:marBottom w:val="120"/>
      <w:divBdr>
        <w:top w:val="none" w:sz="0" w:space="0" w:color="auto"/>
        <w:left w:val="none" w:sz="0" w:space="0" w:color="auto"/>
        <w:bottom w:val="single" w:sz="12" w:space="0" w:color="000000"/>
        <w:right w:val="none" w:sz="0" w:space="0" w:color="auto"/>
      </w:divBdr>
    </w:div>
    <w:div w:id="530873403">
      <w:marLeft w:val="0"/>
      <w:marRight w:val="0"/>
      <w:marTop w:val="0"/>
      <w:marBottom w:val="120"/>
      <w:divBdr>
        <w:top w:val="none" w:sz="0" w:space="0" w:color="auto"/>
        <w:left w:val="none" w:sz="0" w:space="0" w:color="auto"/>
        <w:bottom w:val="single" w:sz="12" w:space="0" w:color="000000"/>
        <w:right w:val="none" w:sz="0" w:space="0" w:color="auto"/>
      </w:divBdr>
    </w:div>
    <w:div w:id="574556820">
      <w:marLeft w:val="0"/>
      <w:marRight w:val="0"/>
      <w:marTop w:val="0"/>
      <w:marBottom w:val="120"/>
      <w:divBdr>
        <w:top w:val="none" w:sz="0" w:space="0" w:color="auto"/>
        <w:left w:val="none" w:sz="0" w:space="0" w:color="auto"/>
        <w:bottom w:val="single" w:sz="12" w:space="0" w:color="000000"/>
        <w:right w:val="none" w:sz="0" w:space="0" w:color="auto"/>
      </w:divBdr>
    </w:div>
    <w:div w:id="580287456">
      <w:marLeft w:val="0"/>
      <w:marRight w:val="0"/>
      <w:marTop w:val="0"/>
      <w:marBottom w:val="120"/>
      <w:divBdr>
        <w:top w:val="none" w:sz="0" w:space="0" w:color="auto"/>
        <w:left w:val="none" w:sz="0" w:space="0" w:color="auto"/>
        <w:bottom w:val="single" w:sz="12" w:space="0" w:color="000000"/>
        <w:right w:val="none" w:sz="0" w:space="0" w:color="auto"/>
      </w:divBdr>
    </w:div>
    <w:div w:id="622158486">
      <w:marLeft w:val="0"/>
      <w:marRight w:val="0"/>
      <w:marTop w:val="0"/>
      <w:marBottom w:val="120"/>
      <w:divBdr>
        <w:top w:val="none" w:sz="0" w:space="0" w:color="auto"/>
        <w:left w:val="none" w:sz="0" w:space="0" w:color="auto"/>
        <w:bottom w:val="single" w:sz="12" w:space="0" w:color="000000"/>
        <w:right w:val="none" w:sz="0" w:space="0" w:color="auto"/>
      </w:divBdr>
    </w:div>
    <w:div w:id="721321906">
      <w:marLeft w:val="0"/>
      <w:marRight w:val="0"/>
      <w:marTop w:val="0"/>
      <w:marBottom w:val="120"/>
      <w:divBdr>
        <w:top w:val="none" w:sz="0" w:space="0" w:color="auto"/>
        <w:left w:val="none" w:sz="0" w:space="0" w:color="auto"/>
        <w:bottom w:val="single" w:sz="12" w:space="0" w:color="000000"/>
        <w:right w:val="none" w:sz="0" w:space="0" w:color="auto"/>
      </w:divBdr>
    </w:div>
    <w:div w:id="747769797">
      <w:marLeft w:val="0"/>
      <w:marRight w:val="0"/>
      <w:marTop w:val="0"/>
      <w:marBottom w:val="120"/>
      <w:divBdr>
        <w:top w:val="none" w:sz="0" w:space="0" w:color="auto"/>
        <w:left w:val="none" w:sz="0" w:space="0" w:color="auto"/>
        <w:bottom w:val="single" w:sz="12" w:space="0" w:color="000000"/>
        <w:right w:val="none" w:sz="0" w:space="0" w:color="auto"/>
      </w:divBdr>
    </w:div>
    <w:div w:id="807164158">
      <w:marLeft w:val="0"/>
      <w:marRight w:val="0"/>
      <w:marTop w:val="0"/>
      <w:marBottom w:val="120"/>
      <w:divBdr>
        <w:top w:val="none" w:sz="0" w:space="0" w:color="auto"/>
        <w:left w:val="none" w:sz="0" w:space="0" w:color="auto"/>
        <w:bottom w:val="single" w:sz="12" w:space="0" w:color="000000"/>
        <w:right w:val="none" w:sz="0" w:space="0" w:color="auto"/>
      </w:divBdr>
    </w:div>
    <w:div w:id="871963366">
      <w:marLeft w:val="0"/>
      <w:marRight w:val="0"/>
      <w:marTop w:val="0"/>
      <w:marBottom w:val="120"/>
      <w:divBdr>
        <w:top w:val="none" w:sz="0" w:space="0" w:color="auto"/>
        <w:left w:val="none" w:sz="0" w:space="0" w:color="auto"/>
        <w:bottom w:val="single" w:sz="12" w:space="0" w:color="000000"/>
        <w:right w:val="none" w:sz="0" w:space="0" w:color="auto"/>
      </w:divBdr>
    </w:div>
    <w:div w:id="951017784">
      <w:marLeft w:val="0"/>
      <w:marRight w:val="0"/>
      <w:marTop w:val="0"/>
      <w:marBottom w:val="120"/>
      <w:divBdr>
        <w:top w:val="none" w:sz="0" w:space="0" w:color="auto"/>
        <w:left w:val="none" w:sz="0" w:space="0" w:color="auto"/>
        <w:bottom w:val="single" w:sz="12" w:space="0" w:color="000000"/>
        <w:right w:val="none" w:sz="0" w:space="0" w:color="auto"/>
      </w:divBdr>
    </w:div>
    <w:div w:id="952132248">
      <w:marLeft w:val="0"/>
      <w:marRight w:val="0"/>
      <w:marTop w:val="0"/>
      <w:marBottom w:val="120"/>
      <w:divBdr>
        <w:top w:val="none" w:sz="0" w:space="0" w:color="auto"/>
        <w:left w:val="none" w:sz="0" w:space="0" w:color="auto"/>
        <w:bottom w:val="single" w:sz="12" w:space="0" w:color="000000"/>
        <w:right w:val="none" w:sz="0" w:space="0" w:color="auto"/>
      </w:divBdr>
    </w:div>
    <w:div w:id="1122188723">
      <w:marLeft w:val="0"/>
      <w:marRight w:val="0"/>
      <w:marTop w:val="0"/>
      <w:marBottom w:val="120"/>
      <w:divBdr>
        <w:top w:val="none" w:sz="0" w:space="0" w:color="auto"/>
        <w:left w:val="none" w:sz="0" w:space="0" w:color="auto"/>
        <w:bottom w:val="single" w:sz="12" w:space="0" w:color="000000"/>
        <w:right w:val="none" w:sz="0" w:space="0" w:color="auto"/>
      </w:divBdr>
    </w:div>
    <w:div w:id="1158958285">
      <w:marLeft w:val="0"/>
      <w:marRight w:val="0"/>
      <w:marTop w:val="0"/>
      <w:marBottom w:val="120"/>
      <w:divBdr>
        <w:top w:val="none" w:sz="0" w:space="0" w:color="auto"/>
        <w:left w:val="none" w:sz="0" w:space="0" w:color="auto"/>
        <w:bottom w:val="single" w:sz="12" w:space="0" w:color="000000"/>
        <w:right w:val="none" w:sz="0" w:space="0" w:color="auto"/>
      </w:divBdr>
    </w:div>
    <w:div w:id="1187138658">
      <w:marLeft w:val="0"/>
      <w:marRight w:val="0"/>
      <w:marTop w:val="0"/>
      <w:marBottom w:val="120"/>
      <w:divBdr>
        <w:top w:val="none" w:sz="0" w:space="0" w:color="auto"/>
        <w:left w:val="none" w:sz="0" w:space="0" w:color="auto"/>
        <w:bottom w:val="single" w:sz="12" w:space="0" w:color="000000"/>
        <w:right w:val="none" w:sz="0" w:space="0" w:color="auto"/>
      </w:divBdr>
    </w:div>
    <w:div w:id="1300569907">
      <w:marLeft w:val="0"/>
      <w:marRight w:val="0"/>
      <w:marTop w:val="0"/>
      <w:marBottom w:val="120"/>
      <w:divBdr>
        <w:top w:val="none" w:sz="0" w:space="0" w:color="auto"/>
        <w:left w:val="none" w:sz="0" w:space="0" w:color="auto"/>
        <w:bottom w:val="single" w:sz="12" w:space="0" w:color="000000"/>
        <w:right w:val="none" w:sz="0" w:space="0" w:color="auto"/>
      </w:divBdr>
    </w:div>
    <w:div w:id="1360278509">
      <w:marLeft w:val="0"/>
      <w:marRight w:val="0"/>
      <w:marTop w:val="0"/>
      <w:marBottom w:val="120"/>
      <w:divBdr>
        <w:top w:val="none" w:sz="0" w:space="0" w:color="auto"/>
        <w:left w:val="none" w:sz="0" w:space="0" w:color="auto"/>
        <w:bottom w:val="single" w:sz="12" w:space="0" w:color="000000"/>
        <w:right w:val="none" w:sz="0" w:space="0" w:color="auto"/>
      </w:divBdr>
    </w:div>
    <w:div w:id="1370641020">
      <w:marLeft w:val="0"/>
      <w:marRight w:val="0"/>
      <w:marTop w:val="0"/>
      <w:marBottom w:val="0"/>
      <w:divBdr>
        <w:top w:val="none" w:sz="0" w:space="0" w:color="auto"/>
        <w:left w:val="none" w:sz="0" w:space="0" w:color="auto"/>
        <w:bottom w:val="none" w:sz="0" w:space="0" w:color="auto"/>
        <w:right w:val="none" w:sz="0" w:space="0" w:color="auto"/>
      </w:divBdr>
      <w:divsChild>
        <w:div w:id="281378310">
          <w:marLeft w:val="0"/>
          <w:marRight w:val="0"/>
          <w:marTop w:val="0"/>
          <w:marBottom w:val="0"/>
          <w:divBdr>
            <w:top w:val="single" w:sz="12" w:space="0" w:color="000000"/>
            <w:left w:val="none" w:sz="0" w:space="0" w:color="auto"/>
            <w:bottom w:val="single" w:sz="36" w:space="0" w:color="000000"/>
            <w:right w:val="none" w:sz="0" w:space="0" w:color="auto"/>
          </w:divBdr>
        </w:div>
      </w:divsChild>
    </w:div>
    <w:div w:id="1421683473">
      <w:marLeft w:val="0"/>
      <w:marRight w:val="0"/>
      <w:marTop w:val="0"/>
      <w:marBottom w:val="120"/>
      <w:divBdr>
        <w:top w:val="none" w:sz="0" w:space="0" w:color="auto"/>
        <w:left w:val="none" w:sz="0" w:space="0" w:color="auto"/>
        <w:bottom w:val="single" w:sz="12" w:space="0" w:color="000000"/>
        <w:right w:val="none" w:sz="0" w:space="0" w:color="auto"/>
      </w:divBdr>
    </w:div>
    <w:div w:id="1483615305">
      <w:marLeft w:val="0"/>
      <w:marRight w:val="0"/>
      <w:marTop w:val="0"/>
      <w:marBottom w:val="120"/>
      <w:divBdr>
        <w:top w:val="none" w:sz="0" w:space="0" w:color="auto"/>
        <w:left w:val="none" w:sz="0" w:space="0" w:color="auto"/>
        <w:bottom w:val="single" w:sz="12" w:space="0" w:color="000000"/>
        <w:right w:val="none" w:sz="0" w:space="0" w:color="auto"/>
      </w:divBdr>
    </w:div>
    <w:div w:id="1501040762">
      <w:marLeft w:val="0"/>
      <w:marRight w:val="0"/>
      <w:marTop w:val="0"/>
      <w:marBottom w:val="120"/>
      <w:divBdr>
        <w:top w:val="none" w:sz="0" w:space="0" w:color="auto"/>
        <w:left w:val="none" w:sz="0" w:space="0" w:color="auto"/>
        <w:bottom w:val="single" w:sz="12" w:space="0" w:color="000000"/>
        <w:right w:val="none" w:sz="0" w:space="0" w:color="auto"/>
      </w:divBdr>
    </w:div>
    <w:div w:id="1519003255">
      <w:marLeft w:val="0"/>
      <w:marRight w:val="0"/>
      <w:marTop w:val="0"/>
      <w:marBottom w:val="0"/>
      <w:divBdr>
        <w:top w:val="none" w:sz="0" w:space="0" w:color="auto"/>
        <w:left w:val="none" w:sz="0" w:space="0" w:color="auto"/>
        <w:bottom w:val="none" w:sz="0" w:space="0" w:color="auto"/>
        <w:right w:val="none" w:sz="0" w:space="0" w:color="auto"/>
      </w:divBdr>
      <w:divsChild>
        <w:div w:id="425613988">
          <w:marLeft w:val="0"/>
          <w:marRight w:val="0"/>
          <w:marTop w:val="0"/>
          <w:marBottom w:val="0"/>
          <w:divBdr>
            <w:top w:val="single" w:sz="36" w:space="0" w:color="000000"/>
            <w:left w:val="none" w:sz="0" w:space="0" w:color="auto"/>
            <w:bottom w:val="single" w:sz="12" w:space="0" w:color="000000"/>
            <w:right w:val="none" w:sz="0" w:space="0" w:color="auto"/>
          </w:divBdr>
        </w:div>
      </w:divsChild>
    </w:div>
    <w:div w:id="1522282393">
      <w:marLeft w:val="0"/>
      <w:marRight w:val="0"/>
      <w:marTop w:val="0"/>
      <w:marBottom w:val="120"/>
      <w:divBdr>
        <w:top w:val="none" w:sz="0" w:space="0" w:color="auto"/>
        <w:left w:val="none" w:sz="0" w:space="0" w:color="auto"/>
        <w:bottom w:val="single" w:sz="12" w:space="0" w:color="000000"/>
        <w:right w:val="none" w:sz="0" w:space="0" w:color="auto"/>
      </w:divBdr>
    </w:div>
    <w:div w:id="1566986822">
      <w:marLeft w:val="0"/>
      <w:marRight w:val="0"/>
      <w:marTop w:val="0"/>
      <w:marBottom w:val="120"/>
      <w:divBdr>
        <w:top w:val="none" w:sz="0" w:space="0" w:color="auto"/>
        <w:left w:val="none" w:sz="0" w:space="0" w:color="auto"/>
        <w:bottom w:val="single" w:sz="12" w:space="0" w:color="000000"/>
        <w:right w:val="none" w:sz="0" w:space="0" w:color="auto"/>
      </w:divBdr>
    </w:div>
    <w:div w:id="1608200136">
      <w:marLeft w:val="0"/>
      <w:marRight w:val="0"/>
      <w:marTop w:val="0"/>
      <w:marBottom w:val="120"/>
      <w:divBdr>
        <w:top w:val="none" w:sz="0" w:space="0" w:color="auto"/>
        <w:left w:val="none" w:sz="0" w:space="0" w:color="auto"/>
        <w:bottom w:val="single" w:sz="12" w:space="0" w:color="000000"/>
        <w:right w:val="none" w:sz="0" w:space="0" w:color="auto"/>
      </w:divBdr>
    </w:div>
    <w:div w:id="1638339036">
      <w:marLeft w:val="0"/>
      <w:marRight w:val="0"/>
      <w:marTop w:val="0"/>
      <w:marBottom w:val="120"/>
      <w:divBdr>
        <w:top w:val="none" w:sz="0" w:space="0" w:color="auto"/>
        <w:left w:val="none" w:sz="0" w:space="0" w:color="auto"/>
        <w:bottom w:val="single" w:sz="12" w:space="0" w:color="000000"/>
        <w:right w:val="none" w:sz="0" w:space="0" w:color="auto"/>
      </w:divBdr>
    </w:div>
    <w:div w:id="1707219169">
      <w:marLeft w:val="0"/>
      <w:marRight w:val="0"/>
      <w:marTop w:val="0"/>
      <w:marBottom w:val="120"/>
      <w:divBdr>
        <w:top w:val="none" w:sz="0" w:space="0" w:color="auto"/>
        <w:left w:val="none" w:sz="0" w:space="0" w:color="auto"/>
        <w:bottom w:val="single" w:sz="12" w:space="0" w:color="000000"/>
        <w:right w:val="none" w:sz="0" w:space="0" w:color="auto"/>
      </w:divBdr>
    </w:div>
    <w:div w:id="1727290628">
      <w:marLeft w:val="0"/>
      <w:marRight w:val="0"/>
      <w:marTop w:val="0"/>
      <w:marBottom w:val="120"/>
      <w:divBdr>
        <w:top w:val="none" w:sz="0" w:space="0" w:color="auto"/>
        <w:left w:val="none" w:sz="0" w:space="0" w:color="auto"/>
        <w:bottom w:val="single" w:sz="12" w:space="0" w:color="000000"/>
        <w:right w:val="none" w:sz="0" w:space="0" w:color="auto"/>
      </w:divBdr>
    </w:div>
    <w:div w:id="1831556410">
      <w:marLeft w:val="0"/>
      <w:marRight w:val="0"/>
      <w:marTop w:val="0"/>
      <w:marBottom w:val="120"/>
      <w:divBdr>
        <w:top w:val="none" w:sz="0" w:space="0" w:color="auto"/>
        <w:left w:val="none" w:sz="0" w:space="0" w:color="auto"/>
        <w:bottom w:val="single" w:sz="12" w:space="0" w:color="000000"/>
        <w:right w:val="none" w:sz="0" w:space="0" w:color="auto"/>
      </w:divBdr>
    </w:div>
    <w:div w:id="1889872062">
      <w:marLeft w:val="0"/>
      <w:marRight w:val="0"/>
      <w:marTop w:val="0"/>
      <w:marBottom w:val="120"/>
      <w:divBdr>
        <w:top w:val="none" w:sz="0" w:space="0" w:color="auto"/>
        <w:left w:val="none" w:sz="0" w:space="0" w:color="auto"/>
        <w:bottom w:val="single" w:sz="12" w:space="0" w:color="000000"/>
        <w:right w:val="none" w:sz="0" w:space="0" w:color="auto"/>
      </w:divBdr>
    </w:div>
    <w:div w:id="1939368584">
      <w:marLeft w:val="0"/>
      <w:marRight w:val="0"/>
      <w:marTop w:val="0"/>
      <w:marBottom w:val="120"/>
      <w:divBdr>
        <w:top w:val="none" w:sz="0" w:space="0" w:color="auto"/>
        <w:left w:val="none" w:sz="0" w:space="0" w:color="auto"/>
        <w:bottom w:val="single" w:sz="12" w:space="0" w:color="000000"/>
        <w:right w:val="none" w:sz="0" w:space="0" w:color="auto"/>
      </w:divBdr>
    </w:div>
    <w:div w:id="1950116325">
      <w:marLeft w:val="0"/>
      <w:marRight w:val="0"/>
      <w:marTop w:val="120"/>
      <w:marBottom w:val="0"/>
      <w:divBdr>
        <w:top w:val="none" w:sz="0" w:space="0" w:color="auto"/>
        <w:left w:val="none" w:sz="0" w:space="0" w:color="auto"/>
        <w:bottom w:val="none" w:sz="0" w:space="0" w:color="auto"/>
        <w:right w:val="none" w:sz="0" w:space="0" w:color="auto"/>
      </w:divBdr>
    </w:div>
    <w:div w:id="2033334511">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image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21362</Words>
  <Characters>121770</Characters>
  <Application>Microsoft Office Word</Application>
  <DocSecurity>0</DocSecurity>
  <Lines>1014</Lines>
  <Paragraphs>285</Paragraphs>
  <ScaleCrop>false</ScaleCrop>
  <Company/>
  <LinksUpToDate>false</LinksUpToDate>
  <CharactersWithSpaces>142847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