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30BA7">
      <w:pPr>
        <w:divId w:val="277688200"/>
        <w:rPr>
          <w:rFonts w:eastAsia="Times New Roman"/>
          <w:vanish/>
          <w:sz w:val="20"/>
          <w:szCs w:val="20"/>
        </w:rPr>
      </w:pPr>
      <w:r>
        <w:rPr>
          <w:rFonts w:eastAsia="Times New Roman"/>
          <w:vanish/>
          <w:sz w:val="20"/>
          <w:szCs w:val="20"/>
        </w:rPr>
        <w:t xml:space="preserve">0001582982 false FY P5Y 5 0001582982 2021-01-01 2021-12-31 0001582982 MTBC:CommonStockParValue0.001PerShareMember 2021-01-01 2021-12-31 0001582982 </w:t>
      </w:r>
      <w:r>
        <w:rPr>
          <w:rFonts w:eastAsia="Times New Roman"/>
          <w:vanish/>
          <w:sz w:val="20"/>
          <w:szCs w:val="20"/>
        </w:rPr>
        <w:t>MTBC:Sec11SeriesCumulativeRedeemablePerpetualPreferredStockParValue0.001PerShareMember 2021-01-01 2021-12-31 0001582982 MTBC:Sec8.75SeriesBCumulativeRedeemablePerpetualPreferredStockParValue0.001PerShareMember 2021-01-01 2021-12-31 0001582982 2021-06-30 00</w:t>
      </w:r>
      <w:r>
        <w:rPr>
          <w:rFonts w:eastAsia="Times New Roman"/>
          <w:vanish/>
          <w:sz w:val="20"/>
          <w:szCs w:val="20"/>
        </w:rPr>
        <w:t xml:space="preserve">01582982 2022-02-28 0001582982 2021-12-31 0001582982 2020-12-31 0001582982 2020-01-01 2020-12-31 0001582982 us-gaap:PreferredStockMember 2019-12-31 0001582982 us-gaap:CommonStockMember 2019-12-31 0001582982 us-gaap:AdditionalPaidInCapitalMember 2019-12-31 </w:t>
      </w:r>
      <w:r>
        <w:rPr>
          <w:rFonts w:eastAsia="Times New Roman"/>
          <w:vanish/>
          <w:sz w:val="20"/>
          <w:szCs w:val="20"/>
        </w:rPr>
        <w:t>0001582982 us-gaap:RetainedEarningsMember 2019-12-31 0001582982 us-gaap:AccumulatedOtherComprehensiveIncomeMember 2019-12-31 0001582982 us-gaap:TreasuryStockMember 2019-12-31 0001582982 2019-12-31 0001582982 us-gaap:PreferredStockMember 2020-12-31 00015829</w:t>
      </w:r>
      <w:r>
        <w:rPr>
          <w:rFonts w:eastAsia="Times New Roman"/>
          <w:vanish/>
          <w:sz w:val="20"/>
          <w:szCs w:val="20"/>
        </w:rPr>
        <w:t>82 us-gaap:CommonStockMember 2020-12-31 0001582982 us-gaap:AdditionalPaidInCapitalMember 2020-12-31 0001582982 us-gaap:RetainedEarningsMember 2020-12-31 0001582982 us-gaap:AccumulatedOtherComprehensiveIncomeMember 2020-12-31 0001582982 us-gaap:TreasuryStoc</w:t>
      </w:r>
      <w:r>
        <w:rPr>
          <w:rFonts w:eastAsia="Times New Roman"/>
          <w:vanish/>
          <w:sz w:val="20"/>
          <w:szCs w:val="20"/>
        </w:rPr>
        <w:t>kMember 2020-12-31 0001582982 us-gaap:PreferredStockMember 2020-01-01 2020-12-31 0001582982 us-gaap:CommonStockMember 2020-01-01 2020-12-31 0001582982 us-gaap:AdditionalPaidInCapitalMember 2020-01-01 2020-12-31 0001582982 us-gaap:RetainedEarningsMember 202</w:t>
      </w:r>
      <w:r>
        <w:rPr>
          <w:rFonts w:eastAsia="Times New Roman"/>
          <w:vanish/>
          <w:sz w:val="20"/>
          <w:szCs w:val="20"/>
        </w:rPr>
        <w:t>0-01-01 2020-12-31 0001582982 us-gaap:AccumulatedOtherComprehensiveIncomeMember 2020-01-01 2020-12-31 0001582982 us-gaap:TreasuryStockMember 2020-01-01 2020-12-31 0001582982 us-gaap:PreferredStockMember 2021-01-01 2021-12-31 0001582982 us-gaap:CommonStockM</w:t>
      </w:r>
      <w:r>
        <w:rPr>
          <w:rFonts w:eastAsia="Times New Roman"/>
          <w:vanish/>
          <w:sz w:val="20"/>
          <w:szCs w:val="20"/>
        </w:rPr>
        <w:t>ember 2021-01-01 2021-12-31 0001582982 us-gaap:AdditionalPaidInCapitalMember 2021-01-01 2021-12-31 0001582982 us-gaap:RetainedEarningsMember 2021-01-01 2021-12-31 0001582982 us-gaap:AccumulatedOtherComprehensiveIncomeMember 2021-01-01 2021-12-31 0001582982</w:t>
      </w:r>
      <w:r>
        <w:rPr>
          <w:rFonts w:eastAsia="Times New Roman"/>
          <w:vanish/>
          <w:sz w:val="20"/>
          <w:szCs w:val="20"/>
        </w:rPr>
        <w:t xml:space="preserve"> us-gaap:TreasuryStockMember 2021-01-01 2021-12-31 0001582982 us-gaap:PreferredStockMember 2021-12-31 0001582982 us-gaap:CommonStockMember 2021-12-31 0001582982 us-gaap:AdditionalPaidInCapitalMember 2021-12-31 0001582982 us-gaap:RetainedEarningsMember 2021</w:t>
      </w:r>
      <w:r>
        <w:rPr>
          <w:rFonts w:eastAsia="Times New Roman"/>
          <w:vanish/>
          <w:sz w:val="20"/>
          <w:szCs w:val="20"/>
        </w:rPr>
        <w:t>-12-31 0001582982 us-gaap:AccumulatedOtherComprehensiveIncomeMember 2021-12-31 0001582982 us-gaap:TreasuryStockMember 2021-12-31 0001582982 MTBC:MTBCPrivateLimitedMember 2004-12-31 0001582982 MTBC:MTBCPrivateLimitedMember MTBC:FounderAndExecutiveChairmanMe</w:t>
      </w:r>
      <w:r>
        <w:rPr>
          <w:rFonts w:eastAsia="Times New Roman"/>
          <w:vanish/>
          <w:sz w:val="20"/>
          <w:szCs w:val="20"/>
        </w:rPr>
        <w:t>mber 2004-12-31 0001582982 MTBC:StockPurchaseAgreementMember MTBC:MedMaticaMember 2021-06-01 0001582982 MTBC:StockPurchaseAgreementMember MTBC:MedMaticaMember srt:MaximumMember 2021-06-01 0001582982 MTBC:CapitalStockPurchaseAgreementMember MTBC:MedMaticaMe</w:t>
      </w:r>
      <w:r>
        <w:rPr>
          <w:rFonts w:eastAsia="Times New Roman"/>
          <w:vanish/>
          <w:sz w:val="20"/>
          <w:szCs w:val="20"/>
        </w:rPr>
        <w:t>mber srt:MaximumMember 2021-06-01 0001582982 MTBC:StockPurchaseAgreementMember MTBC:MedSRMember 2021-06-01 0001582982 MTBC:MedSRPurchasePriceMember 2021-12-31 0001582982 MTBC:MedSRPurchasePriceMember 2021-01-01 2021-12-31 0001582982 MTBC:AssetAndStockPurch</w:t>
      </w:r>
      <w:r>
        <w:rPr>
          <w:rFonts w:eastAsia="Times New Roman"/>
          <w:vanish/>
          <w:sz w:val="20"/>
          <w:szCs w:val="20"/>
        </w:rPr>
        <w:t>aseAgreementMember MTBC:MeridianAcquisitionMember 2021-05-31 2021-06-01 0001582982 MTBC:MedSRPurchasePriceMember 2021-07-01 2021-09-30 0001582982 MTBC:MedSRPurchasePriceMember 2021-09-30 0001582982 MTBC:StockPurchaseAgreementMember 2020-06-16 0001582982 MT</w:t>
      </w:r>
      <w:r>
        <w:rPr>
          <w:rFonts w:eastAsia="Times New Roman"/>
          <w:vanish/>
          <w:sz w:val="20"/>
          <w:szCs w:val="20"/>
        </w:rPr>
        <w:t>BC:StockPurchaseAgreementMember us-gaap:SeriesAPreferredStockMember 2020-06-15 2020-06-16 0001582982 MTBC:StockPurchaseAgreementMember us-gaap:PreferredStockMember 2020-06-16 0001582982 MTBC:StockPurchaseAgreementMember us-gaap:WarrantMember us-gaap:Valuat</w:t>
      </w:r>
      <w:r>
        <w:rPr>
          <w:rFonts w:eastAsia="Times New Roman"/>
          <w:vanish/>
          <w:sz w:val="20"/>
          <w:szCs w:val="20"/>
        </w:rPr>
        <w:t>ionTechniqueOptionPricingModelMember 2020-12-31 0001582982 MTBC:MeridianAcquisitionMember 2021-01-01 2021-12-31 0001582982 MTBC:MeridianAcquisitionMember 2020-01-01 2020-12-31 0001582982 MTBC:MergerAgreementMember 2020-01-08 0001582982 MTBC:MergerAgreement</w:t>
      </w:r>
      <w:r>
        <w:rPr>
          <w:rFonts w:eastAsia="Times New Roman"/>
          <w:vanish/>
          <w:sz w:val="20"/>
          <w:szCs w:val="20"/>
        </w:rPr>
        <w:t>Member us-gaap:PreferredStockMember 2020-01-07 2020-01-08 0001582982 MTBC:MergerAgreementMember 2020-01-07 2020-01-08 0001582982 MTBC:MergerAgreementMember us-gaap:WarrantMember 2020-01-08 0001582982 MTBC:MergerAgreementMember us-gaap:CommonStockMember 202</w:t>
      </w:r>
      <w:r>
        <w:rPr>
          <w:rFonts w:eastAsia="Times New Roman"/>
          <w:vanish/>
          <w:sz w:val="20"/>
          <w:szCs w:val="20"/>
        </w:rPr>
        <w:t>0-01-08 0001582982 MTBC:MergerAgreementMember MTBC:OtherWarrantMember 2020-01-08 0001582982 MTBC:MergerAgreementMember us-gaap:SeriesAPreferredStockMember 2020-01-07 2020-01-08 0001582982 MTBC:MergerAgreementMember 2021-01-01 2021-03-31 0001582982 2020-01-</w:t>
      </w:r>
      <w:r>
        <w:rPr>
          <w:rFonts w:eastAsia="Times New Roman"/>
          <w:vanish/>
          <w:sz w:val="20"/>
          <w:szCs w:val="20"/>
        </w:rPr>
        <w:t>01 2020-06-30 0001582982 MTBC:CareCloudAcquisitionMember 2021-01-01 2021-12-31 0001582982 MTBC:CareCloudAcquisitionMember 2020-01-01 2020-12-31 0001582982 MTBC:MedSRPurchasePriceMember 2021-06-01 0001582982 MTBC:MeridianAcquisitionMember 2020-06-16 0001582</w:t>
      </w:r>
      <w:r>
        <w:rPr>
          <w:rFonts w:eastAsia="Times New Roman"/>
          <w:vanish/>
          <w:sz w:val="20"/>
          <w:szCs w:val="20"/>
        </w:rPr>
        <w:t>982 MTBC:CareCloudAcquisitionMember 2020-01-08 0001582982 MTBC:PracticeManagementSegmentHealthcareITSegmentMember 2021-12-31 0001582982 MTBC:PracticeManagementSegmentHealthcareITSegmentMember 2020-12-31 0001582982 us-gaap:CustomerRelationshipsMember 2020-1</w:t>
      </w:r>
      <w:r>
        <w:rPr>
          <w:rFonts w:eastAsia="Times New Roman"/>
          <w:vanish/>
          <w:sz w:val="20"/>
          <w:szCs w:val="20"/>
        </w:rPr>
        <w:t>2-31 0001582982 MTBC:CapitalizedSoftwareMember 2020-12-31 0001582982 us-gaap:OtherIntangibleAssetsMember 2020-12-31 0001582982 us-gaap:CustomerRelationshipsMember 2021-01-01 2021-12-31 0001582982 MTBC:CapitalizedSoftwareMember 2021-01-01 2021-12-31 0001582</w:t>
      </w:r>
      <w:r>
        <w:rPr>
          <w:rFonts w:eastAsia="Times New Roman"/>
          <w:vanish/>
          <w:sz w:val="20"/>
          <w:szCs w:val="20"/>
        </w:rPr>
        <w:t>982 us-gaap:OtherIntangibleAssetsMember 2021-01-01 2021-12-31 0001582982 us-gaap:CustomerRelationshipsMember 2021-12-31 0001582982 MTBC:CapitalizedSoftwareMember 2021-12-31 0001582982 us-gaap:OtherIntangibleAssetsMember 2021-12-31 0001582982 srt:MinimumMem</w:t>
      </w:r>
      <w:r>
        <w:rPr>
          <w:rFonts w:eastAsia="Times New Roman"/>
          <w:vanish/>
          <w:sz w:val="20"/>
          <w:szCs w:val="20"/>
        </w:rPr>
        <w:t>ber us-gaap:CustomerRelationshipsMember 2021-01-01 2021-12-31 0001582982 srt:MaximumMember us-gaap:CustomerRelationshipsMember 2021-01-01 2021-12-31 0001582982 us-gaap:CustomerRelationshipsMember 2019-12-31 0001582982 MTBC:CapitalizedSoftwareMember 2019-12</w:t>
      </w:r>
      <w:r>
        <w:rPr>
          <w:rFonts w:eastAsia="Times New Roman"/>
          <w:vanish/>
          <w:sz w:val="20"/>
          <w:szCs w:val="20"/>
        </w:rPr>
        <w:t>-31 0001582982 us-gaap:OtherIntangibleAssetsMember 2019-12-31 0001582982 us-gaap:CustomerRelationshipsMember 2020-01-01 2020-12-31 0001582982 MTBC:CapitalizedSoftwareMember 2020-01-01 2020-12-31 0001582982 us-gaap:OtherIntangibleAssetsMember 2020-01-01 202</w:t>
      </w:r>
      <w:r>
        <w:rPr>
          <w:rFonts w:eastAsia="Times New Roman"/>
          <w:vanish/>
          <w:sz w:val="20"/>
          <w:szCs w:val="20"/>
        </w:rPr>
        <w:t>0-12-31 0001582982 srt:MinimumMember us-gaap:CustomerRelationshipsMember 2020-01-01 2020-12-31 0001582982 srt:MaximumMember us-gaap:CustomerRelationshipsMember 2020-01-01 2020-12-31 0001582982 us-gaap:ComputerEquipmentMember 2021-12-31 0001582982 us-gaap:C</w:t>
      </w:r>
      <w:r>
        <w:rPr>
          <w:rFonts w:eastAsia="Times New Roman"/>
          <w:vanish/>
          <w:sz w:val="20"/>
          <w:szCs w:val="20"/>
        </w:rPr>
        <w:t>omputerEquipmentMember 2020-12-31 0001582982 us-gaap:FurnitureAndFixturesMember 2021-12-31 0001582982 us-gaap:FurnitureAndFixturesMember 2020-12-31 0001582982 us-gaap:TransportationEquipmentMember 2021-12-31 0001582982 us-gaap:TransportationEquipmentMember</w:t>
      </w:r>
      <w:r>
        <w:rPr>
          <w:rFonts w:eastAsia="Times New Roman"/>
          <w:vanish/>
          <w:sz w:val="20"/>
          <w:szCs w:val="20"/>
        </w:rPr>
        <w:t xml:space="preserve"> 2020-12-31 0001582982 us-gaap:LeaseholdImprovementsMember 2021-12-31 0001582982 us-gaap:LeaseholdImprovementsMember 2020-12-31 0001582982 MTBC:AssetsNotPlacedInServiceMember 2021-12-31 0001582982 MTBC:AssetsNotPlacedInServiceMember 2020-12-31 0001582982 M</w:t>
      </w:r>
      <w:r>
        <w:rPr>
          <w:rFonts w:eastAsia="Times New Roman"/>
          <w:vanish/>
          <w:sz w:val="20"/>
          <w:szCs w:val="20"/>
        </w:rPr>
        <w:t>TBC:CustomerTwoMember us-gaap:AccountsReceivableMember us-gaap:CustomerConcentrationRiskMember 2021-01-01 2021-12-31 0001582982 MTBC:CustomerOneMember us-gaap:AccountsReceivableMember us-gaap:CustomerConcentrationRiskMember 2021-01-01 2021-12-31 0001582982</w:t>
      </w:r>
      <w:r>
        <w:rPr>
          <w:rFonts w:eastAsia="Times New Roman"/>
          <w:vanish/>
          <w:sz w:val="20"/>
          <w:szCs w:val="20"/>
        </w:rPr>
        <w:t xml:space="preserve"> MTBC:CustomerOneMember us-gaap:AccountsReceivableMember us-gaap:CustomerConcentrationRiskMember 2020-01-01 2020-12-31 0001582982 MTBC:CustomerTwoMember us-gaap:AccountsReceivableMember us-gaap:CustomerConcentrationRiskMember 2020-01-01 2020-12-31 00015829</w:t>
      </w:r>
      <w:r>
        <w:rPr>
          <w:rFonts w:eastAsia="Times New Roman"/>
          <w:vanish/>
          <w:sz w:val="20"/>
          <w:szCs w:val="20"/>
        </w:rPr>
        <w:t>82 MTBC:OneCustomerMember us-gaap:SalesRevenueNetMember us-gaap:CustomerConcentrationRiskMember 2021-01-01 2021-12-31 0001582982 MTBC:OneCustomerMember us-gaap:SalesRevenueNetMember us-gaap:CustomerConcentrationRiskMember 2020-01-01 2020-12-31 0001582982 u</w:t>
      </w:r>
      <w:r>
        <w:rPr>
          <w:rFonts w:eastAsia="Times New Roman"/>
          <w:vanish/>
          <w:sz w:val="20"/>
          <w:szCs w:val="20"/>
        </w:rPr>
        <w:t>s-gaap:NonUsMember 2021-12-31 0001582982 us-gaap:NonUsMember 2020-12-31 0001582982 MTBC:SVBCreditFacilityMember 2017-10-31 0001582982 MTBC:SVBCreditFacilityMember srt:MinimumMember 2018-09-30 0001582982 MTBC:SVBCreditFacilityMember srt:MaximumMember 2018-0</w:t>
      </w:r>
      <w:r>
        <w:rPr>
          <w:rFonts w:eastAsia="Times New Roman"/>
          <w:vanish/>
          <w:sz w:val="20"/>
          <w:szCs w:val="20"/>
        </w:rPr>
        <w:t>9-30 0001582982 MTBC:SVBCreditFacilityMember 2021-09-30 0001582982 MTBC:SVBCreditFacilityMember 2021-12-31 0001582982 MTBC:SVBCreditFacilityMember us-gaap:PrimeRateMember 2017-10-31 0001582982 MTBC:SVBCreditFacilityMember 2017-10-01 2017-10-31 0001582982 M</w:t>
      </w:r>
      <w:r>
        <w:rPr>
          <w:rFonts w:eastAsia="Times New Roman"/>
          <w:vanish/>
          <w:sz w:val="20"/>
          <w:szCs w:val="20"/>
        </w:rPr>
        <w:t>TBC:SVBDebtAgreementMember 2017-10-01 2017-10-31 0001582982 2017-10-31 0001582982 MTBC:SVBDebtAgreementMember 2017-10-31 0001582982 MTBC:SVBCreditFacilityMember srt:MinimumMember 2017-10-31 0001582982 MTBC:SVBCreditFacilityMember srt:MaximumMember 2017-10-</w:t>
      </w:r>
      <w:r>
        <w:rPr>
          <w:rFonts w:eastAsia="Times New Roman"/>
          <w:vanish/>
          <w:sz w:val="20"/>
          <w:szCs w:val="20"/>
        </w:rPr>
        <w:t>31 0001582982 MTBC:SVBDebtAgreementMember MTBC:AdditionalWarrantMember 2017-10-31 0001582982 MTBC:SVBCreditFacilityMember 2019-11-30 0001582982 MTBC:VehicleFinancingNotesMember 2021-01-01 2021-12-31 0001582982 MTBC:InsuranceFinancingMember 2021-12-31 00015</w:t>
      </w:r>
      <w:r>
        <w:rPr>
          <w:rFonts w:eastAsia="Times New Roman"/>
          <w:vanish/>
          <w:sz w:val="20"/>
          <w:szCs w:val="20"/>
        </w:rPr>
        <w:t>82982 us-gaap:LineOfCreditMember 2021-12-31 0001582982 MTBC:VehicleFinancingNotesMember 2021-12-31 0001582982 MTBC:HealthcareITMember MTBC:TechnologyEnabledBusinessSolutionsMember 2021-01-01 2021-12-31 0001582982 MTBC:HealthcareITMember MTBC:TechnologyEnab</w:t>
      </w:r>
      <w:r>
        <w:rPr>
          <w:rFonts w:eastAsia="Times New Roman"/>
          <w:vanish/>
          <w:sz w:val="20"/>
          <w:szCs w:val="20"/>
        </w:rPr>
        <w:t>ledBusinessSolutionsMember 2020-01-01 2020-12-31 0001582982 MTBC:HealthcareITMember MTBC:ProfessionalServicesMember 2021-01-01 2021-12-31 0001582982 MTBC:HealthcareITMember MTBC:ProfessionalServicesMember 2020-01-01 2020-12-31 0001582982 MTBC:HealthcareITM</w:t>
      </w:r>
      <w:r>
        <w:rPr>
          <w:rFonts w:eastAsia="Times New Roman"/>
          <w:vanish/>
          <w:sz w:val="20"/>
          <w:szCs w:val="20"/>
        </w:rPr>
        <w:t>ember MTBC:PrintingAndMailingServicesMember 2021-01-01 2021-12-31 0001582982 MTBC:HealthcareITMember MTBC:PrintingAndMailingServicesMember 2020-01-01 2020-12-31 0001582982 MTBC:HealthcareITMember MTBC:GroupPurchasingServicesMember 2021-01-01 2021-12-31 000</w:t>
      </w:r>
      <w:r>
        <w:rPr>
          <w:rFonts w:eastAsia="Times New Roman"/>
          <w:vanish/>
          <w:sz w:val="20"/>
          <w:szCs w:val="20"/>
        </w:rPr>
        <w:t>1582982 MTBC:HealthcareITMember MTBC:GroupPurchasingServicesMember 2020-01-01 2020-12-31 0001582982 MTBC:PracticeManagementMember MTBC:PracticeManagementServicesMember 2021-01-01 2021-12-31 0001582982 MTBC:PracticeManagementMember MTBC:PracticeManagementSe</w:t>
      </w:r>
      <w:r>
        <w:rPr>
          <w:rFonts w:eastAsia="Times New Roman"/>
          <w:vanish/>
          <w:sz w:val="20"/>
          <w:szCs w:val="20"/>
        </w:rPr>
        <w:t>rvicesMember 2020-01-01 2020-12-31 0001582982 MTBC:RevenueCycleManagementandOrionAcquisitionMember 2021-12-31 0001582982 MTBC:OrionAcquisitionMember 2021-01-01 2021-12-31 0001582982 MTBC:OrionAcquisitionMember 2021-12-31 0001582982 us-gaap:AccountsReceivab</w:t>
      </w:r>
      <w:r>
        <w:rPr>
          <w:rFonts w:eastAsia="Times New Roman"/>
          <w:vanish/>
          <w:sz w:val="20"/>
          <w:szCs w:val="20"/>
        </w:rPr>
        <w:t>leMember 2020-12-31 0001582982 MTBC:ContractAssetMember 2020-12-31 0001582982 us-gaap:ShortTermContractWithCustomerMember 2020-12-31 0001582982 us-gaap:LongTermContractWithCustomerMember 2020-12-31 0001582982 us-gaap:AccountsReceivableMember 2021-01-01 202</w:t>
      </w:r>
      <w:r>
        <w:rPr>
          <w:rFonts w:eastAsia="Times New Roman"/>
          <w:vanish/>
          <w:sz w:val="20"/>
          <w:szCs w:val="20"/>
        </w:rPr>
        <w:t>1-12-31 0001582982 MTBC:ContractAssetMember 2021-01-01 2021-12-31 0001582982 us-gaap:ShortTermContractWithCustomerMember 2021-01-01 2021-12-31 0001582982 us-gaap:LongTermContractWithCustomerMember 2021-01-01 2021-12-31 0001582982 us-gaap:AccountsReceivable</w:t>
      </w:r>
      <w:r>
        <w:rPr>
          <w:rFonts w:eastAsia="Times New Roman"/>
          <w:vanish/>
          <w:sz w:val="20"/>
          <w:szCs w:val="20"/>
        </w:rPr>
        <w:t>Member 2021-12-31 0001582982 MTBC:ContractAssetMember 2021-12-31 0001582982 us-gaap:ShortTermContractWithCustomerMember 2021-12-31 0001582982 us-gaap:LongTermContractWithCustomerMember 2021-12-31 0001582982 us-gaap:AccountsReceivableMember 2019-12-31 00015</w:t>
      </w:r>
      <w:r>
        <w:rPr>
          <w:rFonts w:eastAsia="Times New Roman"/>
          <w:vanish/>
          <w:sz w:val="20"/>
          <w:szCs w:val="20"/>
        </w:rPr>
        <w:t>82982 MTBC:ContractAssetMember 2019-12-31 0001582982 us-gaap:ShortTermContractWithCustomerMember 2019-12-31 0001582982 us-gaap:LongTermContractWithCustomerMember 2019-12-31 0001582982 us-gaap:AccountsReceivableMember 2020-01-01 2020-12-31 0001582982 MTBC:C</w:t>
      </w:r>
      <w:r>
        <w:rPr>
          <w:rFonts w:eastAsia="Times New Roman"/>
          <w:vanish/>
          <w:sz w:val="20"/>
          <w:szCs w:val="20"/>
        </w:rPr>
        <w:t>ontractAssetMember 2020-01-01 2020-12-31 0001582982 us-gaap:ShortTermContractWithCustomerMember 2020-01-01 2020-12-31 0001582982 us-gaap:LongTermContractWithCustomerMember 2020-01-01 2020-12-31 0001582982 MTBC:TreasuryStockOneMember 2021-01-01 2021-12-31 0</w:t>
      </w:r>
      <w:r>
        <w:rPr>
          <w:rFonts w:eastAsia="Times New Roman"/>
          <w:vanish/>
          <w:sz w:val="20"/>
          <w:szCs w:val="20"/>
        </w:rPr>
        <w:t>001582982 MTBC:AtTheMarketMember 2021-01-01 2021-12-31 0001582982 MTBC:CCHAcquisitionMember 2021-01-01 2021-12-31 0001582982 us-gaap:WarrantMember 2021-12-31 0001582982 MTBC:WarrantOneMember 2021-12-31 0001582982 MTBC:WarrantOneMember 2021-01-01 2021-12-31</w:t>
      </w:r>
      <w:r>
        <w:rPr>
          <w:rFonts w:eastAsia="Times New Roman"/>
          <w:vanish/>
          <w:sz w:val="20"/>
          <w:szCs w:val="20"/>
        </w:rPr>
        <w:t xml:space="preserve"> 0001582982 MTBC:WarrantTwoMember 2021-12-31 0001582982 MTBC:WarrantTwoMember 2021-01-01 2021-12-31 0001582982 MTBC:WarrantThreeMember 2021-12-31 0001582982 MTBC:WarrantThreeMember 2021-01-01 2021-12-31 0001582982 MTBC:WarrantFourMember 2021-12-31 00015829</w:t>
      </w:r>
      <w:r>
        <w:rPr>
          <w:rFonts w:eastAsia="Times New Roman"/>
          <w:vanish/>
          <w:sz w:val="20"/>
          <w:szCs w:val="20"/>
        </w:rPr>
        <w:t>82 MTBC:WarrantFourMember 2021-01-01 2021-12-31 0001582982 MTBC:WarrantFiveMember 2021-12-31 0001582982 MTBC:WarrantFiveMember 2021-01-01 2021-12-31 0001582982 MTBC:WarrantSixMember 2021-12-31 0001582982 MTBC:WarrantSixMember 2021-01-01 2021-12-31 00015829</w:t>
      </w:r>
      <w:r>
        <w:rPr>
          <w:rFonts w:eastAsia="Times New Roman"/>
          <w:vanish/>
          <w:sz w:val="20"/>
          <w:szCs w:val="20"/>
        </w:rPr>
        <w:t>82 MTBC:WarrantSevenMember 2021-12-31 0001582982 MTBC:WarrantSevenMember 2021-01-01 2021-12-31 0001582982 MTBC:WarrantEightMember 2021-12-31 0001582982 MTBC:WarrantEightMember 2021-01-01 2021-12-31 0001582982 MTBC:WarrantNineMember 2021-12-31 0001582982 MT</w:t>
      </w:r>
      <w:r>
        <w:rPr>
          <w:rFonts w:eastAsia="Times New Roman"/>
          <w:vanish/>
          <w:sz w:val="20"/>
          <w:szCs w:val="20"/>
        </w:rPr>
        <w:t xml:space="preserve">BC:WarrantNineMember 2020-12-31 0001582982 MTBC:TwoPublicOfferingsMember 2021-01-01 2021-12-31 0001582982 MTBC:TwoPublicOfferingsMember 2020-01-01 2020-12-31 0001582982 MTBC:EquityOfferingsMember 2021-01-01 2021-12-31 0001582982 MTBC:EquityOfferingsMember </w:t>
      </w:r>
      <w:r>
        <w:rPr>
          <w:rFonts w:eastAsia="Times New Roman"/>
          <w:vanish/>
          <w:sz w:val="20"/>
          <w:szCs w:val="20"/>
        </w:rPr>
        <w:t>2020-01-01 2020-12-31 0001582982 2020-03-24 2020-03-25 0001582982 srt:MinimumMember 2020-06-10 2020-06-12 0001582982 srt:MaximumMember 2020-06-10 2020-06-12 0001582982 2020-07-22 2020-07-24 0001582982 MTBC:CivilInvestigationMember 2021-01-01 2021-12-31 000</w:t>
      </w:r>
      <w:r>
        <w:rPr>
          <w:rFonts w:eastAsia="Times New Roman"/>
          <w:vanish/>
          <w:sz w:val="20"/>
          <w:szCs w:val="20"/>
        </w:rPr>
        <w:t>1582982 MTBC:CivilInvestigationMember 2021-12-31 0001582982 MTBC:PhysicianMember 2021-01-01 2021-12-31 0001582982 MTBC:PhysicianMember 2020-01-01 2020-12-31 0001582982 MTBC:PhysicianMember 2021-12-31 0001582982 MTBC:PhysicianMember 2020-12-31 0001582982 MT</w:t>
      </w:r>
      <w:r>
        <w:rPr>
          <w:rFonts w:eastAsia="Times New Roman"/>
          <w:vanish/>
          <w:sz w:val="20"/>
          <w:szCs w:val="20"/>
        </w:rPr>
        <w:t>BC:NonexclusiveAircraftDryLeaseAgreementMember MTBC:KashmirAirIncMember 2021-12-31 0001582982 MTBC:NonexclusiveAircraftDryLeaseAgreementMember MTBC:KashmirAirIncMember 2020-12-31 0001582982 MTBC:NonexclusiveAircraftDryLeaseAgreementMember 2021-01-01 2021-1</w:t>
      </w:r>
      <w:r>
        <w:rPr>
          <w:rFonts w:eastAsia="Times New Roman"/>
          <w:vanish/>
          <w:sz w:val="20"/>
          <w:szCs w:val="20"/>
        </w:rPr>
        <w:t>2-31 0001582982 MTBC:ExecutiveChairmanMember 2021-01-01 2021-12-31 0001582982 MTBC:ExecutiveChairmanMember 2020-01-01 2020-12-31 0001582982 MTBC:ExecutiveChairmanMember 2021-12-31 0001582982 MTBC:RelatedPartyLeaseMember 2021-12-31 0001582982 MTBC:RelatedPa</w:t>
      </w:r>
      <w:r>
        <w:rPr>
          <w:rFonts w:eastAsia="Times New Roman"/>
          <w:vanish/>
          <w:sz w:val="20"/>
          <w:szCs w:val="20"/>
        </w:rPr>
        <w:t>rtyLeaseMember 2020-12-31 0001582982 MTBC:TalkMDCliniciansMember 2021-01-01 2021-12-31 0001582982 MTBC:UnitedStatesPostretirementBenefitPlansOfUSEntityDefinedBenefitsMember 2021-01-01 2021-12-31 0001582982 MTBC:UnitedStatesPostretirementBenefitPlansOfUSEnt</w:t>
      </w:r>
      <w:r>
        <w:rPr>
          <w:rFonts w:eastAsia="Times New Roman"/>
          <w:vanish/>
          <w:sz w:val="20"/>
          <w:szCs w:val="20"/>
        </w:rPr>
        <w:t>ityDefinedBenefitsMember 2020-01-01 2020-12-31 0001582982 MTBC:DomesticPostretirementBenefitPlanOfForeignEntityDefinedBenefitMember us-gaap:ForeignPlanMember 2021-01-01 2021-12-31 0001582982 MTBC:DomesticPostretirementBenefitPlanOfForeignEntityDefinedBenef</w:t>
      </w:r>
      <w:r>
        <w:rPr>
          <w:rFonts w:eastAsia="Times New Roman"/>
          <w:vanish/>
          <w:sz w:val="20"/>
          <w:szCs w:val="20"/>
        </w:rPr>
        <w:t>itMember us-gaap:ForeignPlanMember 2020-01-01 2020-12-31 0001582982 MTBC:UnitedStatesPostretirementBenefitPlansOfUSEntityDefinedBenefitsMember MTBC:QualifiedCompensationDeferredPlanMember MTBC:MTBCPracticeManagementCorpMember 2021-01-01 2021-12-31 00015829</w:t>
      </w:r>
      <w:r>
        <w:rPr>
          <w:rFonts w:eastAsia="Times New Roman"/>
          <w:vanish/>
          <w:sz w:val="20"/>
          <w:szCs w:val="20"/>
        </w:rPr>
        <w:t>82 MTBC:UnitedStatesPostretirementBenefitPlansOfUSEntityDefinedBenefitsMember MTBC:QualifiedCompensationDeferredPlanMember MTBC:MTBCPracticeManagementCorpMember 2020-01-01 2020-12-31 0001582982 MTBC:TwoThousandFourteenEquityIncentivePlanMember MTBC:Employe</w:t>
      </w:r>
      <w:r>
        <w:rPr>
          <w:rFonts w:eastAsia="Times New Roman"/>
          <w:vanish/>
          <w:sz w:val="20"/>
          <w:szCs w:val="20"/>
        </w:rPr>
        <w:t>esOfficersDirectorsAndConsultantsMember 2014-04-30 0001582982 MTBC:AmendedAndRestatedEquityIncentivePlanMember us-gaap:CommonStockMember 2017-01-01 2017-12-31 0001582982 MTBC:AmendedAndRestatedEquityIncentivePlanMember us-gaap:SeriesAPreferredStockMember 2</w:t>
      </w:r>
      <w:r>
        <w:rPr>
          <w:rFonts w:eastAsia="Times New Roman"/>
          <w:vanish/>
          <w:sz w:val="20"/>
          <w:szCs w:val="20"/>
        </w:rPr>
        <w:t>017-01-01 2017-12-31 0001582982 MTBC:AmendedAndRestatedEquityIncentivePlanMember us-gaap:SeriesAPreferredStockMember 2018-01-01 2018-12-31 0001582982 MTBC:AmendedAndRestatedEquityIncentivePlanMember us-gaap:CommonStockMember 2020-01-01 2020-12-31 000158298</w:t>
      </w:r>
      <w:r>
        <w:rPr>
          <w:rFonts w:eastAsia="Times New Roman"/>
          <w:vanish/>
          <w:sz w:val="20"/>
          <w:szCs w:val="20"/>
        </w:rPr>
        <w:t>2 MTBC:AmendedAndRestatedEquityIncentivePlanMember us-gaap:SeriesAPreferredStockMember 2020-01-01 2020-12-31 0001582982 MTBC:AmendedAndRestatedEquityIncentivePlanMember us-gaap:CommonStockMember 2021-12-31 0001582982 MTBC:AmendedAndRestatedEquityIncentiveP</w:t>
      </w:r>
      <w:r>
        <w:rPr>
          <w:rFonts w:eastAsia="Times New Roman"/>
          <w:vanish/>
          <w:sz w:val="20"/>
          <w:szCs w:val="20"/>
        </w:rPr>
        <w:t>lanMember us-gaap:SeriesAPreferredStockMember 2021-12-31 0001582982 MTBC:AmendedAndRestatedEquityIncentivePlanMember us-gaap:RestrictedStockUnitsRSUMember MTBC:EmployeeMember MTBC:YearsTwoThousandTwentyAndTwoThousandTwentyOneMember 2020-01-01 2020-12-31 00</w:t>
      </w:r>
      <w:r>
        <w:rPr>
          <w:rFonts w:eastAsia="Times New Roman"/>
          <w:vanish/>
          <w:sz w:val="20"/>
          <w:szCs w:val="20"/>
        </w:rPr>
        <w:t>01582982 MTBC:AmendedAndRestatedEquityIncentivePlanMember us-gaap:RestrictedStockUnitsRSUMember MTBC:FourOutsidesMembersofTheBoardMember 2020-01-01 2020-12-31 0001582982 MTBC:AmendedAndRestatedEquityIncentivePlanMember us-gaap:RestrictedStockUnitsRSUMember</w:t>
      </w:r>
      <w:r>
        <w:rPr>
          <w:rFonts w:eastAsia="Times New Roman"/>
          <w:vanish/>
          <w:sz w:val="20"/>
          <w:szCs w:val="20"/>
        </w:rPr>
        <w:t xml:space="preserve"> MTBC:EmployeeMember MTBC:YearsTwoThousandTwentyTwoAndThousandTwentyOneAndTwoThousandTwentyTwoMember 2021-01-01 2021-12-31 0001582982 MTBC:AmendedAndRestatedEquityIncentivePlanMember us-gaap:RestrictedStockUnitsRSUMember MTBC:FourOutsidesMembersofTheBoardM</w:t>
      </w:r>
      <w:r>
        <w:rPr>
          <w:rFonts w:eastAsia="Times New Roman"/>
          <w:vanish/>
          <w:sz w:val="20"/>
          <w:szCs w:val="20"/>
        </w:rPr>
        <w:t>ember 2021-01-01 2021-12-31 0001582982 us-gaap:RestrictedStockUnitsRSUMember us-gaap:PreferredStockMember 2021-12-31 0001582982 us-gaap:RestrictedStockUnitsRSUMember us-gaap:PreferredStockMember 2020-12-31 0001582982 us-gaap:SeriesAPreferredStockMember 202</w:t>
      </w:r>
      <w:r>
        <w:rPr>
          <w:rFonts w:eastAsia="Times New Roman"/>
          <w:vanish/>
          <w:sz w:val="20"/>
          <w:szCs w:val="20"/>
        </w:rPr>
        <w:t>1-12-31 0001582982 us-gaap:SeriesAPreferredStockMember 2020-12-31 0001582982 us-gaap:SeriesAPreferredStockMember MTBC:OneEmployeeMember 2021-12-31 0001582982 us-gaap:SeriesAPreferredStockMember MTBC:OneEmployeeMember 2020-12-31 0001582982 us-gaap:SeriesAPr</w:t>
      </w:r>
      <w:r>
        <w:rPr>
          <w:rFonts w:eastAsia="Times New Roman"/>
          <w:vanish/>
          <w:sz w:val="20"/>
          <w:szCs w:val="20"/>
        </w:rPr>
        <w:t>eferredStockMember 2021-01-01 2021-12-31 0001582982 us-gaap:SeriesAPreferredStockMember 2020-01-01 2020-12-31 0001582982 us-gaap:RestrictedStockUnitsRSUMember us-gaap:CommonStockMember 2020-12-31 0001582982 us-gaap:RestrictedStockUnitsRSUMember us-gaap:Com</w:t>
      </w:r>
      <w:r>
        <w:rPr>
          <w:rFonts w:eastAsia="Times New Roman"/>
          <w:vanish/>
          <w:sz w:val="20"/>
          <w:szCs w:val="20"/>
        </w:rPr>
        <w:t>monStockMember 2021-01-01 2021-12-31 0001582982 us-gaap:RestrictedStockUnitsRSUMember us-gaap:PreferredStockMember 2021-01-01 2021-12-31 0001582982 us-gaap:RestrictedStockUnitsRSUMember us-gaap:CommonStockMember 2021-12-31 0001582982 us-gaap:RestrictedStoc</w:t>
      </w:r>
      <w:r>
        <w:rPr>
          <w:rFonts w:eastAsia="Times New Roman"/>
          <w:vanish/>
          <w:sz w:val="20"/>
          <w:szCs w:val="20"/>
        </w:rPr>
        <w:t>kUnitsRSUMember us-gaap:CommonStockMember 2019-12-31 0001582982 us-gaap:RestrictedStockUnitsRSUMember us-gaap:PreferredStockMember 2019-12-31 0001582982 us-gaap:RestrictedStockUnitsRSUMember us-gaap:CommonStockMember 2020-01-01 2020-12-31 0001582982 us-gaa</w:t>
      </w:r>
      <w:r>
        <w:rPr>
          <w:rFonts w:eastAsia="Times New Roman"/>
          <w:vanish/>
          <w:sz w:val="20"/>
          <w:szCs w:val="20"/>
        </w:rPr>
        <w:t>p:RestrictedStockUnitsRSUMember us-gaap:PreferredStockMember 2020-01-01 2020-12-31 0001582982 MTBC:DirectOperatingCostsMember 2021-01-01 2021-12-31 0001582982 MTBC:DirectOperatingCostsMember 2020-01-01 2020-12-31 0001582982 us-gaap:GeneralAndAdministrative</w:t>
      </w:r>
      <w:r>
        <w:rPr>
          <w:rFonts w:eastAsia="Times New Roman"/>
          <w:vanish/>
          <w:sz w:val="20"/>
          <w:szCs w:val="20"/>
        </w:rPr>
        <w:t>ExpenseMember 2021-01-01 2021-12-31 0001582982 us-gaap:GeneralAndAdministrativeExpenseMember 2020-01-01 2020-12-31 0001582982 us-gaap:ResearchAndDevelopmentExpenseMember 2021-01-01 2021-12-31 0001582982 us-gaap:ResearchAndDevelopmentExpenseMember 2020-01-0</w:t>
      </w:r>
      <w:r>
        <w:rPr>
          <w:rFonts w:eastAsia="Times New Roman"/>
          <w:vanish/>
          <w:sz w:val="20"/>
          <w:szCs w:val="20"/>
        </w:rPr>
        <w:t>1 2020-12-31 0001582982 us-gaap:SellingAndMarketingExpenseMember 2021-01-01 2021-12-31 0001582982 us-gaap:SellingAndMarketingExpenseMember 2020-01-01 2020-12-31 0001582982 country:PK 2021-01-01 2021-12-31 0001582982 country:PK 2020-01-01 2020-12-31 0001582</w:t>
      </w:r>
      <w:r>
        <w:rPr>
          <w:rFonts w:eastAsia="Times New Roman"/>
          <w:vanish/>
          <w:sz w:val="20"/>
          <w:szCs w:val="20"/>
        </w:rPr>
        <w:t>982 MTBC:FederalMember 2021-12-31 0001582982 MTBC:FederalMember MTBC:BetweenTwoThousandThirtyFourAndTwoThousandThirtySevenMember 2021-12-31 0001582982 MTBC:FederalMember 2021-01-01 2021-12-31 0001582982 MTBC:FederalMember MTBC:IndefiniteLifeMember 2021-12-</w:t>
      </w:r>
      <w:r>
        <w:rPr>
          <w:rFonts w:eastAsia="Times New Roman"/>
          <w:vanish/>
          <w:sz w:val="20"/>
          <w:szCs w:val="20"/>
        </w:rPr>
        <w:t>31 0001582982 MTBC:FederalMember MTBC:CareCloudAndMeridianAcquisitionsMember 2021-12-31 0001582982 MTBC:StateMember 2021-12-31 0001582982 stpr:NJ 2021-12-31 0001582982 MTBC:StateMember 2021-01-01 2021-12-31 0001582982 2020-12-25 2020-12-27 0001582982 MTBC:</w:t>
      </w:r>
      <w:r>
        <w:rPr>
          <w:rFonts w:eastAsia="Times New Roman"/>
          <w:vanish/>
          <w:sz w:val="20"/>
          <w:szCs w:val="20"/>
        </w:rPr>
        <w:t>HealthcareITMember 2021-01-01 2021-12-31 0001582982 MTBC:MedicalPracticeManagementMember 2021-01-01 2021-12-31 0001582982 MTBC:UnallocatedCorporateExpensesMember 2021-01-01 2021-12-31 0001582982 MTBC:HealthcareITMember 2020-01-01 2020-12-31 0001582982 MTBC</w:t>
      </w:r>
      <w:r>
        <w:rPr>
          <w:rFonts w:eastAsia="Times New Roman"/>
          <w:vanish/>
          <w:sz w:val="20"/>
          <w:szCs w:val="20"/>
        </w:rPr>
        <w:t>:MedicalPracticeManagementMember 2020-01-01 2020-12-31 0001582982 MTBC:UnallocatedCorporateExpensesMember 2020-01-01 2020-12-31 0001582982 us-gaap:FairValueInputsLevel3Member 2020-12-31 0001582982 us-gaap:FairValueInputsLevel3Member 2019-12-31 0001582982 u</w:t>
      </w:r>
      <w:r>
        <w:rPr>
          <w:rFonts w:eastAsia="Times New Roman"/>
          <w:vanish/>
          <w:sz w:val="20"/>
          <w:szCs w:val="20"/>
        </w:rPr>
        <w:t>s-gaap:FairValueInputsLevel3Member 2021-01-01 2021-12-31 0001582982 us-gaap:FairValueInputsLevel3Member 2020-01-01 2020-12-31 0001582982 us-gaap:FairValueInputsLevel3Member 2021-12-31 0001582982 us-gaap:SubsequentEventMember us-gaap:SeriesBPreferredStockMe</w:t>
      </w:r>
      <w:r>
        <w:rPr>
          <w:rFonts w:eastAsia="Times New Roman"/>
          <w:vanish/>
          <w:sz w:val="20"/>
          <w:szCs w:val="20"/>
        </w:rPr>
        <w:t>mber 2022-01-01 2022-02-28 0001582982 us-gaap:SubsequentEventMember us-gaap:SeriesBPreferredStockMember 2022-02-28 0001582982 us-gaap:SubsequentEventMember us-gaap:SeriesAPreferredStockMember 2022-01-01 2022-02-28 0001582982 srt:ScenarioForecastMember us-g</w:t>
      </w:r>
      <w:r>
        <w:rPr>
          <w:rFonts w:eastAsia="Times New Roman"/>
          <w:vanish/>
          <w:sz w:val="20"/>
          <w:szCs w:val="20"/>
        </w:rPr>
        <w:t>aap:SeriesBPreferredStockMember 2024-02-15 0001582982 srt:ScenarioForecastMember us-gaap:SeriesBPreferredStockMember 2025-02-15 0001582982 srt:ScenarioForecastMember us-gaap:SeriesBPreferredStockMember 2026-02-15 0001582982 srt:ScenarioForecastMember us-ga</w:t>
      </w:r>
      <w:r>
        <w:rPr>
          <w:rFonts w:eastAsia="Times New Roman"/>
          <w:vanish/>
          <w:sz w:val="20"/>
          <w:szCs w:val="20"/>
        </w:rPr>
        <w:t>ap:SeriesBPreferredStockMember 2027-02-15 0001582982 us-gaap:SubsequentEventMember us-gaap:SeriesBPreferredStockMember 2022-02-01 2022-02-28 0001582982 us-gaap:SubsequentEventMember us-gaap:SeriesAPreferredStockMember 2022-02-01 2022-02-28 iso4217:USD xbrl</w:t>
      </w:r>
      <w:r>
        <w:rPr>
          <w:rFonts w:eastAsia="Times New Roman"/>
          <w:vanish/>
          <w:sz w:val="20"/>
          <w:szCs w:val="20"/>
        </w:rPr>
        <w:t xml:space="preserve">i:shares iso4217:USD xbrli:shares xbrli:pure MTBC:Segment </w:t>
      </w:r>
    </w:p>
    <w:p w:rsidR="00000000" w:rsidRDefault="00B30BA7">
      <w:pPr>
        <w:pStyle w:val="a3"/>
        <w:spacing w:before="0" w:beforeAutospacing="0" w:after="0" w:afterAutospacing="0"/>
        <w:rPr>
          <w:sz w:val="20"/>
          <w:szCs w:val="20"/>
        </w:rPr>
      </w:pPr>
      <w:r>
        <w:rPr>
          <w:sz w:val="20"/>
          <w:szCs w:val="20"/>
        </w:rPr>
        <w:t> </w:t>
      </w:r>
    </w:p>
    <w:p w:rsidR="00000000" w:rsidRDefault="00B30BA7">
      <w:pPr>
        <w:divId w:val="2124690516"/>
        <w:rPr>
          <w:rFonts w:eastAsia="Times New Roman"/>
          <w:sz w:val="2"/>
          <w:szCs w:val="2"/>
        </w:rPr>
      </w:pPr>
      <w:r>
        <w:rPr>
          <w:rFonts w:eastAsia="Times New Roman"/>
          <w:sz w:val="2"/>
          <w:szCs w:val="2"/>
        </w:rPr>
        <w:t> </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center"/>
        <w:rPr>
          <w:sz w:val="20"/>
          <w:szCs w:val="20"/>
        </w:rPr>
      </w:pPr>
      <w:r>
        <w:rPr>
          <w:b/>
          <w:bCs/>
          <w:sz w:val="36"/>
          <w:szCs w:val="36"/>
        </w:rPr>
        <w:t>UNITED STATES</w:t>
      </w:r>
    </w:p>
    <w:p w:rsidR="00000000" w:rsidRDefault="00B30BA7">
      <w:pPr>
        <w:pStyle w:val="a3"/>
        <w:spacing w:before="0" w:beforeAutospacing="0" w:after="0" w:afterAutospacing="0"/>
        <w:jc w:val="center"/>
        <w:rPr>
          <w:sz w:val="20"/>
          <w:szCs w:val="20"/>
        </w:rPr>
      </w:pPr>
      <w:r>
        <w:rPr>
          <w:b/>
          <w:bCs/>
          <w:sz w:val="36"/>
          <w:szCs w:val="36"/>
        </w:rPr>
        <w:t>SECURITIES AND EXCHANGE COMMISSION</w:t>
      </w:r>
    </w:p>
    <w:p w:rsidR="00000000" w:rsidRDefault="00B30BA7">
      <w:pPr>
        <w:pStyle w:val="a3"/>
        <w:spacing w:before="0" w:beforeAutospacing="0" w:after="0" w:afterAutospacing="0"/>
        <w:jc w:val="center"/>
        <w:rPr>
          <w:sz w:val="20"/>
          <w:szCs w:val="20"/>
        </w:rPr>
      </w:pPr>
      <w:r>
        <w:rPr>
          <w:b/>
          <w:bCs/>
        </w:rPr>
        <w:t>Washington, D.C. 20549</w:t>
      </w:r>
    </w:p>
    <w:p w:rsidR="00000000" w:rsidRDefault="00B30BA7">
      <w:pPr>
        <w:pStyle w:val="a3"/>
        <w:spacing w:before="0" w:beforeAutospacing="0" w:after="0" w:afterAutospacing="0"/>
        <w:jc w:val="center"/>
        <w:rPr>
          <w:sz w:val="20"/>
          <w:szCs w:val="20"/>
        </w:rPr>
      </w:pPr>
      <w:r>
        <w:rPr>
          <w:sz w:val="20"/>
          <w:szCs w:val="20"/>
        </w:rPr>
        <w:t> </w:t>
      </w:r>
    </w:p>
    <w:p w:rsidR="00000000" w:rsidRDefault="00B30BA7">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K</w:t>
      </w:r>
    </w:p>
    <w:p w:rsidR="00000000" w:rsidRDefault="00B30BA7">
      <w:pPr>
        <w:pStyle w:val="a3"/>
        <w:spacing w:before="0" w:beforeAutospacing="0" w:after="0" w:afterAutospacing="0"/>
        <w:jc w:val="center"/>
        <w:rPr>
          <w:sz w:val="20"/>
          <w:szCs w:val="20"/>
        </w:rPr>
      </w:pPr>
      <w:r>
        <w:rPr>
          <w:b/>
          <w:bCs/>
          <w:sz w:val="20"/>
          <w:szCs w:val="20"/>
        </w:rPr>
        <w:t> </w:t>
      </w:r>
    </w:p>
    <w:p w:rsidR="00000000" w:rsidRDefault="00B30BA7">
      <w:pPr>
        <w:pStyle w:val="a3"/>
        <w:spacing w:before="0" w:beforeAutospacing="0" w:after="0" w:afterAutospacing="0"/>
        <w:rPr>
          <w:sz w:val="20"/>
          <w:szCs w:val="20"/>
        </w:rPr>
      </w:pPr>
      <w:r>
        <w:rPr>
          <w:b/>
          <w:bCs/>
          <w:sz w:val="20"/>
          <w:szCs w:val="20"/>
        </w:rPr>
        <w:t>(Mark one)</w:t>
      </w:r>
    </w:p>
    <w:p w:rsidR="00000000" w:rsidRDefault="00B30BA7">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504"/>
        <w:gridCol w:w="7442"/>
      </w:tblGrid>
      <w:tr w:rsidR="00000000">
        <w:tc>
          <w:tcPr>
            <w:tcW w:w="360" w:type="dxa"/>
            <w:hideMark/>
          </w:tcPr>
          <w:p w:rsidR="00000000" w:rsidRDefault="00B30BA7">
            <w:pPr>
              <w:rPr>
                <w:sz w:val="20"/>
                <w:szCs w:val="20"/>
              </w:rPr>
            </w:pPr>
          </w:p>
        </w:tc>
        <w:tc>
          <w:tcPr>
            <w:tcW w:w="504" w:type="dxa"/>
            <w:hideMark/>
          </w:tcPr>
          <w:p w:rsidR="00000000" w:rsidRDefault="00B30BA7">
            <w:pPr>
              <w:rPr>
                <w:rFonts w:eastAsia="Times New Roman"/>
                <w:sz w:val="20"/>
                <w:szCs w:val="20"/>
              </w:rPr>
            </w:pPr>
            <w:r>
              <w:rPr>
                <w:rFonts w:ascii="Segoe UI Symbol" w:eastAsia="Times New Roman" w:hAnsi="Segoe UI Symbol" w:cs="Segoe UI Symbol"/>
                <w:b/>
                <w:bCs/>
                <w:sz w:val="20"/>
                <w:szCs w:val="20"/>
              </w:rPr>
              <w:t>☒</w:t>
            </w:r>
          </w:p>
        </w:tc>
        <w:tc>
          <w:tcPr>
            <w:tcW w:w="0" w:type="auto"/>
            <w:hideMark/>
          </w:tcPr>
          <w:p w:rsidR="00000000" w:rsidRDefault="00B30BA7">
            <w:pPr>
              <w:jc w:val="both"/>
              <w:rPr>
                <w:rFonts w:eastAsia="Times New Roman"/>
                <w:sz w:val="20"/>
                <w:szCs w:val="20"/>
              </w:rPr>
            </w:pPr>
            <w:r>
              <w:rPr>
                <w:rFonts w:eastAsia="Times New Roman"/>
                <w:b/>
                <w:bCs/>
                <w:sz w:val="20"/>
                <w:szCs w:val="20"/>
              </w:rPr>
              <w:t>ANNUAL REPORT PURSUANT TO SECTION 13 OR 15(d) OF THE SECURITIES EXCHANGE ACT OF 1934</w:t>
            </w:r>
          </w:p>
        </w:tc>
      </w:tr>
    </w:tbl>
    <w:p w:rsidR="00000000" w:rsidRDefault="00B30BA7">
      <w:pPr>
        <w:pStyle w:val="a3"/>
        <w:spacing w:before="0" w:beforeAutospacing="0" w:after="0" w:afterAutospacing="0"/>
        <w:ind w:left="635"/>
        <w:jc w:val="center"/>
        <w:rPr>
          <w:sz w:val="20"/>
          <w:szCs w:val="20"/>
        </w:rPr>
      </w:pPr>
      <w:r>
        <w:rPr>
          <w:sz w:val="20"/>
          <w:szCs w:val="20"/>
        </w:rPr>
        <w:t> </w:t>
      </w:r>
    </w:p>
    <w:p w:rsidR="00000000" w:rsidRDefault="00B30BA7">
      <w:pPr>
        <w:pStyle w:val="a3"/>
        <w:spacing w:before="0" w:beforeAutospacing="0" w:after="0" w:afterAutospacing="0"/>
        <w:ind w:left="635"/>
        <w:jc w:val="center"/>
        <w:rPr>
          <w:sz w:val="20"/>
          <w:szCs w:val="20"/>
        </w:rPr>
      </w:pPr>
      <w:r>
        <w:rPr>
          <w:b/>
          <w:bCs/>
          <w:sz w:val="20"/>
          <w:szCs w:val="20"/>
        </w:rPr>
        <w:t>F</w:t>
      </w:r>
      <w:r>
        <w:rPr>
          <w:b/>
          <w:bCs/>
          <w:sz w:val="20"/>
          <w:szCs w:val="20"/>
        </w:rPr>
        <w:t>or the fiscal year ended</w:t>
      </w:r>
      <w:r>
        <w:rPr>
          <w:b/>
          <w:bCs/>
          <w:sz w:val="20"/>
          <w:szCs w:val="20"/>
        </w:rPr>
        <w:t xml:space="preserve"> </w:t>
      </w:r>
      <w:r>
        <w:rPr>
          <w:b/>
          <w:bCs/>
          <w:sz w:val="20"/>
          <w:szCs w:val="20"/>
        </w:rPr>
        <w:t>December 3</w:t>
      </w:r>
      <w:r>
        <w:rPr>
          <w:b/>
          <w:bCs/>
          <w:sz w:val="20"/>
          <w:szCs w:val="20"/>
        </w:rPr>
        <w:t>1</w:t>
      </w:r>
      <w:r>
        <w:rPr>
          <w:b/>
          <w:bCs/>
          <w:sz w:val="20"/>
          <w:szCs w:val="20"/>
        </w:rPr>
        <w:t>,</w:t>
      </w:r>
      <w:r>
        <w:rPr>
          <w:b/>
          <w:bCs/>
          <w:sz w:val="20"/>
          <w:szCs w:val="20"/>
        </w:rPr>
        <w:t xml:space="preserve"> </w:t>
      </w:r>
      <w:r>
        <w:rPr>
          <w:b/>
          <w:bCs/>
          <w:sz w:val="20"/>
          <w:szCs w:val="20"/>
        </w:rPr>
        <w:t>202</w:t>
      </w:r>
      <w:r>
        <w:rPr>
          <w:b/>
          <w:bCs/>
          <w:sz w:val="20"/>
          <w:szCs w:val="20"/>
        </w:rPr>
        <w:t>1</w:t>
      </w:r>
    </w:p>
    <w:p w:rsidR="00000000" w:rsidRDefault="00B30BA7">
      <w:pPr>
        <w:pStyle w:val="a3"/>
        <w:spacing w:before="0" w:beforeAutospacing="0" w:after="0" w:afterAutospacing="0"/>
        <w:ind w:left="635"/>
        <w:jc w:val="center"/>
        <w:rPr>
          <w:sz w:val="20"/>
          <w:szCs w:val="20"/>
        </w:rPr>
      </w:pPr>
      <w:r>
        <w:rPr>
          <w:b/>
          <w:bCs/>
          <w:sz w:val="20"/>
          <w:szCs w:val="20"/>
        </w:rPr>
        <w:t> </w:t>
      </w:r>
    </w:p>
    <w:p w:rsidR="00000000" w:rsidRDefault="00B30BA7">
      <w:pPr>
        <w:pStyle w:val="a3"/>
        <w:spacing w:before="0" w:beforeAutospacing="0" w:after="0" w:afterAutospacing="0"/>
        <w:ind w:left="635"/>
        <w:jc w:val="center"/>
        <w:rPr>
          <w:sz w:val="20"/>
          <w:szCs w:val="20"/>
        </w:rPr>
      </w:pPr>
      <w:r>
        <w:rPr>
          <w:b/>
          <w:bCs/>
          <w:sz w:val="20"/>
          <w:szCs w:val="20"/>
        </w:rPr>
        <w:t>or</w:t>
      </w:r>
    </w:p>
    <w:p w:rsidR="00000000" w:rsidRDefault="00B30BA7">
      <w:pPr>
        <w:pStyle w:val="a3"/>
        <w:spacing w:before="0" w:beforeAutospacing="0" w:after="0" w:afterAutospacing="0"/>
        <w:ind w:firstLine="275"/>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504"/>
        <w:gridCol w:w="7442"/>
      </w:tblGrid>
      <w:tr w:rsidR="00000000">
        <w:tc>
          <w:tcPr>
            <w:tcW w:w="360" w:type="dxa"/>
            <w:hideMark/>
          </w:tcPr>
          <w:p w:rsidR="00000000" w:rsidRDefault="00B30BA7">
            <w:pPr>
              <w:rPr>
                <w:sz w:val="20"/>
                <w:szCs w:val="20"/>
              </w:rPr>
            </w:pPr>
          </w:p>
        </w:tc>
        <w:tc>
          <w:tcPr>
            <w:tcW w:w="504" w:type="dxa"/>
            <w:hideMark/>
          </w:tcPr>
          <w:p w:rsidR="00000000" w:rsidRDefault="00B30BA7">
            <w:pPr>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B30BA7">
            <w:pPr>
              <w:jc w:val="both"/>
              <w:rPr>
                <w:rFonts w:eastAsia="Times New Roman"/>
                <w:sz w:val="20"/>
                <w:szCs w:val="20"/>
              </w:rPr>
            </w:pPr>
            <w:r>
              <w:rPr>
                <w:rFonts w:eastAsia="Times New Roman"/>
                <w:b/>
                <w:bCs/>
                <w:sz w:val="20"/>
                <w:szCs w:val="20"/>
              </w:rPr>
              <w:t>TRANSITION REPORT PURSUANT TO SECTION 13 OR 15(d) OF THE SECURITIES EXCHANGE ACT OF 1934</w:t>
            </w:r>
          </w:p>
        </w:tc>
      </w:tr>
    </w:tbl>
    <w:p w:rsidR="00000000" w:rsidRDefault="00B30BA7">
      <w:pPr>
        <w:pStyle w:val="a3"/>
        <w:spacing w:before="0" w:beforeAutospacing="0" w:after="0" w:afterAutospacing="0"/>
        <w:jc w:val="center"/>
        <w:rPr>
          <w:sz w:val="20"/>
          <w:szCs w:val="20"/>
        </w:rPr>
      </w:pPr>
      <w:r>
        <w:rPr>
          <w:sz w:val="20"/>
          <w:szCs w:val="20"/>
        </w:rPr>
        <w:t> </w:t>
      </w:r>
    </w:p>
    <w:p w:rsidR="00000000" w:rsidRDefault="00B30BA7">
      <w:pPr>
        <w:pStyle w:val="a3"/>
        <w:spacing w:before="0" w:beforeAutospacing="0" w:after="0" w:afterAutospacing="0"/>
        <w:jc w:val="center"/>
        <w:rPr>
          <w:sz w:val="20"/>
          <w:szCs w:val="20"/>
        </w:rPr>
      </w:pPr>
      <w:r>
        <w:rPr>
          <w:b/>
          <w:bCs/>
          <w:sz w:val="20"/>
          <w:szCs w:val="20"/>
        </w:rPr>
        <w:t>For the transition period from</w:t>
      </w:r>
      <w:r>
        <w:rPr>
          <w:b/>
          <w:bCs/>
          <w:sz w:val="20"/>
          <w:szCs w:val="20"/>
        </w:rPr>
        <w:tab/>
        <w:t>to</w:t>
      </w:r>
    </w:p>
    <w:p w:rsidR="00000000" w:rsidRDefault="00B30BA7">
      <w:pPr>
        <w:pStyle w:val="a3"/>
        <w:spacing w:before="0" w:beforeAutospacing="0" w:after="0" w:afterAutospacing="0"/>
        <w:ind w:firstLine="275"/>
        <w:rPr>
          <w:sz w:val="20"/>
          <w:szCs w:val="20"/>
        </w:rPr>
      </w:pPr>
      <w:r>
        <w:rPr>
          <w:sz w:val="20"/>
          <w:szCs w:val="20"/>
        </w:rPr>
        <w:t> </w:t>
      </w:r>
    </w:p>
    <w:p w:rsidR="00000000" w:rsidRDefault="00B30BA7">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001-3652</w:t>
      </w:r>
      <w:r>
        <w:rPr>
          <w:b/>
          <w:bCs/>
          <w:sz w:val="20"/>
          <w:szCs w:val="20"/>
        </w:rPr>
        <w:t>9</w:t>
      </w:r>
    </w:p>
    <w:p w:rsidR="00000000" w:rsidRDefault="00B30BA7">
      <w:pPr>
        <w:pStyle w:val="a3"/>
        <w:spacing w:before="0" w:beforeAutospacing="0" w:after="0" w:afterAutospacing="0"/>
        <w:jc w:val="center"/>
        <w:rPr>
          <w:sz w:val="20"/>
          <w:szCs w:val="20"/>
        </w:rPr>
      </w:pPr>
      <w:r>
        <w:rPr>
          <w:sz w:val="20"/>
          <w:szCs w:val="20"/>
        </w:rPr>
        <w:t> </w:t>
      </w:r>
    </w:p>
    <w:p w:rsidR="00000000" w:rsidRDefault="00B30BA7">
      <w:pPr>
        <w:pStyle w:val="a3"/>
        <w:spacing w:before="0" w:beforeAutospacing="0" w:after="0" w:afterAutospacing="0"/>
        <w:jc w:val="center"/>
        <w:rPr>
          <w:sz w:val="20"/>
          <w:szCs w:val="20"/>
        </w:rPr>
      </w:pPr>
      <w:r>
        <w:rPr>
          <w:b/>
          <w:bCs/>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30BA7">
      <w:pPr>
        <w:pStyle w:val="a3"/>
        <w:spacing w:before="0" w:beforeAutospacing="0" w:after="0" w:afterAutospacing="0"/>
        <w:jc w:val="center"/>
        <w:rPr>
          <w:sz w:val="20"/>
          <w:szCs w:val="20"/>
        </w:rPr>
      </w:pPr>
      <w:r>
        <w:rPr>
          <w:b/>
          <w:bCs/>
          <w:sz w:val="20"/>
          <w:szCs w:val="20"/>
        </w:rPr>
        <w:t> </w:t>
      </w:r>
    </w:p>
    <w:p w:rsidR="00000000" w:rsidRDefault="00B30BA7">
      <w:pPr>
        <w:pStyle w:val="a3"/>
        <w:spacing w:before="0" w:beforeAutospacing="0" w:after="0" w:afterAutospacing="0"/>
        <w:jc w:val="center"/>
        <w:rPr>
          <w:sz w:val="20"/>
          <w:szCs w:val="20"/>
        </w:rPr>
      </w:pPr>
      <w:r>
        <w:rPr>
          <w:b/>
          <w:bCs/>
          <w:sz w:val="36"/>
          <w:szCs w:val="36"/>
        </w:rPr>
        <w:t>CareCloud, Inc</w:t>
      </w:r>
      <w:r>
        <w:rPr>
          <w:b/>
          <w:bCs/>
          <w:sz w:val="36"/>
          <w:szCs w:val="36"/>
        </w:rPr>
        <w:t>.</w:t>
      </w:r>
    </w:p>
    <w:p w:rsidR="00000000" w:rsidRDefault="00B30BA7">
      <w:pPr>
        <w:pStyle w:val="a3"/>
        <w:spacing w:before="0" w:beforeAutospacing="0" w:after="0" w:afterAutospacing="0"/>
        <w:jc w:val="center"/>
        <w:rPr>
          <w:sz w:val="20"/>
          <w:szCs w:val="20"/>
        </w:rPr>
      </w:pPr>
      <w:r>
        <w:rPr>
          <w:i/>
          <w:iCs/>
          <w:sz w:val="20"/>
          <w:szCs w:val="20"/>
        </w:rPr>
        <w:t>(Exact name of registrant as specified in its charter)</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Mar>
              <w:top w:w="0" w:type="dxa"/>
              <w:left w:w="47" w:type="dxa"/>
              <w:bottom w:w="0" w:type="dxa"/>
              <w:right w:w="47" w:type="dxa"/>
            </w:tcMar>
            <w:hideMark/>
          </w:tcPr>
          <w:p w:rsidR="00000000" w:rsidRDefault="00B30BA7">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tcMar>
              <w:top w:w="0" w:type="dxa"/>
              <w:left w:w="47" w:type="dxa"/>
              <w:bottom w:w="0" w:type="dxa"/>
              <w:right w:w="47" w:type="dxa"/>
            </w:tcMar>
            <w:hideMark/>
          </w:tcPr>
          <w:p w:rsidR="00000000" w:rsidRDefault="00B30BA7">
            <w:pPr>
              <w:jc w:val="center"/>
              <w:rPr>
                <w:rFonts w:eastAsia="Times New Roman"/>
                <w:sz w:val="20"/>
                <w:szCs w:val="20"/>
              </w:rPr>
            </w:pPr>
            <w:r>
              <w:rPr>
                <w:rFonts w:eastAsia="Times New Roman"/>
                <w:sz w:val="20"/>
                <w:szCs w:val="20"/>
              </w:rPr>
              <w:t> </w:t>
            </w:r>
          </w:p>
        </w:tc>
        <w:tc>
          <w:tcPr>
            <w:tcW w:w="2450" w:type="pct"/>
            <w:tcMar>
              <w:top w:w="0" w:type="dxa"/>
              <w:left w:w="47" w:type="dxa"/>
              <w:bottom w:w="0" w:type="dxa"/>
              <w:right w:w="47" w:type="dxa"/>
            </w:tcMar>
            <w:hideMark/>
          </w:tcPr>
          <w:p w:rsidR="00000000" w:rsidRDefault="00B30BA7">
            <w:pPr>
              <w:jc w:val="center"/>
              <w:rPr>
                <w:rFonts w:eastAsia="Times New Roman"/>
                <w:sz w:val="20"/>
                <w:szCs w:val="20"/>
              </w:rPr>
            </w:pPr>
            <w:r>
              <w:rPr>
                <w:rFonts w:eastAsia="Times New Roman"/>
                <w:b/>
                <w:bCs/>
                <w:sz w:val="20"/>
                <w:szCs w:val="20"/>
              </w:rPr>
              <w:t>22-383230</w:t>
            </w:r>
            <w:r>
              <w:rPr>
                <w:rFonts w:eastAsia="Times New Roman"/>
                <w:b/>
                <w:bCs/>
                <w:sz w:val="20"/>
                <w:szCs w:val="20"/>
              </w:rPr>
              <w:t>2</w:t>
            </w:r>
          </w:p>
        </w:tc>
      </w:tr>
      <w:tr w:rsidR="00000000">
        <w:tc>
          <w:tcPr>
            <w:tcW w:w="0" w:type="auto"/>
            <w:tcMar>
              <w:top w:w="0" w:type="dxa"/>
              <w:left w:w="47" w:type="dxa"/>
              <w:bottom w:w="0" w:type="dxa"/>
              <w:right w:w="47" w:type="dxa"/>
            </w:tcMar>
            <w:hideMark/>
          </w:tcPr>
          <w:p w:rsidR="00000000" w:rsidRDefault="00B30BA7">
            <w:pPr>
              <w:pStyle w:val="a3"/>
              <w:spacing w:before="0" w:beforeAutospacing="0" w:after="0" w:afterAutospacing="0"/>
              <w:jc w:val="center"/>
              <w:rPr>
                <w:sz w:val="20"/>
                <w:szCs w:val="20"/>
              </w:rPr>
            </w:pPr>
            <w:r>
              <w:rPr>
                <w:i/>
                <w:iCs/>
                <w:sz w:val="20"/>
                <w:szCs w:val="20"/>
              </w:rPr>
              <w:t>(State or other jurisdiction of</w:t>
            </w:r>
          </w:p>
          <w:p w:rsidR="00000000" w:rsidRDefault="00B30BA7">
            <w:pPr>
              <w:pStyle w:val="a3"/>
              <w:spacing w:before="0" w:beforeAutospacing="0" w:after="0" w:afterAutospacing="0"/>
              <w:jc w:val="center"/>
              <w:rPr>
                <w:sz w:val="20"/>
                <w:szCs w:val="20"/>
              </w:rPr>
            </w:pPr>
            <w:r>
              <w:rPr>
                <w:i/>
                <w:iCs/>
                <w:sz w:val="20"/>
                <w:szCs w:val="20"/>
              </w:rPr>
              <w:t xml:space="preserve">incorporation </w:t>
            </w:r>
            <w:r>
              <w:rPr>
                <w:i/>
                <w:iCs/>
                <w:sz w:val="20"/>
                <w:szCs w:val="20"/>
              </w:rPr>
              <w:t>or organization)</w:t>
            </w:r>
          </w:p>
        </w:tc>
        <w:tc>
          <w:tcPr>
            <w:tcW w:w="0" w:type="auto"/>
            <w:tcMar>
              <w:top w:w="0" w:type="dxa"/>
              <w:left w:w="47" w:type="dxa"/>
              <w:bottom w:w="0" w:type="dxa"/>
              <w:right w:w="47" w:type="dxa"/>
            </w:tcMar>
            <w:hideMark/>
          </w:tcPr>
          <w:p w:rsidR="00000000" w:rsidRDefault="00B30BA7">
            <w:pPr>
              <w:pStyle w:val="a3"/>
              <w:spacing w:before="0" w:beforeAutospacing="0" w:after="0" w:afterAutospacing="0"/>
              <w:jc w:val="center"/>
              <w:rPr>
                <w:sz w:val="20"/>
                <w:szCs w:val="20"/>
              </w:rPr>
            </w:pPr>
            <w:r>
              <w:rPr>
                <w:sz w:val="20"/>
                <w:szCs w:val="20"/>
              </w:rPr>
              <w:t> </w:t>
            </w:r>
          </w:p>
          <w:p w:rsidR="00000000" w:rsidRDefault="00B30BA7">
            <w:pPr>
              <w:pStyle w:val="a3"/>
              <w:spacing w:before="0" w:beforeAutospacing="0" w:after="0" w:afterAutospacing="0"/>
              <w:jc w:val="center"/>
              <w:rPr>
                <w:sz w:val="20"/>
                <w:szCs w:val="20"/>
              </w:rPr>
            </w:pPr>
            <w:r>
              <w:rPr>
                <w:sz w:val="20"/>
                <w:szCs w:val="20"/>
              </w:rPr>
              <w:t> </w:t>
            </w:r>
          </w:p>
        </w:tc>
        <w:tc>
          <w:tcPr>
            <w:tcW w:w="0" w:type="auto"/>
            <w:tcMar>
              <w:top w:w="0" w:type="dxa"/>
              <w:left w:w="47" w:type="dxa"/>
              <w:bottom w:w="0" w:type="dxa"/>
              <w:right w:w="47" w:type="dxa"/>
            </w:tcMar>
            <w:hideMark/>
          </w:tcPr>
          <w:p w:rsidR="00000000" w:rsidRDefault="00B30BA7">
            <w:pPr>
              <w:pStyle w:val="a3"/>
              <w:spacing w:before="0" w:beforeAutospacing="0" w:after="0" w:afterAutospacing="0"/>
              <w:jc w:val="center"/>
              <w:rPr>
                <w:sz w:val="20"/>
                <w:szCs w:val="20"/>
              </w:rPr>
            </w:pPr>
            <w:r>
              <w:rPr>
                <w:i/>
                <w:iCs/>
                <w:sz w:val="20"/>
                <w:szCs w:val="20"/>
              </w:rPr>
              <w:t>(I.R.S. Employer</w:t>
            </w:r>
          </w:p>
          <w:p w:rsidR="00000000" w:rsidRDefault="00B30BA7">
            <w:pPr>
              <w:pStyle w:val="a3"/>
              <w:spacing w:before="0" w:beforeAutospacing="0" w:after="0" w:afterAutospacing="0"/>
              <w:jc w:val="center"/>
              <w:rPr>
                <w:sz w:val="20"/>
                <w:szCs w:val="20"/>
              </w:rPr>
            </w:pPr>
            <w:r>
              <w:rPr>
                <w:i/>
                <w:iCs/>
                <w:sz w:val="20"/>
                <w:szCs w:val="20"/>
              </w:rPr>
              <w:t>Identification No.)</w:t>
            </w:r>
          </w:p>
        </w:tc>
      </w:tr>
    </w:tbl>
    <w:p w:rsidR="00000000" w:rsidRDefault="00B30BA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Mar>
              <w:top w:w="0" w:type="dxa"/>
              <w:left w:w="47" w:type="dxa"/>
              <w:bottom w:w="0" w:type="dxa"/>
              <w:right w:w="47" w:type="dxa"/>
            </w:tcMar>
            <w:hideMark/>
          </w:tcPr>
          <w:p w:rsidR="00000000" w:rsidRDefault="00B30BA7">
            <w:pPr>
              <w:pStyle w:val="a3"/>
              <w:spacing w:before="0" w:beforeAutospacing="0" w:after="0" w:afterAutospacing="0"/>
              <w:jc w:val="center"/>
              <w:rPr>
                <w:sz w:val="20"/>
                <w:szCs w:val="20"/>
              </w:rPr>
            </w:pPr>
            <w:r>
              <w:rPr>
                <w:b/>
                <w:bCs/>
                <w:sz w:val="20"/>
                <w:szCs w:val="20"/>
              </w:rPr>
              <w:t>7 Clyde Roa</w:t>
            </w:r>
            <w:r>
              <w:rPr>
                <w:b/>
                <w:bCs/>
                <w:sz w:val="20"/>
                <w:szCs w:val="20"/>
              </w:rPr>
              <w:t>d</w:t>
            </w:r>
          </w:p>
          <w:p w:rsidR="00000000" w:rsidRDefault="00B30BA7">
            <w:pPr>
              <w:pStyle w:val="a3"/>
              <w:spacing w:before="0" w:beforeAutospacing="0" w:after="0" w:afterAutospacing="0"/>
              <w:jc w:val="center"/>
              <w:rPr>
                <w:sz w:val="20"/>
                <w:szCs w:val="20"/>
              </w:rPr>
            </w:pPr>
            <w:r>
              <w:rPr>
                <w:b/>
                <w:bCs/>
                <w:sz w:val="20"/>
                <w:szCs w:val="20"/>
              </w:rPr>
              <w:t>Somerse</w:t>
            </w:r>
            <w:r>
              <w:rPr>
                <w:b/>
                <w:bCs/>
                <w:sz w:val="20"/>
                <w:szCs w:val="20"/>
              </w:rPr>
              <w:t>t</w:t>
            </w:r>
            <w:r>
              <w:rPr>
                <w:b/>
                <w:bCs/>
                <w:sz w:val="20"/>
                <w:szCs w:val="20"/>
              </w:rPr>
              <w:t>,</w:t>
            </w:r>
            <w:r>
              <w:rPr>
                <w:b/>
                <w:bCs/>
                <w:sz w:val="20"/>
                <w:szCs w:val="20"/>
              </w:rPr>
              <w:t xml:space="preserve"> </w:t>
            </w:r>
            <w:r>
              <w:rPr>
                <w:b/>
                <w:bCs/>
                <w:sz w:val="20"/>
                <w:szCs w:val="20"/>
              </w:rPr>
              <w:t>New Jerse</w:t>
            </w:r>
            <w:r>
              <w:rPr>
                <w:b/>
                <w:bCs/>
                <w:sz w:val="20"/>
                <w:szCs w:val="20"/>
              </w:rPr>
              <w:t>y</w:t>
            </w:r>
          </w:p>
        </w:tc>
        <w:tc>
          <w:tcPr>
            <w:tcW w:w="100" w:type="pct"/>
            <w:tcMar>
              <w:top w:w="0" w:type="dxa"/>
              <w:left w:w="47" w:type="dxa"/>
              <w:bottom w:w="0" w:type="dxa"/>
              <w:right w:w="47" w:type="dxa"/>
            </w:tcMar>
            <w:hideMark/>
          </w:tcPr>
          <w:p w:rsidR="00000000" w:rsidRDefault="00B30BA7">
            <w:pPr>
              <w:jc w:val="center"/>
              <w:rPr>
                <w:rFonts w:eastAsia="Times New Roman"/>
                <w:sz w:val="20"/>
                <w:szCs w:val="20"/>
              </w:rPr>
            </w:pPr>
            <w:r>
              <w:rPr>
                <w:rFonts w:eastAsia="Times New Roman"/>
                <w:sz w:val="20"/>
                <w:szCs w:val="20"/>
              </w:rPr>
              <w:t> </w:t>
            </w:r>
          </w:p>
        </w:tc>
        <w:tc>
          <w:tcPr>
            <w:tcW w:w="2450" w:type="pct"/>
            <w:tcMar>
              <w:top w:w="0" w:type="dxa"/>
              <w:left w:w="47" w:type="dxa"/>
              <w:bottom w:w="0" w:type="dxa"/>
              <w:right w:w="47" w:type="dxa"/>
            </w:tcMar>
            <w:hideMark/>
          </w:tcPr>
          <w:p w:rsidR="00000000" w:rsidRDefault="00B30BA7">
            <w:pPr>
              <w:pStyle w:val="a3"/>
              <w:spacing w:before="0" w:beforeAutospacing="0" w:after="0" w:afterAutospacing="0"/>
              <w:jc w:val="center"/>
              <w:rPr>
                <w:sz w:val="20"/>
                <w:szCs w:val="20"/>
              </w:rPr>
            </w:pPr>
            <w:r>
              <w:rPr>
                <w:b/>
                <w:bCs/>
                <w:sz w:val="20"/>
                <w:szCs w:val="20"/>
              </w:rPr>
              <w:t> </w:t>
            </w:r>
          </w:p>
          <w:p w:rsidR="00000000" w:rsidRDefault="00B30BA7">
            <w:pPr>
              <w:pStyle w:val="a3"/>
              <w:spacing w:before="0" w:beforeAutospacing="0" w:after="0" w:afterAutospacing="0"/>
              <w:jc w:val="center"/>
              <w:rPr>
                <w:sz w:val="20"/>
                <w:szCs w:val="20"/>
              </w:rPr>
            </w:pPr>
            <w:r>
              <w:rPr>
                <w:b/>
                <w:bCs/>
                <w:sz w:val="20"/>
                <w:szCs w:val="20"/>
              </w:rPr>
              <w:t>0887</w:t>
            </w:r>
            <w:r>
              <w:rPr>
                <w:b/>
                <w:bCs/>
                <w:sz w:val="20"/>
                <w:szCs w:val="20"/>
              </w:rPr>
              <w:t>3</w:t>
            </w:r>
          </w:p>
        </w:tc>
      </w:tr>
      <w:tr w:rsidR="00000000">
        <w:tc>
          <w:tcPr>
            <w:tcW w:w="0" w:type="auto"/>
            <w:tcMar>
              <w:top w:w="0" w:type="dxa"/>
              <w:left w:w="47" w:type="dxa"/>
              <w:bottom w:w="0" w:type="dxa"/>
              <w:right w:w="47" w:type="dxa"/>
            </w:tcMar>
            <w:hideMark/>
          </w:tcPr>
          <w:p w:rsidR="00000000" w:rsidRDefault="00B30BA7">
            <w:pPr>
              <w:jc w:val="center"/>
              <w:rPr>
                <w:rFonts w:eastAsia="Times New Roman"/>
                <w:sz w:val="20"/>
                <w:szCs w:val="20"/>
              </w:rPr>
            </w:pPr>
            <w:r>
              <w:rPr>
                <w:rFonts w:eastAsia="Times New Roman"/>
                <w:i/>
                <w:iCs/>
                <w:sz w:val="20"/>
                <w:szCs w:val="20"/>
              </w:rPr>
              <w:t>(Address of principal executive offices)</w:t>
            </w:r>
          </w:p>
        </w:tc>
        <w:tc>
          <w:tcPr>
            <w:tcW w:w="0" w:type="auto"/>
            <w:tcMar>
              <w:top w:w="0" w:type="dxa"/>
              <w:left w:w="47" w:type="dxa"/>
              <w:bottom w:w="0" w:type="dxa"/>
              <w:right w:w="47" w:type="dxa"/>
            </w:tcMar>
            <w:hideMark/>
          </w:tcPr>
          <w:p w:rsidR="00000000" w:rsidRDefault="00B30BA7">
            <w:pPr>
              <w:pStyle w:val="a3"/>
              <w:spacing w:before="0" w:beforeAutospacing="0" w:after="0" w:afterAutospacing="0"/>
              <w:jc w:val="center"/>
              <w:rPr>
                <w:sz w:val="20"/>
                <w:szCs w:val="20"/>
              </w:rPr>
            </w:pPr>
            <w:r>
              <w:rPr>
                <w:sz w:val="20"/>
                <w:szCs w:val="20"/>
              </w:rPr>
              <w:t> </w:t>
            </w:r>
          </w:p>
          <w:p w:rsidR="00000000" w:rsidRDefault="00B30BA7">
            <w:pPr>
              <w:pStyle w:val="a3"/>
              <w:spacing w:before="0" w:beforeAutospacing="0" w:after="0" w:afterAutospacing="0"/>
              <w:jc w:val="center"/>
              <w:rPr>
                <w:sz w:val="20"/>
                <w:szCs w:val="20"/>
              </w:rPr>
            </w:pPr>
            <w:r>
              <w:rPr>
                <w:sz w:val="20"/>
                <w:szCs w:val="20"/>
              </w:rPr>
              <w:t> </w:t>
            </w:r>
          </w:p>
        </w:tc>
        <w:tc>
          <w:tcPr>
            <w:tcW w:w="0" w:type="auto"/>
            <w:tcMar>
              <w:top w:w="0" w:type="dxa"/>
              <w:left w:w="47" w:type="dxa"/>
              <w:bottom w:w="0" w:type="dxa"/>
              <w:right w:w="47" w:type="dxa"/>
            </w:tcMar>
            <w:hideMark/>
          </w:tcPr>
          <w:p w:rsidR="00000000" w:rsidRDefault="00B30BA7">
            <w:pPr>
              <w:jc w:val="center"/>
              <w:rPr>
                <w:rFonts w:eastAsia="Times New Roman"/>
                <w:sz w:val="20"/>
                <w:szCs w:val="20"/>
              </w:rPr>
            </w:pPr>
            <w:r>
              <w:rPr>
                <w:rFonts w:eastAsia="Times New Roman"/>
                <w:i/>
                <w:iCs/>
                <w:sz w:val="20"/>
                <w:szCs w:val="20"/>
              </w:rPr>
              <w:t>(Zip Code)</w:t>
            </w:r>
          </w:p>
        </w:tc>
      </w:tr>
    </w:tbl>
    <w:p w:rsidR="00000000" w:rsidRDefault="00B30BA7">
      <w:pPr>
        <w:pStyle w:val="a3"/>
        <w:spacing w:before="0" w:beforeAutospacing="0" w:after="0" w:afterAutospacing="0"/>
        <w:jc w:val="center"/>
        <w:rPr>
          <w:sz w:val="20"/>
          <w:szCs w:val="20"/>
        </w:rPr>
      </w:pPr>
      <w:r>
        <w:rPr>
          <w:sz w:val="20"/>
          <w:szCs w:val="20"/>
        </w:rPr>
        <w:t> </w:t>
      </w:r>
    </w:p>
    <w:p w:rsidR="00000000" w:rsidRDefault="00B30BA7">
      <w:pPr>
        <w:pStyle w:val="a3"/>
        <w:spacing w:before="0" w:beforeAutospacing="0" w:after="0" w:afterAutospacing="0"/>
        <w:jc w:val="center"/>
        <w:rPr>
          <w:sz w:val="20"/>
          <w:szCs w:val="20"/>
        </w:rPr>
      </w:pPr>
      <w:r>
        <w:rPr>
          <w:b/>
          <w:bCs/>
          <w:sz w:val="20"/>
          <w:szCs w:val="20"/>
        </w:rPr>
        <w:t>(732</w:t>
      </w:r>
      <w:r>
        <w:rPr>
          <w:b/>
          <w:bCs/>
          <w:sz w:val="20"/>
          <w:szCs w:val="20"/>
        </w:rPr>
        <w:t>)</w:t>
      </w:r>
      <w:r>
        <w:rPr>
          <w:b/>
          <w:bCs/>
          <w:sz w:val="20"/>
          <w:szCs w:val="20"/>
        </w:rPr>
        <w:t xml:space="preserve"> </w:t>
      </w:r>
      <w:r>
        <w:rPr>
          <w:b/>
          <w:bCs/>
          <w:sz w:val="20"/>
          <w:szCs w:val="20"/>
        </w:rPr>
        <w:t>873-513</w:t>
      </w:r>
      <w:r>
        <w:rPr>
          <w:b/>
          <w:bCs/>
          <w:sz w:val="20"/>
          <w:szCs w:val="20"/>
        </w:rPr>
        <w:t>3</w:t>
      </w:r>
    </w:p>
    <w:p w:rsidR="00000000" w:rsidRDefault="00B30BA7">
      <w:pPr>
        <w:pStyle w:val="a3"/>
        <w:spacing w:before="0" w:beforeAutospacing="0" w:after="0" w:afterAutospacing="0"/>
        <w:jc w:val="center"/>
        <w:rPr>
          <w:sz w:val="20"/>
          <w:szCs w:val="20"/>
        </w:rPr>
      </w:pPr>
      <w:r>
        <w:rPr>
          <w:i/>
          <w:iCs/>
          <w:sz w:val="20"/>
          <w:szCs w:val="20"/>
        </w:rPr>
        <w:t xml:space="preserve">(Registrant’s </w:t>
      </w:r>
      <w:r>
        <w:rPr>
          <w:i/>
          <w:iCs/>
          <w:sz w:val="20"/>
          <w:szCs w:val="20"/>
        </w:rPr>
        <w:t>telephone number, including area code)</w:t>
      </w:r>
    </w:p>
    <w:p w:rsidR="00000000" w:rsidRDefault="00B30BA7">
      <w:pPr>
        <w:pStyle w:val="a3"/>
        <w:spacing w:before="0" w:beforeAutospacing="0" w:after="0" w:afterAutospacing="0"/>
        <w:jc w:val="center"/>
        <w:rPr>
          <w:sz w:val="20"/>
          <w:szCs w:val="20"/>
        </w:rPr>
      </w:pPr>
      <w:r>
        <w:rPr>
          <w:i/>
          <w:iCs/>
          <w:sz w:val="20"/>
          <w:szCs w:val="20"/>
        </w:rPr>
        <w:t> </w:t>
      </w:r>
    </w:p>
    <w:p w:rsidR="00000000" w:rsidRDefault="00B30BA7">
      <w:pPr>
        <w:pStyle w:val="a3"/>
        <w:spacing w:before="0" w:beforeAutospacing="0" w:after="0" w:afterAutospacing="0"/>
        <w:jc w:val="center"/>
        <w:rPr>
          <w:sz w:val="20"/>
          <w:szCs w:val="20"/>
        </w:rPr>
      </w:pPr>
      <w:r>
        <w:rPr>
          <w:sz w:val="20"/>
          <w:szCs w:val="20"/>
        </w:rPr>
        <w:t>Securities registered pursuant to Section 12(b) of the Act:</w:t>
      </w:r>
    </w:p>
    <w:p w:rsidR="00000000" w:rsidRDefault="00B30BA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166"/>
        <w:gridCol w:w="1661"/>
        <w:gridCol w:w="166"/>
        <w:gridCol w:w="3156"/>
      </w:tblGrid>
      <w:tr w:rsidR="00000000">
        <w:tc>
          <w:tcPr>
            <w:tcW w:w="1900" w:type="pct"/>
            <w:tcBorders>
              <w:bottom w:val="single" w:sz="12" w:space="0" w:color="000000"/>
            </w:tcBorders>
            <w:vAlign w:val="center"/>
            <w:hideMark/>
          </w:tcPr>
          <w:p w:rsidR="00000000" w:rsidRDefault="00B30BA7">
            <w:pPr>
              <w:jc w:val="center"/>
              <w:rPr>
                <w:rFonts w:eastAsia="Times New Roman"/>
                <w:sz w:val="20"/>
                <w:szCs w:val="20"/>
              </w:rPr>
            </w:pPr>
            <w:r>
              <w:rPr>
                <w:rFonts w:eastAsia="Times New Roman"/>
                <w:sz w:val="20"/>
                <w:szCs w:val="20"/>
              </w:rPr>
              <w:t>Title of each class</w:t>
            </w:r>
          </w:p>
        </w:tc>
        <w:tc>
          <w:tcPr>
            <w:tcW w:w="100" w:type="pct"/>
            <w:vAlign w:val="center"/>
            <w:hideMark/>
          </w:tcPr>
          <w:p w:rsidR="00000000" w:rsidRDefault="00B30BA7">
            <w:pPr>
              <w:rPr>
                <w:rFonts w:eastAsia="Times New Roman"/>
                <w:sz w:val="20"/>
                <w:szCs w:val="20"/>
              </w:rPr>
            </w:pPr>
            <w:r>
              <w:rPr>
                <w:rFonts w:eastAsia="Times New Roman"/>
                <w:sz w:val="20"/>
                <w:szCs w:val="20"/>
              </w:rPr>
              <w:t> </w:t>
            </w:r>
          </w:p>
        </w:tc>
        <w:tc>
          <w:tcPr>
            <w:tcW w:w="1000" w:type="pct"/>
            <w:tcBorders>
              <w:bottom w:val="single" w:sz="12" w:space="0" w:color="000000"/>
            </w:tcBorders>
            <w:vAlign w:val="center"/>
            <w:hideMark/>
          </w:tcPr>
          <w:p w:rsidR="00000000" w:rsidRDefault="00B30BA7">
            <w:pPr>
              <w:jc w:val="center"/>
              <w:rPr>
                <w:rFonts w:eastAsia="Times New Roman"/>
                <w:sz w:val="20"/>
                <w:szCs w:val="20"/>
              </w:rPr>
            </w:pPr>
            <w:r>
              <w:rPr>
                <w:rFonts w:eastAsia="Times New Roman"/>
                <w:sz w:val="20"/>
                <w:szCs w:val="20"/>
              </w:rPr>
              <w:t>Trading Symbol(s)</w:t>
            </w:r>
          </w:p>
        </w:tc>
        <w:tc>
          <w:tcPr>
            <w:tcW w:w="100" w:type="pct"/>
            <w:vAlign w:val="center"/>
            <w:hideMark/>
          </w:tcPr>
          <w:p w:rsidR="00000000" w:rsidRDefault="00B30BA7">
            <w:pPr>
              <w:rPr>
                <w:rFonts w:eastAsia="Times New Roman"/>
                <w:sz w:val="20"/>
                <w:szCs w:val="20"/>
              </w:rPr>
            </w:pPr>
            <w:r>
              <w:rPr>
                <w:rFonts w:eastAsia="Times New Roman"/>
                <w:sz w:val="20"/>
                <w:szCs w:val="20"/>
              </w:rPr>
              <w:t> </w:t>
            </w:r>
          </w:p>
        </w:tc>
        <w:tc>
          <w:tcPr>
            <w:tcW w:w="1900" w:type="pct"/>
            <w:tcBorders>
              <w:bottom w:val="single" w:sz="12" w:space="0" w:color="000000"/>
            </w:tcBorders>
            <w:vAlign w:val="center"/>
            <w:hideMark/>
          </w:tcPr>
          <w:p w:rsidR="00000000" w:rsidRDefault="00B30BA7">
            <w:pPr>
              <w:jc w:val="center"/>
              <w:rPr>
                <w:rFonts w:eastAsia="Times New Roman"/>
                <w:sz w:val="20"/>
                <w:szCs w:val="20"/>
              </w:rPr>
            </w:pPr>
            <w:r>
              <w:rPr>
                <w:rFonts w:eastAsia="Times New Roman"/>
                <w:sz w:val="20"/>
                <w:szCs w:val="20"/>
              </w:rPr>
              <w:t>Name of each exchange on which registered</w:t>
            </w:r>
          </w:p>
        </w:tc>
      </w:tr>
      <w:tr w:rsidR="00000000">
        <w:tc>
          <w:tcPr>
            <w:tcW w:w="0" w:type="auto"/>
            <w:vAlign w:val="center"/>
            <w:hideMark/>
          </w:tcPr>
          <w:p w:rsidR="00000000" w:rsidRDefault="00B30BA7">
            <w:pPr>
              <w:jc w:val="center"/>
              <w:rPr>
                <w:rFonts w:eastAsia="Times New Roman"/>
                <w:sz w:val="20"/>
                <w:szCs w:val="20"/>
              </w:rPr>
            </w:pPr>
            <w:r>
              <w:rPr>
                <w:rFonts w:eastAsia="Times New Roman"/>
                <w:sz w:val="20"/>
                <w:szCs w:val="20"/>
              </w:rPr>
              <w:t>Common Stock, par value $0.001 per shar</w:t>
            </w:r>
            <w:r>
              <w:rPr>
                <w:rFonts w:eastAsia="Times New Roman"/>
                <w:sz w:val="20"/>
                <w:szCs w:val="20"/>
              </w:rPr>
              <w:t>e</w:t>
            </w:r>
          </w:p>
        </w:tc>
        <w:tc>
          <w:tcPr>
            <w:tcW w:w="0" w:type="auto"/>
            <w:vAlign w:val="center"/>
            <w:hideMark/>
          </w:tcPr>
          <w:p w:rsidR="00000000" w:rsidRDefault="00B30BA7">
            <w:pPr>
              <w:rPr>
                <w:rFonts w:eastAsia="Times New Roman"/>
                <w:sz w:val="20"/>
                <w:szCs w:val="20"/>
              </w:rPr>
            </w:pPr>
            <w:r>
              <w:rPr>
                <w:rFonts w:eastAsia="Times New Roman"/>
                <w:sz w:val="20"/>
                <w:szCs w:val="20"/>
              </w:rPr>
              <w:t> </w:t>
            </w:r>
          </w:p>
        </w:tc>
        <w:tc>
          <w:tcPr>
            <w:tcW w:w="0" w:type="auto"/>
            <w:vAlign w:val="center"/>
            <w:hideMark/>
          </w:tcPr>
          <w:p w:rsidR="00000000" w:rsidRDefault="00B30BA7">
            <w:pPr>
              <w:jc w:val="center"/>
              <w:rPr>
                <w:rFonts w:eastAsia="Times New Roman"/>
                <w:sz w:val="20"/>
                <w:szCs w:val="20"/>
              </w:rPr>
            </w:pPr>
            <w:r>
              <w:rPr>
                <w:rFonts w:eastAsia="Times New Roman"/>
                <w:sz w:val="20"/>
                <w:szCs w:val="20"/>
              </w:rPr>
              <w:t>MTB</w:t>
            </w:r>
            <w:r>
              <w:rPr>
                <w:rFonts w:eastAsia="Times New Roman"/>
                <w:sz w:val="20"/>
                <w:szCs w:val="20"/>
              </w:rPr>
              <w:t>C</w:t>
            </w:r>
          </w:p>
        </w:tc>
        <w:tc>
          <w:tcPr>
            <w:tcW w:w="0" w:type="auto"/>
            <w:vAlign w:val="center"/>
            <w:hideMark/>
          </w:tcPr>
          <w:p w:rsidR="00000000" w:rsidRDefault="00B30BA7">
            <w:pPr>
              <w:rPr>
                <w:rFonts w:eastAsia="Times New Roman"/>
                <w:sz w:val="20"/>
                <w:szCs w:val="20"/>
              </w:rPr>
            </w:pPr>
            <w:r>
              <w:rPr>
                <w:rFonts w:eastAsia="Times New Roman"/>
                <w:sz w:val="20"/>
                <w:szCs w:val="20"/>
              </w:rPr>
              <w:t> </w:t>
            </w:r>
          </w:p>
        </w:tc>
        <w:tc>
          <w:tcPr>
            <w:tcW w:w="0" w:type="auto"/>
            <w:vAlign w:val="center"/>
            <w:hideMark/>
          </w:tcPr>
          <w:p w:rsidR="00000000" w:rsidRDefault="00B30BA7">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w:t>
            </w:r>
            <w:r>
              <w:rPr>
                <w:rFonts w:eastAsia="Times New Roman"/>
                <w:sz w:val="20"/>
                <w:szCs w:val="20"/>
              </w:rPr>
              <w:t>Global Market</w:t>
            </w:r>
          </w:p>
        </w:tc>
      </w:tr>
      <w:tr w:rsidR="00000000">
        <w:tc>
          <w:tcPr>
            <w:tcW w:w="0" w:type="auto"/>
            <w:vAlign w:val="center"/>
            <w:hideMark/>
          </w:tcPr>
          <w:p w:rsidR="00000000" w:rsidRDefault="00B30BA7">
            <w:pPr>
              <w:jc w:val="center"/>
              <w:rPr>
                <w:rFonts w:eastAsia="Times New Roman"/>
                <w:sz w:val="20"/>
                <w:szCs w:val="20"/>
              </w:rPr>
            </w:pPr>
            <w:r>
              <w:rPr>
                <w:rFonts w:eastAsia="Times New Roman"/>
                <w:sz w:val="20"/>
                <w:szCs w:val="20"/>
              </w:rPr>
              <w:t>11% Series A Cumulative Redeemable Perpetual Preferred Stock, par value $0.001 per shar</w:t>
            </w:r>
            <w:r>
              <w:rPr>
                <w:rFonts w:eastAsia="Times New Roman"/>
                <w:sz w:val="20"/>
                <w:szCs w:val="20"/>
              </w:rPr>
              <w:t>e</w:t>
            </w:r>
          </w:p>
        </w:tc>
        <w:tc>
          <w:tcPr>
            <w:tcW w:w="0" w:type="auto"/>
            <w:vAlign w:val="center"/>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MTBC</w:t>
            </w:r>
            <w:r>
              <w:rPr>
                <w:rFonts w:eastAsia="Times New Roman"/>
                <w:sz w:val="20"/>
                <w:szCs w:val="20"/>
              </w:rPr>
              <w:t>P</w:t>
            </w:r>
          </w:p>
        </w:tc>
        <w:tc>
          <w:tcPr>
            <w:tcW w:w="0" w:type="auto"/>
            <w:vAlign w:val="center"/>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Global Market</w:t>
            </w:r>
          </w:p>
        </w:tc>
      </w:tr>
      <w:tr w:rsidR="00000000">
        <w:tc>
          <w:tcPr>
            <w:tcW w:w="0" w:type="auto"/>
            <w:vAlign w:val="center"/>
            <w:hideMark/>
          </w:tcPr>
          <w:p w:rsidR="00000000" w:rsidRDefault="00B30BA7">
            <w:pPr>
              <w:jc w:val="center"/>
              <w:rPr>
                <w:rFonts w:eastAsia="Times New Roman"/>
                <w:sz w:val="20"/>
                <w:szCs w:val="20"/>
              </w:rPr>
            </w:pPr>
            <w:r>
              <w:rPr>
                <w:rFonts w:eastAsia="Times New Roman"/>
                <w:sz w:val="20"/>
                <w:szCs w:val="20"/>
              </w:rPr>
              <w:t>8.75% Series B Cumulative Redeemable Perpetual Preferred Stock, par value $0.001 per shar</w:t>
            </w:r>
            <w:r>
              <w:rPr>
                <w:rFonts w:eastAsia="Times New Roman"/>
                <w:sz w:val="20"/>
                <w:szCs w:val="20"/>
              </w:rPr>
              <w:t>e</w:t>
            </w:r>
          </w:p>
        </w:tc>
        <w:tc>
          <w:tcPr>
            <w:tcW w:w="0" w:type="auto"/>
            <w:vAlign w:val="center"/>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MTBC</w:t>
            </w:r>
            <w:r>
              <w:rPr>
                <w:rFonts w:eastAsia="Times New Roman"/>
                <w:sz w:val="20"/>
                <w:szCs w:val="20"/>
              </w:rPr>
              <w:t>O</w:t>
            </w:r>
          </w:p>
        </w:tc>
        <w:tc>
          <w:tcPr>
            <w:tcW w:w="0" w:type="auto"/>
            <w:vAlign w:val="center"/>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Global Marke</w:t>
            </w:r>
            <w:r>
              <w:rPr>
                <w:rFonts w:eastAsia="Times New Roman"/>
                <w:sz w:val="20"/>
                <w:szCs w:val="20"/>
              </w:rPr>
              <w:t>t</w:t>
            </w:r>
          </w:p>
        </w:tc>
      </w:tr>
    </w:tbl>
    <w:p w:rsidR="00000000" w:rsidRDefault="00B30BA7">
      <w:pPr>
        <w:pStyle w:val="a3"/>
        <w:spacing w:before="0" w:beforeAutospacing="0" w:after="0" w:afterAutospacing="0"/>
        <w:jc w:val="center"/>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Securities registered pursuant to Section 12(g) of the Act: None</w:t>
      </w:r>
    </w:p>
    <w:p w:rsidR="00000000" w:rsidRDefault="00B30BA7">
      <w:pPr>
        <w:pStyle w:val="a3"/>
        <w:spacing w:before="0" w:beforeAutospacing="0" w:after="0" w:afterAutospacing="0"/>
        <w:jc w:val="center"/>
        <w:rPr>
          <w:sz w:val="20"/>
          <w:szCs w:val="20"/>
        </w:rPr>
      </w:pPr>
      <w:r>
        <w:rPr>
          <w:sz w:val="20"/>
          <w:szCs w:val="20"/>
        </w:rPr>
        <w:lastRenderedPageBreak/>
        <w:t> </w:t>
      </w:r>
    </w:p>
    <w:p w:rsidR="00000000" w:rsidRDefault="00B30BA7">
      <w:pPr>
        <w:pStyle w:val="a3"/>
        <w:spacing w:before="0" w:beforeAutospacing="0" w:after="0" w:afterAutospacing="0"/>
        <w:jc w:val="both"/>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Indicate by check mark if the registrant is not req</w:t>
      </w:r>
      <w:r>
        <w:rPr>
          <w:sz w:val="20"/>
          <w:szCs w:val="20"/>
        </w:rPr>
        <w:t xml:space="preserve">uired to file reports pursuant to Section 13 or Section 15(d) of the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B30BA7">
      <w:pPr>
        <w:pStyle w:val="a3"/>
        <w:spacing w:before="0" w:beforeAutospacing="0" w:after="0" w:afterAutospacing="0"/>
        <w:ind w:firstLine="275"/>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Indicate by check mark whether the registrant has submitted electronically every Interactive Data File required to be submitted pursuant to Rule 405 of Regulation </w:t>
      </w:r>
      <w:r>
        <w:rPr>
          <w:sz w:val="20"/>
          <w:szCs w:val="20"/>
        </w:rPr>
        <w:t>S-T (§232.405 of this chapter)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B30BA7">
      <w:pPr>
        <w:pStyle w:val="a3"/>
        <w:spacing w:before="0" w:beforeAutospacing="0" w:after="0" w:afterAutospacing="0"/>
        <w:ind w:firstLine="275"/>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Indicate by check mark whether the registrant is a large accelerated filer, an accelerated filer,</w:t>
      </w:r>
      <w:r>
        <w:rPr>
          <w:sz w:val="20"/>
          <w:szCs w:val="20"/>
        </w:rPr>
        <w:t xml:space="preserve"> a non-accelerated filer, a smaller reporting company, or an emerging growth company. See the definitions of “large accelerated filer,” “accelerated filer,” “smaller reporting company,” and “emerging growth company” in Rule 12b-2 of the Exchange Act.</w:t>
      </w:r>
    </w:p>
    <w:p w:rsidR="00000000" w:rsidRDefault="00B30BA7">
      <w:pPr>
        <w:pStyle w:val="a3"/>
        <w:spacing w:before="0" w:beforeAutospacing="0" w:after="0" w:afterAutospacing="0"/>
        <w:ind w:firstLine="27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14"/>
        <w:gridCol w:w="2492"/>
      </w:tblGrid>
      <w:tr w:rsidR="00000000">
        <w:tc>
          <w:tcPr>
            <w:tcW w:w="3500" w:type="pct"/>
            <w:hideMark/>
          </w:tcPr>
          <w:p w:rsidR="00000000" w:rsidRDefault="00B30BA7">
            <w:pPr>
              <w:rPr>
                <w:rFonts w:eastAsia="Times New Roman"/>
                <w:sz w:val="20"/>
                <w:szCs w:val="20"/>
              </w:rPr>
            </w:pPr>
            <w:r>
              <w:rPr>
                <w:rFonts w:eastAsia="Times New Roman"/>
                <w:sz w:val="20"/>
                <w:szCs w:val="20"/>
              </w:rPr>
              <w:t>Lar</w:t>
            </w:r>
            <w:r>
              <w:rPr>
                <w:rFonts w:eastAsia="Times New Roman"/>
                <w:sz w:val="20"/>
                <w:szCs w:val="20"/>
              </w:rPr>
              <w:t xml:space="preserve">ge accelerated filer </w:t>
            </w:r>
            <w:r>
              <w:rPr>
                <w:rFonts w:ascii="Segoe UI Symbol" w:eastAsia="Times New Roman" w:hAnsi="Segoe UI Symbol" w:cs="Segoe UI Symbol"/>
                <w:b/>
                <w:bCs/>
                <w:sz w:val="20"/>
                <w:szCs w:val="20"/>
              </w:rPr>
              <w:t>☐</w:t>
            </w:r>
          </w:p>
        </w:tc>
        <w:tc>
          <w:tcPr>
            <w:tcW w:w="1500" w:type="pct"/>
            <w:hideMark/>
          </w:tcPr>
          <w:p w:rsidR="00000000" w:rsidRDefault="00B30BA7">
            <w:pPr>
              <w:rPr>
                <w:rFonts w:eastAsia="Times New Roman"/>
                <w:sz w:val="20"/>
                <w:szCs w:val="20"/>
              </w:rPr>
            </w:pPr>
            <w:r>
              <w:rPr>
                <w:rFonts w:eastAsia="Times New Roman"/>
                <w:sz w:val="20"/>
                <w:szCs w:val="20"/>
              </w:rPr>
              <w:t>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b/>
                <w:bCs/>
                <w:sz w:val="20"/>
                <w:szCs w:val="20"/>
              </w:rPr>
              <w:t>☒</w:t>
            </w:r>
          </w:p>
        </w:tc>
      </w:tr>
      <w:tr w:rsidR="00000000">
        <w:tc>
          <w:tcPr>
            <w:tcW w:w="0" w:type="auto"/>
            <w:hideMark/>
          </w:tcPr>
          <w:p w:rsidR="00000000" w:rsidRDefault="00B30BA7">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b/>
                <w:bCs/>
                <w:sz w:val="20"/>
                <w:szCs w:val="20"/>
              </w:rPr>
              <w:t>☐</w:t>
            </w:r>
          </w:p>
        </w:tc>
        <w:tc>
          <w:tcPr>
            <w:tcW w:w="0" w:type="auto"/>
            <w:hideMark/>
          </w:tcPr>
          <w:p w:rsidR="00000000" w:rsidRDefault="00B30BA7">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b/>
                <w:bCs/>
                <w:sz w:val="20"/>
                <w:szCs w:val="20"/>
              </w:rPr>
              <w:t>☒</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b/>
                <w:bCs/>
                <w:sz w:val="20"/>
                <w:szCs w:val="20"/>
              </w:rPr>
              <w:t>☐</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w:t>
      </w:r>
      <w:r>
        <w:rPr>
          <w:sz w:val="20"/>
          <w:szCs w:val="20"/>
        </w:rPr>
        <w:t xml:space="preserve">r complying with any new or revised financial accounting standards provided pursuant to Section 13(a) of the Exchange Act. </w:t>
      </w:r>
      <w:r>
        <w:rPr>
          <w:rFonts w:ascii="Segoe UI Symbol" w:hAnsi="Segoe UI Symbol" w:cs="Segoe UI Symbol"/>
          <w:sz w:val="20"/>
          <w:szCs w:val="20"/>
        </w:rPr>
        <w:t>☐</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has filed a report on and attestation to its management’s assessment of the effectiveness of its internal control over financial reporting under Section 404(b) of the Sarbanes-Oxley Act (15 U.S.C. 7262(b)) by the regist</w:t>
      </w:r>
      <w:r>
        <w:rPr>
          <w:sz w:val="20"/>
          <w:szCs w:val="20"/>
        </w:rPr>
        <w:t>ered public accounting firm that prepared or issued its audit report.</w:t>
      </w:r>
      <w:r>
        <w:rPr>
          <w:sz w:val="20"/>
          <w:szCs w:val="20"/>
        </w:rPr>
        <w:t xml:space="preserve"> </w:t>
      </w:r>
      <w:r>
        <w:rPr>
          <w:rFonts w:ascii="Segoe UI Symbol" w:hAnsi="Segoe UI Symbol" w:cs="Segoe UI Symbol"/>
          <w:b/>
          <w:bCs/>
          <w:sz w:val="20"/>
          <w:szCs w:val="20"/>
        </w:rPr>
        <w:t>☒</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Indicate by check mark whether the registrant is a shell company (as defined in Rule 12b-2 of the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B30BA7">
      <w:pPr>
        <w:pStyle w:val="a3"/>
        <w:spacing w:before="0" w:beforeAutospacing="0" w:after="0" w:afterAutospacing="0"/>
        <w:ind w:firstLine="27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As of June 30, 2021, the aggregate market value of the registrant</w:t>
      </w:r>
      <w:r>
        <w:rPr>
          <w:sz w:val="20"/>
          <w:szCs w:val="20"/>
        </w:rPr>
        <w:t xml:space="preserve">’s common stock held by non-affiliates of the registrant was approximately </w:t>
      </w:r>
      <w:r>
        <w:rPr>
          <w:color w:val="000000"/>
          <w:sz w:val="20"/>
          <w:szCs w:val="20"/>
        </w:rPr>
        <w:t>$</w:t>
      </w:r>
      <w:r>
        <w:rPr>
          <w:color w:val="000000"/>
          <w:sz w:val="20"/>
          <w:szCs w:val="20"/>
        </w:rPr>
        <w:t>78.</w:t>
      </w:r>
      <w:r>
        <w:rPr>
          <w:color w:val="000000"/>
          <w:sz w:val="20"/>
          <w:szCs w:val="20"/>
        </w:rPr>
        <w:t>9</w:t>
      </w:r>
      <w:r>
        <w:rPr>
          <w:color w:val="000000"/>
          <w:sz w:val="20"/>
          <w:szCs w:val="20"/>
        </w:rPr>
        <w:t xml:space="preserve"> million</w:t>
      </w:r>
      <w:r>
        <w:rPr>
          <w:sz w:val="20"/>
          <w:szCs w:val="20"/>
        </w:rPr>
        <w:t>, based on the last reported trading price of the common stock on that date, as reported on the Nasdaq Global Market.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At </w:t>
      </w:r>
      <w:r>
        <w:rPr>
          <w:color w:val="000000"/>
          <w:sz w:val="20"/>
          <w:szCs w:val="20"/>
        </w:rPr>
        <w:t>February 28, 2022</w:t>
      </w:r>
      <w:r>
        <w:rPr>
          <w:sz w:val="20"/>
          <w:szCs w:val="20"/>
        </w:rPr>
        <w:t xml:space="preserve">, the </w:t>
      </w:r>
      <w:r>
        <w:rPr>
          <w:sz w:val="20"/>
          <w:szCs w:val="20"/>
        </w:rPr>
        <w:t>registrant had</w:t>
      </w:r>
      <w:r>
        <w:rPr>
          <w:sz w:val="20"/>
          <w:szCs w:val="20"/>
        </w:rPr>
        <w:t xml:space="preserve"> </w:t>
      </w:r>
      <w:r>
        <w:rPr>
          <w:sz w:val="20"/>
          <w:szCs w:val="20"/>
        </w:rPr>
        <w:t>15,036,41</w:t>
      </w:r>
      <w:r>
        <w:rPr>
          <w:sz w:val="20"/>
          <w:szCs w:val="20"/>
        </w:rPr>
        <w:t>5</w:t>
      </w:r>
      <w:r>
        <w:rPr>
          <w:sz w:val="20"/>
          <w:szCs w:val="20"/>
        </w:rPr>
        <w:t xml:space="preserve"> shares of common stock, par value $0.001 per share, outstanding.</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center"/>
        <w:rPr>
          <w:sz w:val="20"/>
          <w:szCs w:val="20"/>
        </w:rPr>
      </w:pPr>
      <w:r>
        <w:rPr>
          <w:b/>
          <w:bCs/>
          <w:sz w:val="20"/>
          <w:szCs w:val="20"/>
        </w:rPr>
        <w:t>DOCUMENTS INCORPORATED BY REFERENCE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Portions of the Proxy Statement for the Annual Meeting of Shareholders to be held on June 1, 2022 are incorporated by referen</w:t>
      </w:r>
      <w:r>
        <w:rPr>
          <w:sz w:val="20"/>
          <w:szCs w:val="20"/>
        </w:rPr>
        <w:t>ce into Part III, Items 10, 11, 12, 13, and 14 of this Annual Report on Form 10-</w:t>
      </w:r>
      <w:r>
        <w:rPr>
          <w:sz w:val="20"/>
          <w:szCs w:val="20"/>
        </w:rPr>
        <w:t>K</w:t>
      </w:r>
      <w:r>
        <w:rPr>
          <w:sz w:val="20"/>
          <w:szCs w:val="20"/>
        </w:rPr>
        <w:t>.</w:t>
      </w:r>
    </w:p>
    <w:p w:rsidR="00000000" w:rsidRDefault="00B30BA7">
      <w:pPr>
        <w:pStyle w:val="a3"/>
        <w:spacing w:before="0" w:beforeAutospacing="0" w:after="0" w:afterAutospacing="0"/>
        <w:rPr>
          <w:sz w:val="20"/>
          <w:szCs w:val="20"/>
        </w:rPr>
      </w:pPr>
      <w:r>
        <w:rPr>
          <w:sz w:val="20"/>
          <w:szCs w:val="20"/>
        </w:rPr>
        <w:t> </w:t>
      </w:r>
    </w:p>
    <w:p w:rsidR="00000000" w:rsidRDefault="00B30BA7">
      <w:pPr>
        <w:divId w:val="618296418"/>
        <w:rPr>
          <w:rFonts w:eastAsia="Times New Roman"/>
          <w:sz w:val="2"/>
          <w:szCs w:val="2"/>
        </w:rPr>
      </w:pPr>
      <w:r>
        <w:rPr>
          <w:rFonts w:eastAsia="Times New Roman"/>
          <w:sz w:val="2"/>
          <w:szCs w:val="2"/>
        </w:rPr>
        <w:t> </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81747302"/>
        </w:trPr>
        <w:tc>
          <w:tcPr>
            <w:tcW w:w="5000" w:type="pct"/>
            <w:hideMark/>
          </w:tcPr>
          <w:p w:rsidR="00000000" w:rsidRDefault="00B30BA7">
            <w:pPr>
              <w:jc w:val="cente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divId w:val="1624381115"/>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jc w:val="center"/>
        <w:rPr>
          <w:b/>
          <w:bCs/>
          <w:sz w:val="20"/>
          <w:szCs w:val="20"/>
        </w:rPr>
      </w:pPr>
      <w:r>
        <w:rPr>
          <w:b/>
          <w:bCs/>
          <w:sz w:val="20"/>
          <w:szCs w:val="20"/>
        </w:rPr>
        <w:t>Table of Contents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86"/>
        <w:gridCol w:w="720"/>
      </w:tblGrid>
      <w:tr w:rsidR="00000000">
        <w:tc>
          <w:tcPr>
            <w:tcW w:w="0" w:type="auto"/>
            <w:shd w:val="clear" w:color="auto" w:fill="CCEEFF"/>
            <w:vAlign w:val="bottom"/>
            <w:hideMark/>
          </w:tcPr>
          <w:p w:rsidR="00000000" w:rsidRDefault="00B30BA7">
            <w:pPr>
              <w:rPr>
                <w:rFonts w:eastAsia="Times New Roman"/>
                <w:sz w:val="20"/>
                <w:szCs w:val="20"/>
              </w:rPr>
            </w:pPr>
            <w:hyperlink w:anchor="ds_001" w:history="1">
              <w:r>
                <w:rPr>
                  <w:rStyle w:val="a4"/>
                  <w:rFonts w:eastAsia="Times New Roman"/>
                  <w:sz w:val="20"/>
                  <w:szCs w:val="20"/>
                </w:rPr>
                <w:t>Forward-Looking Statements</w:t>
              </w:r>
            </w:hyperlink>
          </w:p>
        </w:tc>
        <w:tc>
          <w:tcPr>
            <w:tcW w:w="720" w:type="dxa"/>
            <w:shd w:val="clear" w:color="auto" w:fill="CCEEFF"/>
            <w:vAlign w:val="bottom"/>
            <w:hideMark/>
          </w:tcPr>
          <w:p w:rsidR="00000000" w:rsidRDefault="00B30BA7">
            <w:pPr>
              <w:jc w:val="right"/>
              <w:rPr>
                <w:rFonts w:eastAsia="Times New Roman"/>
                <w:sz w:val="20"/>
                <w:szCs w:val="20"/>
              </w:rPr>
            </w:pPr>
            <w:r>
              <w:rPr>
                <w:rFonts w:eastAsia="Times New Roman"/>
                <w:sz w:val="20"/>
                <w:szCs w:val="20"/>
              </w:rPr>
              <w:t>2</w:t>
            </w:r>
          </w:p>
        </w:tc>
      </w:tr>
      <w:tr w:rsidR="00000000">
        <w:tc>
          <w:tcPr>
            <w:tcW w:w="0" w:type="auto"/>
            <w:shd w:val="clear" w:color="auto" w:fill="FFFFFF"/>
            <w:vAlign w:val="bottom"/>
            <w:hideMark/>
          </w:tcPr>
          <w:p w:rsidR="00000000" w:rsidRDefault="00B30BA7">
            <w:pPr>
              <w:rPr>
                <w:rFonts w:eastAsia="Times New Roman"/>
                <w:sz w:val="20"/>
                <w:szCs w:val="20"/>
              </w:rPr>
            </w:pPr>
            <w:hyperlink w:anchor="ds_002" w:history="1">
              <w:r>
                <w:rPr>
                  <w:rStyle w:val="a4"/>
                  <w:rFonts w:eastAsia="Times New Roman"/>
                  <w:sz w:val="20"/>
                  <w:szCs w:val="20"/>
                </w:rPr>
                <w:t>Summary Risk Factors</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w:t>
            </w:r>
          </w:p>
        </w:tc>
      </w:tr>
      <w:tr w:rsidR="00000000">
        <w:tc>
          <w:tcPr>
            <w:tcW w:w="0" w:type="auto"/>
            <w:shd w:val="clear" w:color="auto" w:fill="CCEEFF"/>
            <w:vAlign w:val="bottom"/>
            <w:hideMark/>
          </w:tcPr>
          <w:p w:rsidR="00000000" w:rsidRDefault="00B30BA7">
            <w:pPr>
              <w:rPr>
                <w:rFonts w:eastAsia="Times New Roman"/>
                <w:sz w:val="20"/>
                <w:szCs w:val="20"/>
              </w:rPr>
            </w:pPr>
            <w:hyperlink w:anchor="ds_003" w:history="1">
              <w:r>
                <w:rPr>
                  <w:rStyle w:val="a4"/>
                  <w:rFonts w:eastAsia="Times New Roman"/>
                  <w:sz w:val="20"/>
                  <w:szCs w:val="20"/>
                </w:rPr>
                <w:t>PART I</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w:t>
            </w:r>
          </w:p>
        </w:tc>
      </w:tr>
      <w:tr w:rsidR="00000000">
        <w:tc>
          <w:tcPr>
            <w:tcW w:w="0" w:type="auto"/>
            <w:shd w:val="clear" w:color="auto" w:fill="FFFFFF"/>
            <w:vAlign w:val="bottom"/>
            <w:hideMark/>
          </w:tcPr>
          <w:p w:rsidR="00000000" w:rsidRDefault="00B30BA7">
            <w:pPr>
              <w:rPr>
                <w:rFonts w:eastAsia="Times New Roman"/>
                <w:sz w:val="20"/>
                <w:szCs w:val="20"/>
              </w:rPr>
            </w:pPr>
            <w:hyperlink w:anchor="ds_004" w:history="1">
              <w:r>
                <w:rPr>
                  <w:rStyle w:val="a4"/>
                  <w:rFonts w:eastAsia="Times New Roman"/>
                  <w:sz w:val="20"/>
                  <w:szCs w:val="20"/>
                </w:rPr>
                <w:t>Item 1. Business</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w:t>
            </w:r>
          </w:p>
        </w:tc>
      </w:tr>
      <w:tr w:rsidR="00000000">
        <w:tc>
          <w:tcPr>
            <w:tcW w:w="0" w:type="auto"/>
            <w:shd w:val="clear" w:color="auto" w:fill="CCEEFF"/>
            <w:vAlign w:val="bottom"/>
            <w:hideMark/>
          </w:tcPr>
          <w:p w:rsidR="00000000" w:rsidRDefault="00B30BA7">
            <w:pPr>
              <w:rPr>
                <w:rFonts w:eastAsia="Times New Roman"/>
                <w:sz w:val="20"/>
                <w:szCs w:val="20"/>
              </w:rPr>
            </w:pPr>
            <w:hyperlink w:anchor="ds_005" w:history="1">
              <w:r>
                <w:rPr>
                  <w:rStyle w:val="a4"/>
                  <w:rFonts w:eastAsia="Times New Roman"/>
                  <w:sz w:val="20"/>
                  <w:szCs w:val="20"/>
                </w:rPr>
                <w:t>Item 1A. Risk Factors</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15</w:t>
            </w:r>
          </w:p>
        </w:tc>
      </w:tr>
      <w:tr w:rsidR="00000000">
        <w:tc>
          <w:tcPr>
            <w:tcW w:w="0" w:type="auto"/>
            <w:shd w:val="clear" w:color="auto" w:fill="FFFFFF"/>
            <w:vAlign w:val="bottom"/>
            <w:hideMark/>
          </w:tcPr>
          <w:p w:rsidR="00000000" w:rsidRDefault="00B30BA7">
            <w:pPr>
              <w:rPr>
                <w:rFonts w:eastAsia="Times New Roman"/>
                <w:sz w:val="20"/>
                <w:szCs w:val="20"/>
              </w:rPr>
            </w:pPr>
            <w:hyperlink w:anchor="ds_006" w:history="1">
              <w:r>
                <w:rPr>
                  <w:rStyle w:val="a4"/>
                  <w:rFonts w:eastAsia="Times New Roman"/>
                  <w:sz w:val="20"/>
                  <w:szCs w:val="20"/>
                </w:rPr>
                <w:t>Item 1B. Unresolved Staff Comments</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36</w:t>
            </w:r>
          </w:p>
        </w:tc>
      </w:tr>
      <w:tr w:rsidR="00000000">
        <w:tc>
          <w:tcPr>
            <w:tcW w:w="0" w:type="auto"/>
            <w:shd w:val="clear" w:color="auto" w:fill="CCEEFF"/>
            <w:vAlign w:val="bottom"/>
            <w:hideMark/>
          </w:tcPr>
          <w:p w:rsidR="00000000" w:rsidRDefault="00B30BA7">
            <w:pPr>
              <w:rPr>
                <w:rFonts w:eastAsia="Times New Roman"/>
                <w:sz w:val="20"/>
                <w:szCs w:val="20"/>
              </w:rPr>
            </w:pPr>
            <w:hyperlink w:anchor="ds_007" w:history="1">
              <w:r>
                <w:rPr>
                  <w:rStyle w:val="a4"/>
                  <w:rFonts w:eastAsia="Times New Roman"/>
                  <w:sz w:val="20"/>
                  <w:szCs w:val="20"/>
                </w:rPr>
                <w:t>Item 2. Properties</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36</w:t>
            </w:r>
          </w:p>
        </w:tc>
      </w:tr>
      <w:tr w:rsidR="00000000">
        <w:tc>
          <w:tcPr>
            <w:tcW w:w="0" w:type="auto"/>
            <w:shd w:val="clear" w:color="auto" w:fill="FFFFFF"/>
            <w:vAlign w:val="bottom"/>
            <w:hideMark/>
          </w:tcPr>
          <w:p w:rsidR="00000000" w:rsidRDefault="00B30BA7">
            <w:pPr>
              <w:rPr>
                <w:rFonts w:eastAsia="Times New Roman"/>
                <w:sz w:val="20"/>
                <w:szCs w:val="20"/>
              </w:rPr>
            </w:pPr>
            <w:hyperlink w:anchor="ds_008" w:history="1">
              <w:r>
                <w:rPr>
                  <w:rStyle w:val="a4"/>
                  <w:rFonts w:eastAsia="Times New Roman"/>
                  <w:sz w:val="20"/>
                  <w:szCs w:val="20"/>
                </w:rPr>
                <w:t>Item 3. Legal Proceedings</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36</w:t>
            </w:r>
          </w:p>
        </w:tc>
      </w:tr>
      <w:tr w:rsidR="00000000">
        <w:tc>
          <w:tcPr>
            <w:tcW w:w="0" w:type="auto"/>
            <w:shd w:val="clear" w:color="auto" w:fill="CCEEFF"/>
            <w:vAlign w:val="bottom"/>
            <w:hideMark/>
          </w:tcPr>
          <w:p w:rsidR="00000000" w:rsidRDefault="00B30BA7">
            <w:pPr>
              <w:rPr>
                <w:rFonts w:eastAsia="Times New Roman"/>
                <w:sz w:val="20"/>
                <w:szCs w:val="20"/>
              </w:rPr>
            </w:pPr>
            <w:hyperlink w:anchor="ds_009" w:history="1">
              <w:r>
                <w:rPr>
                  <w:rStyle w:val="a4"/>
                  <w:rFonts w:eastAsia="Times New Roman"/>
                  <w:sz w:val="20"/>
                  <w:szCs w:val="20"/>
                </w:rPr>
                <w:t>Item 4. Mine Safety Disclosures</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37</w:t>
            </w:r>
          </w:p>
        </w:tc>
      </w:tr>
      <w:tr w:rsidR="00000000">
        <w:tc>
          <w:tcPr>
            <w:tcW w:w="0" w:type="auto"/>
            <w:shd w:val="clear" w:color="auto" w:fill="FFFFFF"/>
            <w:vAlign w:val="bottom"/>
            <w:hideMark/>
          </w:tcPr>
          <w:p w:rsidR="00000000" w:rsidRDefault="00B30BA7">
            <w:pPr>
              <w:rPr>
                <w:rFonts w:eastAsia="Times New Roman"/>
                <w:sz w:val="20"/>
                <w:szCs w:val="20"/>
              </w:rPr>
            </w:pPr>
            <w:hyperlink w:anchor="ds_010" w:history="1">
              <w:r>
                <w:rPr>
                  <w:rStyle w:val="a4"/>
                  <w:rFonts w:eastAsia="Times New Roman"/>
                  <w:sz w:val="20"/>
                  <w:szCs w:val="20"/>
                </w:rPr>
                <w:t>PART II</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37</w:t>
            </w:r>
          </w:p>
        </w:tc>
      </w:tr>
      <w:tr w:rsidR="00000000">
        <w:tc>
          <w:tcPr>
            <w:tcW w:w="0" w:type="auto"/>
            <w:shd w:val="clear" w:color="auto" w:fill="CCEEFF"/>
            <w:vAlign w:val="bottom"/>
            <w:hideMark/>
          </w:tcPr>
          <w:p w:rsidR="00000000" w:rsidRDefault="00B30BA7">
            <w:pPr>
              <w:rPr>
                <w:rFonts w:eastAsia="Times New Roman"/>
                <w:sz w:val="20"/>
                <w:szCs w:val="20"/>
              </w:rPr>
            </w:pPr>
            <w:hyperlink w:anchor="ds_011" w:history="1">
              <w:r>
                <w:rPr>
                  <w:rStyle w:val="a4"/>
                  <w:rFonts w:eastAsia="Times New Roman"/>
                  <w:sz w:val="20"/>
                  <w:szCs w:val="20"/>
                </w:rPr>
                <w:t>Item 5. Ma</w:t>
              </w:r>
              <w:r>
                <w:rPr>
                  <w:rStyle w:val="a4"/>
                  <w:rFonts w:eastAsia="Times New Roman"/>
                  <w:sz w:val="20"/>
                  <w:szCs w:val="20"/>
                </w:rPr>
                <w:t>rket for Registrant’s Common Equity, Related Stockholder Matters and Issuer Purchases of Equity Securities</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37</w:t>
            </w:r>
          </w:p>
        </w:tc>
      </w:tr>
      <w:tr w:rsidR="00000000">
        <w:tc>
          <w:tcPr>
            <w:tcW w:w="0" w:type="auto"/>
            <w:shd w:val="clear" w:color="auto" w:fill="FFFFFF"/>
            <w:vAlign w:val="bottom"/>
            <w:hideMark/>
          </w:tcPr>
          <w:p w:rsidR="00000000" w:rsidRDefault="00B30BA7">
            <w:pPr>
              <w:rPr>
                <w:rFonts w:eastAsia="Times New Roman"/>
                <w:sz w:val="20"/>
                <w:szCs w:val="20"/>
              </w:rPr>
            </w:pPr>
            <w:hyperlink w:anchor="ds_012" w:history="1">
              <w:r>
                <w:rPr>
                  <w:rStyle w:val="a4"/>
                  <w:rFonts w:eastAsia="Times New Roman"/>
                  <w:sz w:val="20"/>
                  <w:szCs w:val="20"/>
                </w:rPr>
                <w:t>Item 6. [Reserved]</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38</w:t>
            </w:r>
          </w:p>
        </w:tc>
      </w:tr>
      <w:tr w:rsidR="00000000">
        <w:tc>
          <w:tcPr>
            <w:tcW w:w="0" w:type="auto"/>
            <w:shd w:val="clear" w:color="auto" w:fill="CCEEFF"/>
            <w:vAlign w:val="bottom"/>
            <w:hideMark/>
          </w:tcPr>
          <w:p w:rsidR="00000000" w:rsidRDefault="00B30BA7">
            <w:pPr>
              <w:rPr>
                <w:rFonts w:eastAsia="Times New Roman"/>
                <w:sz w:val="20"/>
                <w:szCs w:val="20"/>
              </w:rPr>
            </w:pPr>
            <w:hyperlink w:anchor="ds_013" w:history="1">
              <w:r>
                <w:rPr>
                  <w:rStyle w:val="a4"/>
                  <w:rFonts w:eastAsia="Times New Roman"/>
                  <w:sz w:val="20"/>
                  <w:szCs w:val="20"/>
                </w:rPr>
                <w:t>Item 7. Management’s Discussion and Analysis of Financial Condit</w:t>
              </w:r>
              <w:r>
                <w:rPr>
                  <w:rStyle w:val="a4"/>
                  <w:rFonts w:eastAsia="Times New Roman"/>
                  <w:sz w:val="20"/>
                  <w:szCs w:val="20"/>
                </w:rPr>
                <w:t>ion and Results of Operations</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39</w:t>
            </w:r>
          </w:p>
        </w:tc>
      </w:tr>
      <w:tr w:rsidR="00000000">
        <w:tc>
          <w:tcPr>
            <w:tcW w:w="0" w:type="auto"/>
            <w:shd w:val="clear" w:color="auto" w:fill="FFFFFF"/>
            <w:vAlign w:val="bottom"/>
            <w:hideMark/>
          </w:tcPr>
          <w:p w:rsidR="00000000" w:rsidRDefault="00B30BA7">
            <w:pPr>
              <w:rPr>
                <w:rFonts w:eastAsia="Times New Roman"/>
                <w:sz w:val="20"/>
                <w:szCs w:val="20"/>
              </w:rPr>
            </w:pPr>
            <w:hyperlink w:anchor="ds_014" w:history="1">
              <w:r>
                <w:rPr>
                  <w:rStyle w:val="a4"/>
                  <w:rFonts w:eastAsia="Times New Roman"/>
                  <w:sz w:val="20"/>
                  <w:szCs w:val="20"/>
                </w:rPr>
                <w:t>Item 7A. Quantitative and Qualitative Disclosures about Market Risk</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53</w:t>
            </w:r>
          </w:p>
        </w:tc>
      </w:tr>
      <w:tr w:rsidR="00000000">
        <w:tc>
          <w:tcPr>
            <w:tcW w:w="0" w:type="auto"/>
            <w:shd w:val="clear" w:color="auto" w:fill="CCEEFF"/>
            <w:vAlign w:val="bottom"/>
            <w:hideMark/>
          </w:tcPr>
          <w:p w:rsidR="00000000" w:rsidRDefault="00B30BA7">
            <w:pPr>
              <w:rPr>
                <w:rFonts w:eastAsia="Times New Roman"/>
                <w:sz w:val="20"/>
                <w:szCs w:val="20"/>
              </w:rPr>
            </w:pPr>
            <w:hyperlink w:anchor="ds_015" w:history="1">
              <w:r>
                <w:rPr>
                  <w:rStyle w:val="a4"/>
                  <w:rFonts w:eastAsia="Times New Roman"/>
                  <w:sz w:val="20"/>
                  <w:szCs w:val="20"/>
                </w:rPr>
                <w:t>Item 8. Financial Statements and Supplementary Data</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53</w:t>
            </w:r>
          </w:p>
        </w:tc>
      </w:tr>
      <w:tr w:rsidR="00000000">
        <w:tc>
          <w:tcPr>
            <w:tcW w:w="0" w:type="auto"/>
            <w:shd w:val="clear" w:color="auto" w:fill="FFFFFF"/>
            <w:vAlign w:val="bottom"/>
            <w:hideMark/>
          </w:tcPr>
          <w:p w:rsidR="00000000" w:rsidRDefault="00B30BA7">
            <w:pPr>
              <w:rPr>
                <w:rFonts w:eastAsia="Times New Roman"/>
                <w:sz w:val="20"/>
                <w:szCs w:val="20"/>
              </w:rPr>
            </w:pPr>
            <w:hyperlink w:anchor="ds_016" w:history="1">
              <w:r>
                <w:rPr>
                  <w:rStyle w:val="a4"/>
                  <w:rFonts w:eastAsia="Times New Roman"/>
                  <w:sz w:val="20"/>
                  <w:szCs w:val="20"/>
                </w:rPr>
                <w:t>Item 9. Changes in and Disagreements with Accountants on Accounting and Financial Disclosure</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53</w:t>
            </w:r>
          </w:p>
        </w:tc>
      </w:tr>
      <w:tr w:rsidR="00000000">
        <w:tc>
          <w:tcPr>
            <w:tcW w:w="0" w:type="auto"/>
            <w:shd w:val="clear" w:color="auto" w:fill="CCEEFF"/>
            <w:vAlign w:val="bottom"/>
            <w:hideMark/>
          </w:tcPr>
          <w:p w:rsidR="00000000" w:rsidRDefault="00B30BA7">
            <w:pPr>
              <w:rPr>
                <w:rFonts w:eastAsia="Times New Roman"/>
                <w:sz w:val="20"/>
                <w:szCs w:val="20"/>
              </w:rPr>
            </w:pPr>
            <w:hyperlink w:anchor="ds_017" w:history="1">
              <w:r>
                <w:rPr>
                  <w:rStyle w:val="a4"/>
                  <w:rFonts w:eastAsia="Times New Roman"/>
                  <w:sz w:val="20"/>
                  <w:szCs w:val="20"/>
                </w:rPr>
                <w:t>Item 9A. Controls and Procedures</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54</w:t>
            </w:r>
          </w:p>
        </w:tc>
      </w:tr>
      <w:tr w:rsidR="00000000">
        <w:tc>
          <w:tcPr>
            <w:tcW w:w="0" w:type="auto"/>
            <w:shd w:val="clear" w:color="auto" w:fill="FFFFFF"/>
            <w:vAlign w:val="bottom"/>
            <w:hideMark/>
          </w:tcPr>
          <w:p w:rsidR="00000000" w:rsidRDefault="00B30BA7">
            <w:pPr>
              <w:rPr>
                <w:rFonts w:eastAsia="Times New Roman"/>
                <w:sz w:val="20"/>
                <w:szCs w:val="20"/>
              </w:rPr>
            </w:pPr>
            <w:hyperlink w:anchor="ds_018" w:history="1">
              <w:r>
                <w:rPr>
                  <w:rStyle w:val="a4"/>
                  <w:rFonts w:eastAsia="Times New Roman"/>
                  <w:sz w:val="20"/>
                  <w:szCs w:val="20"/>
                </w:rPr>
                <w:t>Item 9B. Other Information</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56</w:t>
            </w:r>
          </w:p>
        </w:tc>
      </w:tr>
      <w:tr w:rsidR="00000000">
        <w:tc>
          <w:tcPr>
            <w:tcW w:w="0" w:type="auto"/>
            <w:shd w:val="clear" w:color="auto" w:fill="CCEEFF"/>
            <w:vAlign w:val="bottom"/>
            <w:hideMark/>
          </w:tcPr>
          <w:p w:rsidR="00000000" w:rsidRDefault="00B30BA7">
            <w:pPr>
              <w:rPr>
                <w:rFonts w:eastAsia="Times New Roman"/>
                <w:sz w:val="20"/>
                <w:szCs w:val="20"/>
              </w:rPr>
            </w:pPr>
            <w:hyperlink w:anchor="ds_019" w:history="1">
              <w:r>
                <w:rPr>
                  <w:rStyle w:val="a4"/>
                  <w:rFonts w:eastAsia="Times New Roman"/>
                  <w:sz w:val="20"/>
                  <w:szCs w:val="20"/>
                </w:rPr>
                <w:t>Item 9C. Disclosure Regarding Foreign Jurisdictions that Prevent Inspection</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56</w:t>
            </w:r>
          </w:p>
        </w:tc>
      </w:tr>
      <w:tr w:rsidR="00000000">
        <w:tc>
          <w:tcPr>
            <w:tcW w:w="0" w:type="auto"/>
            <w:shd w:val="clear" w:color="auto" w:fill="FFFFFF"/>
            <w:vAlign w:val="bottom"/>
            <w:hideMark/>
          </w:tcPr>
          <w:p w:rsidR="00000000" w:rsidRDefault="00B30BA7">
            <w:pPr>
              <w:rPr>
                <w:rFonts w:eastAsia="Times New Roman"/>
                <w:sz w:val="20"/>
                <w:szCs w:val="20"/>
              </w:rPr>
            </w:pPr>
            <w:hyperlink w:anchor="ds_020" w:history="1">
              <w:r>
                <w:rPr>
                  <w:rStyle w:val="a4"/>
                  <w:rFonts w:eastAsia="Times New Roman"/>
                  <w:sz w:val="20"/>
                  <w:szCs w:val="20"/>
                </w:rPr>
                <w:t>PART III</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56</w:t>
            </w:r>
          </w:p>
        </w:tc>
      </w:tr>
      <w:tr w:rsidR="00000000">
        <w:tc>
          <w:tcPr>
            <w:tcW w:w="0" w:type="auto"/>
            <w:shd w:val="clear" w:color="auto" w:fill="CCEEFF"/>
            <w:vAlign w:val="bottom"/>
            <w:hideMark/>
          </w:tcPr>
          <w:p w:rsidR="00000000" w:rsidRDefault="00B30BA7">
            <w:pPr>
              <w:rPr>
                <w:rFonts w:eastAsia="Times New Roman"/>
                <w:sz w:val="20"/>
                <w:szCs w:val="20"/>
              </w:rPr>
            </w:pPr>
            <w:hyperlink w:anchor="ds_021" w:history="1">
              <w:r>
                <w:rPr>
                  <w:rStyle w:val="a4"/>
                  <w:rFonts w:eastAsia="Times New Roman"/>
                  <w:sz w:val="20"/>
                  <w:szCs w:val="20"/>
                </w:rPr>
                <w:t>Item 10. Directors, Exec</w:t>
              </w:r>
              <w:r>
                <w:rPr>
                  <w:rStyle w:val="a4"/>
                  <w:rFonts w:eastAsia="Times New Roman"/>
                  <w:sz w:val="20"/>
                  <w:szCs w:val="20"/>
                </w:rPr>
                <w:t>utive Officers and Corporate Governance</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56</w:t>
            </w:r>
          </w:p>
        </w:tc>
      </w:tr>
      <w:tr w:rsidR="00000000">
        <w:tc>
          <w:tcPr>
            <w:tcW w:w="0" w:type="auto"/>
            <w:shd w:val="clear" w:color="auto" w:fill="FFFFFF"/>
            <w:vAlign w:val="bottom"/>
            <w:hideMark/>
          </w:tcPr>
          <w:p w:rsidR="00000000" w:rsidRDefault="00B30BA7">
            <w:pPr>
              <w:rPr>
                <w:rFonts w:eastAsia="Times New Roman"/>
                <w:sz w:val="20"/>
                <w:szCs w:val="20"/>
              </w:rPr>
            </w:pPr>
            <w:hyperlink w:anchor="ds_022" w:history="1">
              <w:r>
                <w:rPr>
                  <w:rStyle w:val="a4"/>
                  <w:rFonts w:eastAsia="Times New Roman"/>
                  <w:sz w:val="20"/>
                  <w:szCs w:val="20"/>
                </w:rPr>
                <w:t>Item 11. Executive Compensation</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56</w:t>
            </w:r>
          </w:p>
        </w:tc>
      </w:tr>
      <w:tr w:rsidR="00000000">
        <w:tc>
          <w:tcPr>
            <w:tcW w:w="0" w:type="auto"/>
            <w:shd w:val="clear" w:color="auto" w:fill="CCEEFF"/>
            <w:vAlign w:val="bottom"/>
            <w:hideMark/>
          </w:tcPr>
          <w:p w:rsidR="00000000" w:rsidRDefault="00B30BA7">
            <w:pPr>
              <w:rPr>
                <w:rFonts w:eastAsia="Times New Roman"/>
                <w:sz w:val="20"/>
                <w:szCs w:val="20"/>
              </w:rPr>
            </w:pPr>
            <w:hyperlink w:anchor="ds_023" w:history="1">
              <w:r>
                <w:rPr>
                  <w:rStyle w:val="a4"/>
                  <w:rFonts w:eastAsia="Times New Roman"/>
                  <w:sz w:val="20"/>
                  <w:szCs w:val="20"/>
                </w:rPr>
                <w:t>Item 12. Security Ownership of Certain Beneficial Owners and Management and Related Stockholder Matters</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56</w:t>
            </w:r>
          </w:p>
        </w:tc>
      </w:tr>
      <w:tr w:rsidR="00000000">
        <w:tc>
          <w:tcPr>
            <w:tcW w:w="0" w:type="auto"/>
            <w:shd w:val="clear" w:color="auto" w:fill="FFFFFF"/>
            <w:vAlign w:val="bottom"/>
            <w:hideMark/>
          </w:tcPr>
          <w:p w:rsidR="00000000" w:rsidRDefault="00B30BA7">
            <w:pPr>
              <w:rPr>
                <w:rFonts w:eastAsia="Times New Roman"/>
                <w:sz w:val="20"/>
                <w:szCs w:val="20"/>
              </w:rPr>
            </w:pPr>
            <w:hyperlink w:anchor="ds_024" w:history="1">
              <w:r>
                <w:rPr>
                  <w:rStyle w:val="a4"/>
                  <w:rFonts w:eastAsia="Times New Roman"/>
                  <w:sz w:val="20"/>
                  <w:szCs w:val="20"/>
                </w:rPr>
                <w:t>Item 13. Certain Relationships and Related Transactions, and Director Independence</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56</w:t>
            </w:r>
          </w:p>
        </w:tc>
      </w:tr>
      <w:tr w:rsidR="00000000">
        <w:tc>
          <w:tcPr>
            <w:tcW w:w="0" w:type="auto"/>
            <w:shd w:val="clear" w:color="auto" w:fill="CCEEFF"/>
            <w:vAlign w:val="bottom"/>
            <w:hideMark/>
          </w:tcPr>
          <w:p w:rsidR="00000000" w:rsidRDefault="00B30BA7">
            <w:pPr>
              <w:rPr>
                <w:rFonts w:eastAsia="Times New Roman"/>
                <w:sz w:val="20"/>
                <w:szCs w:val="20"/>
              </w:rPr>
            </w:pPr>
            <w:hyperlink w:anchor="ds_025" w:history="1">
              <w:r>
                <w:rPr>
                  <w:rStyle w:val="a4"/>
                  <w:rFonts w:eastAsia="Times New Roman"/>
                  <w:sz w:val="20"/>
                  <w:szCs w:val="20"/>
                </w:rPr>
                <w:t>Ite</w:t>
              </w:r>
              <w:r>
                <w:rPr>
                  <w:rStyle w:val="a4"/>
                  <w:rFonts w:eastAsia="Times New Roman"/>
                  <w:sz w:val="20"/>
                  <w:szCs w:val="20"/>
                </w:rPr>
                <w:t>m 14. Principal Accountant Fees and Services</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56</w:t>
            </w:r>
          </w:p>
        </w:tc>
      </w:tr>
      <w:tr w:rsidR="00000000">
        <w:tc>
          <w:tcPr>
            <w:tcW w:w="0" w:type="auto"/>
            <w:shd w:val="clear" w:color="auto" w:fill="FFFFFF"/>
            <w:vAlign w:val="bottom"/>
            <w:hideMark/>
          </w:tcPr>
          <w:p w:rsidR="00000000" w:rsidRDefault="00B30BA7">
            <w:pPr>
              <w:rPr>
                <w:rFonts w:eastAsia="Times New Roman"/>
                <w:sz w:val="20"/>
                <w:szCs w:val="20"/>
              </w:rPr>
            </w:pPr>
            <w:hyperlink w:anchor="ds_026" w:history="1">
              <w:r>
                <w:rPr>
                  <w:rStyle w:val="a4"/>
                  <w:rFonts w:eastAsia="Times New Roman"/>
                  <w:sz w:val="20"/>
                  <w:szCs w:val="20"/>
                </w:rPr>
                <w:t>PART IV</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57</w:t>
            </w:r>
          </w:p>
        </w:tc>
      </w:tr>
      <w:tr w:rsidR="00000000">
        <w:tc>
          <w:tcPr>
            <w:tcW w:w="0" w:type="auto"/>
            <w:shd w:val="clear" w:color="auto" w:fill="CCEEFF"/>
            <w:vAlign w:val="bottom"/>
            <w:hideMark/>
          </w:tcPr>
          <w:p w:rsidR="00000000" w:rsidRDefault="00B30BA7">
            <w:pPr>
              <w:rPr>
                <w:rFonts w:eastAsia="Times New Roman"/>
                <w:sz w:val="20"/>
                <w:szCs w:val="20"/>
              </w:rPr>
            </w:pPr>
            <w:hyperlink w:anchor="ds_027" w:history="1">
              <w:r>
                <w:rPr>
                  <w:rStyle w:val="a4"/>
                  <w:rFonts w:eastAsia="Times New Roman"/>
                  <w:sz w:val="20"/>
                  <w:szCs w:val="20"/>
                </w:rPr>
                <w:t>Item 15. Exhibits and Financial Statement Schedules</w:t>
              </w:r>
            </w:hyperlink>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57</w:t>
            </w:r>
          </w:p>
        </w:tc>
      </w:tr>
      <w:tr w:rsidR="00000000">
        <w:tc>
          <w:tcPr>
            <w:tcW w:w="0" w:type="auto"/>
            <w:shd w:val="clear" w:color="auto" w:fill="FFFFFF"/>
            <w:vAlign w:val="bottom"/>
            <w:hideMark/>
          </w:tcPr>
          <w:p w:rsidR="00000000" w:rsidRDefault="00B30BA7">
            <w:pPr>
              <w:rPr>
                <w:rFonts w:eastAsia="Times New Roman"/>
                <w:sz w:val="20"/>
                <w:szCs w:val="20"/>
              </w:rPr>
            </w:pPr>
            <w:hyperlink w:anchor="ds_028" w:history="1">
              <w:r>
                <w:rPr>
                  <w:rStyle w:val="a4"/>
                  <w:rFonts w:eastAsia="Times New Roman"/>
                  <w:sz w:val="20"/>
                  <w:szCs w:val="20"/>
                </w:rPr>
                <w:t>Signatures</w:t>
              </w:r>
            </w:hyperlink>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62</w:t>
            </w:r>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41065305"/>
        </w:trPr>
        <w:tc>
          <w:tcPr>
            <w:tcW w:w="5000" w:type="pct"/>
            <w:hideMark/>
          </w:tcPr>
          <w:p w:rsidR="00000000" w:rsidRDefault="00B30BA7">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rPr>
          <w:b/>
          <w:bCs/>
          <w:sz w:val="20"/>
          <w:szCs w:val="20"/>
        </w:rPr>
      </w:pPr>
      <w:r>
        <w:rPr>
          <w:b/>
          <w:bCs/>
          <w:sz w:val="20"/>
          <w:szCs w:val="20"/>
        </w:rPr>
        <w:t>Forward-Looking Statements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 xml:space="preserve">Certain </w:t>
      </w:r>
      <w:r>
        <w:rPr>
          <w:i/>
          <w:iCs/>
          <w:sz w:val="20"/>
          <w:szCs w:val="20"/>
        </w:rPr>
        <w:t>statements that we make from time to time, including statements contained in this Annual Report on Form 10-K, constitute “forward-looking statements” within the meaning of Section 27A of the Securities Act of 1933, as amended, or the Securities Act, and Se</w:t>
      </w:r>
      <w:r>
        <w:rPr>
          <w:i/>
          <w:iCs/>
          <w:sz w:val="20"/>
          <w:szCs w:val="20"/>
        </w:rPr>
        <w:t>ction 21E of the Securities Exchange Act of 1934, as amended, or the Exchange Act. All statements other than statements of historical fact contained in this Annual Report on Form 10-K are forward-looking statements. These statements relate to anticipated f</w:t>
      </w:r>
      <w:r>
        <w:rPr>
          <w:i/>
          <w:iCs/>
          <w:sz w:val="20"/>
          <w:szCs w:val="20"/>
        </w:rPr>
        <w:t>uture events, future results of operations or future financial performance. In some cases, you can identify forward-looking statements by terminology such as “may,” “might,” “will,” “should,” “intends,” “expects,” “plans,” “goals,” “projects,” “anticipates</w:t>
      </w:r>
      <w:r>
        <w:rPr>
          <w:i/>
          <w:iCs/>
          <w:sz w:val="20"/>
          <w:szCs w:val="20"/>
        </w:rPr>
        <w:t>,” “believes,” “estimates,” “predicts,” “potential,” or “continue” or the negative of these terms or other comparable terminology. Our operations involve risks and uncertainties, many of which are outside our control, and any one of which, or a combination</w:t>
      </w:r>
      <w:r>
        <w:rPr>
          <w:i/>
          <w:iCs/>
          <w:sz w:val="20"/>
          <w:szCs w:val="20"/>
        </w:rPr>
        <w:t xml:space="preserve"> of which, could materially affect our results of operations and whether the forward-looking statements ultimately prove to be correct. Forward-looking statements in this Annual Report on Form 10-K include, without limitation, statements reflecting managem</w:t>
      </w:r>
      <w:r>
        <w:rPr>
          <w:i/>
          <w:iCs/>
          <w:sz w:val="20"/>
          <w:szCs w:val="20"/>
        </w:rPr>
        <w:t>ent’s expectations for future financial performance and operating expenditures (including our ability to continue as a going concern, to raise additional capital and to succeed in our future operations), expected growth, profitability and business outlook,</w:t>
      </w:r>
      <w:r>
        <w:rPr>
          <w:i/>
          <w:iCs/>
          <w:sz w:val="20"/>
          <w:szCs w:val="20"/>
        </w:rPr>
        <w:t xml:space="preserve"> increased sales and marketing expenses, and the expected results from the integration of our acquisitions.</w:t>
      </w:r>
    </w:p>
    <w:p w:rsidR="00000000" w:rsidRDefault="00B30BA7">
      <w:pPr>
        <w:pStyle w:val="a3"/>
        <w:spacing w:before="0" w:beforeAutospacing="0" w:after="0" w:afterAutospacing="0"/>
        <w:ind w:firstLine="48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Forward-looking statements are only predictions, are uncertain and involve substantial known and unknown risks, uncertainties, and other factors t</w:t>
      </w:r>
      <w:r>
        <w:rPr>
          <w:i/>
          <w:iCs/>
          <w:sz w:val="20"/>
          <w:szCs w:val="20"/>
        </w:rPr>
        <w:t>hat may cause our (or our industry’s) actual results, levels of activity or performance to be materially different from any future results, levels of activity or performance expressed or implied by these forward-looking statements. These factors include, a</w:t>
      </w:r>
      <w:r>
        <w:rPr>
          <w:i/>
          <w:iCs/>
          <w:sz w:val="20"/>
          <w:szCs w:val="20"/>
        </w:rPr>
        <w:t xml:space="preserve">mong </w:t>
      </w:r>
      <w:r>
        <w:rPr>
          <w:i/>
          <w:iCs/>
          <w:sz w:val="20"/>
          <w:szCs w:val="20"/>
        </w:rPr>
        <w:lastRenderedPageBreak/>
        <w:t>other things, the unknown risks and uncertainties that we believe could cause actual results to differ from these forward-looking statements as set forth under the heading, “Risk Factors” and elsewhere in this Annual Report on Form 10-K</w:t>
      </w:r>
      <w:r>
        <w:rPr>
          <w:sz w:val="20"/>
          <w:szCs w:val="20"/>
        </w:rPr>
        <w:t xml:space="preserve">. </w:t>
      </w:r>
      <w:r>
        <w:rPr>
          <w:i/>
          <w:iCs/>
          <w:color w:val="000000"/>
          <w:sz w:val="20"/>
          <w:szCs w:val="20"/>
        </w:rPr>
        <w:t>New risks and</w:t>
      </w:r>
      <w:r>
        <w:rPr>
          <w:i/>
          <w:iCs/>
          <w:color w:val="000000"/>
          <w:sz w:val="20"/>
          <w:szCs w:val="20"/>
        </w:rPr>
        <w:t xml:space="preserve"> uncertainties emerge from time to time, and it is not possible for us to predict all of the risks and uncertainties that could have an impact on the forward-looking statements, including without limitation, risks and uncertainties relating to:</w:t>
      </w:r>
    </w:p>
    <w:p w:rsidR="00000000" w:rsidRDefault="00B30BA7">
      <w:pPr>
        <w:pStyle w:val="a3"/>
        <w:spacing w:before="0" w:beforeAutospacing="0" w:after="0" w:afterAutospacing="0"/>
        <w:jc w:val="both"/>
        <w:rPr>
          <w:sz w:val="20"/>
          <w:szCs w:val="20"/>
        </w:rPr>
      </w:pPr>
      <w:r>
        <w:rPr>
          <w:i/>
          <w:iCs/>
          <w:color w:val="000000"/>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B30BA7">
            <w:pPr>
              <w:rPr>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ab</w:t>
            </w:r>
            <w:r>
              <w:rPr>
                <w:rFonts w:eastAsia="Times New Roman"/>
                <w:sz w:val="20"/>
                <w:szCs w:val="20"/>
              </w:rPr>
              <w:t>ility to manage our growth, including acquiring, partnering with, and effectively integrating acquired businesses into our infrastructure and avoiding legal exposure and liabilities associated with acquired companies and assets;</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our </w:t>
            </w:r>
            <w:r>
              <w:rPr>
                <w:rFonts w:eastAsia="Times New Roman"/>
                <w:sz w:val="20"/>
                <w:szCs w:val="20"/>
              </w:rPr>
              <w:t>ability to retain our clients and revenue levels, including effectively migrating new clients and maintaining or growing the revenue levels of our new and existing clients;</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ability to maintain operations in our offshore offices in a manner t</w:t>
            </w:r>
            <w:r>
              <w:rPr>
                <w:rFonts w:eastAsia="Times New Roman"/>
                <w:sz w:val="20"/>
                <w:szCs w:val="20"/>
              </w:rPr>
              <w:t>hat continues to enable us to offer competitively priced products and services;</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ability to keep pace with a rapidly changing healthcare industry;</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our </w:t>
            </w:r>
            <w:r>
              <w:rPr>
                <w:rFonts w:eastAsia="Times New Roman"/>
                <w:sz w:val="20"/>
                <w:szCs w:val="20"/>
              </w:rPr>
              <w:t>ability to consistently achieve and maintain compliance with a myriad of federal, state, foreign, local, payor and industry requirements, regulations, rules, laws and contracts;</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ability to maintain and protect the privacy of confidential and</w:t>
            </w:r>
            <w:r>
              <w:rPr>
                <w:rFonts w:eastAsia="Times New Roman"/>
                <w:sz w:val="20"/>
                <w:szCs w:val="20"/>
              </w:rPr>
              <w:t xml:space="preserve"> protected Company, client and patient information;</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ability to develop new technologies, upgrade and adapt legacy and acquired technologies to work with evolving industry standards and third-party software platforms and technologies, and pro</w:t>
            </w:r>
            <w:r>
              <w:rPr>
                <w:rFonts w:eastAsia="Times New Roman"/>
                <w:sz w:val="20"/>
                <w:szCs w:val="20"/>
              </w:rPr>
              <w:t>tect and enforce all of these and other intellectual property rights;</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our </w:t>
            </w:r>
            <w:r>
              <w:rPr>
                <w:rFonts w:eastAsia="Times New Roman"/>
                <w:sz w:val="20"/>
                <w:szCs w:val="20"/>
              </w:rPr>
              <w:t>ability to attract and retain key officers and employees, and the continued involvement of Mahmud Haq as Executive Chairman and A. Hadi Chaudhry as Chief Executive Officer and President, all of which are critical to our ongoing operations, growing our busi</w:t>
            </w:r>
            <w:r>
              <w:rPr>
                <w:rFonts w:eastAsia="Times New Roman"/>
                <w:sz w:val="20"/>
                <w:szCs w:val="20"/>
              </w:rPr>
              <w:t>ness and integrating our newly acquired businesses;</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ability to comply with covenants contained in our credit agreement with our senior secured lender, Silicon Valley Bank and other future debt facilities;</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ability to pay our mo</w:t>
            </w:r>
            <w:r>
              <w:rPr>
                <w:rFonts w:eastAsia="Times New Roman"/>
                <w:sz w:val="20"/>
                <w:szCs w:val="20"/>
              </w:rPr>
              <w:t>nthly preferred dividends to the holders of our Series A and Series B preferred stock (“Preferred Stock”);</w:t>
            </w:r>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9905653"/>
        </w:trPr>
        <w:tc>
          <w:tcPr>
            <w:tcW w:w="5000" w:type="pct"/>
            <w:hideMark/>
          </w:tcPr>
          <w:p w:rsidR="00000000" w:rsidRDefault="00B30BA7">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B30BA7">
            <w:pPr>
              <w:rPr>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our </w:t>
            </w:r>
            <w:r>
              <w:rPr>
                <w:rFonts w:eastAsia="Times New Roman"/>
                <w:sz w:val="20"/>
                <w:szCs w:val="20"/>
              </w:rPr>
              <w:t>ability to compete with other companies developing products and selling services competitive with ours, and who may have greater resources and name recognition than we have;</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ability to respond to the uncertainty resulting from the ongoing CO</w:t>
            </w:r>
            <w:r>
              <w:rPr>
                <w:rFonts w:eastAsia="Times New Roman"/>
                <w:sz w:val="20"/>
                <w:szCs w:val="20"/>
              </w:rPr>
              <w:t>VID-19 pandemic and the impact it may have on our operations, the demand for our services, and economic activity in general; and</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our </w:t>
            </w:r>
            <w:r>
              <w:rPr>
                <w:rFonts w:eastAsia="Times New Roman"/>
                <w:sz w:val="20"/>
                <w:szCs w:val="20"/>
              </w:rPr>
              <w:t>ability to keep and increase market acceptance of our products and services.</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Although we believe that the expectations reflected in the forward-looking statements contained in this Annual Report on Form 10-K are reasonable, we cannot guarantee future re</w:t>
      </w:r>
      <w:r>
        <w:rPr>
          <w:i/>
          <w:iCs/>
          <w:sz w:val="20"/>
          <w:szCs w:val="20"/>
        </w:rPr>
        <w:t>sults, levels of activity, performance, or achievements. Except as required by law, we are under no duty to update or revise any of such forward-looking statements, whether as a result of new information, future events, or otherwise, after the date of this</w:t>
      </w:r>
      <w:r>
        <w:rPr>
          <w:i/>
          <w:iCs/>
          <w:sz w:val="20"/>
          <w:szCs w:val="20"/>
        </w:rPr>
        <w:t xml:space="preserve"> Annual Report on Form 10-K.</w:t>
      </w:r>
    </w:p>
    <w:p w:rsidR="00000000" w:rsidRDefault="00B30BA7">
      <w:pPr>
        <w:pStyle w:val="a3"/>
        <w:spacing w:before="0" w:beforeAutospacing="0" w:after="0" w:afterAutospacing="0"/>
        <w:jc w:val="both"/>
        <w:rPr>
          <w:sz w:val="20"/>
          <w:szCs w:val="20"/>
        </w:rPr>
      </w:pPr>
      <w:r>
        <w:rPr>
          <w:i/>
          <w:iCs/>
          <w:sz w:val="20"/>
          <w:szCs w:val="20"/>
        </w:rPr>
        <w:t> </w:t>
      </w:r>
    </w:p>
    <w:p w:rsidR="00000000" w:rsidRDefault="00B30BA7">
      <w:pPr>
        <w:pStyle w:val="a3"/>
        <w:spacing w:before="0" w:beforeAutospacing="0" w:after="0" w:afterAutospacing="0"/>
        <w:rPr>
          <w:b/>
          <w:bCs/>
          <w:sz w:val="20"/>
          <w:szCs w:val="20"/>
        </w:rPr>
      </w:pPr>
      <w:r>
        <w:rPr>
          <w:b/>
          <w:bCs/>
          <w:sz w:val="20"/>
          <w:szCs w:val="20"/>
        </w:rPr>
        <w:t>Summary Risk Factors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lastRenderedPageBreak/>
        <w:t xml:space="preserve">The following is a summary of the principal risks and uncertainties </w:t>
      </w:r>
      <w:r>
        <w:rPr>
          <w:i/>
          <w:iCs/>
          <w:sz w:val="20"/>
          <w:szCs w:val="20"/>
          <w:shd w:val="clear" w:color="auto" w:fill="FFFFFF"/>
        </w:rPr>
        <w:t xml:space="preserve">that </w:t>
      </w:r>
      <w:r>
        <w:rPr>
          <w:i/>
          <w:iCs/>
          <w:sz w:val="20"/>
          <w:szCs w:val="20"/>
        </w:rPr>
        <w:t>could materially adversely affect our business, financial condition and results of operations. You should read this summary toget</w:t>
      </w:r>
      <w:r>
        <w:rPr>
          <w:i/>
          <w:iCs/>
          <w:sz w:val="20"/>
          <w:szCs w:val="20"/>
        </w:rPr>
        <w:t>her with the more detailed description of each risk factor contained in “Risk Factors” in Part 1, Item 1A below.</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shd w:val="clear" w:color="auto" w:fill="FFFFFF"/>
        </w:rPr>
        <w:t>Risks Related to Our Acquisition Strategy</w:t>
      </w:r>
    </w:p>
    <w:p w:rsidR="00000000" w:rsidRDefault="00B30BA7">
      <w:pPr>
        <w:pStyle w:val="a3"/>
        <w:spacing w:before="0" w:beforeAutospacing="0" w:after="0" w:afterAutospacing="0"/>
        <w:jc w:val="both"/>
        <w:rPr>
          <w:sz w:val="20"/>
          <w:szCs w:val="20"/>
        </w:rPr>
      </w:pPr>
      <w:r>
        <w:rPr>
          <w:i/>
          <w:iCs/>
          <w:sz w:val="20"/>
          <w:szCs w:val="20"/>
          <w:shd w:val="clear" w:color="auto" w:fill="FFFFFF"/>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If we do not manage our growth effectively, our revenue, business and operating results may be </w:t>
            </w:r>
            <w:r>
              <w:rPr>
                <w:rFonts w:eastAsia="Times New Roman"/>
                <w:sz w:val="20"/>
                <w:szCs w:val="20"/>
              </w:rPr>
              <w:t>harmed.</w:t>
            </w:r>
          </w:p>
        </w:tc>
      </w:tr>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may be unable to retain customers following an acquisition, which may result in a decrease in our revenues and operating results.</w:t>
            </w:r>
          </w:p>
        </w:tc>
      </w:tr>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Acquisitions </w:t>
            </w:r>
            <w:r>
              <w:rPr>
                <w:rFonts w:eastAsia="Times New Roman"/>
                <w:sz w:val="20"/>
                <w:szCs w:val="20"/>
              </w:rPr>
              <w:t>may subject us to liability with regard to the creditors, customers, and shareholders of the sellers.</w:t>
            </w:r>
          </w:p>
        </w:tc>
      </w:tr>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shd w:val="clear" w:color="auto" w:fill="FFFFFF"/>
              </w:rPr>
              <w:t>We may be unable to implement our strategy of acquiring additional companies.</w:t>
            </w:r>
          </w:p>
        </w:tc>
      </w:tr>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shd w:val="clear" w:color="auto" w:fill="FFFFFF"/>
              </w:rPr>
              <w:t>Future acquisitions may result in potentially dilutive issuances of eq</w:t>
            </w:r>
            <w:r>
              <w:rPr>
                <w:rFonts w:eastAsia="Times New Roman"/>
                <w:sz w:val="20"/>
                <w:szCs w:val="20"/>
                <w:shd w:val="clear" w:color="auto" w:fill="FFFFFF"/>
              </w:rPr>
              <w:t>uity securities, the incurrence of indebtedness and increased amortization expense.</w:t>
            </w:r>
          </w:p>
        </w:tc>
      </w:tr>
    </w:tbl>
    <w:p w:rsidR="00000000" w:rsidRDefault="00B30BA7">
      <w:pPr>
        <w:pStyle w:val="a3"/>
        <w:spacing w:before="0" w:beforeAutospacing="0" w:after="0" w:afterAutospacing="0"/>
        <w:ind w:left="36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shd w:val="clear" w:color="auto" w:fill="FFFFFF"/>
        </w:rPr>
        <w:t>Risks Related to our Business</w:t>
      </w:r>
    </w:p>
    <w:p w:rsidR="00000000" w:rsidRDefault="00B30BA7">
      <w:pPr>
        <w:pStyle w:val="a3"/>
        <w:spacing w:before="0" w:beforeAutospacing="0" w:after="0" w:afterAutospacing="0"/>
        <w:jc w:val="both"/>
        <w:rPr>
          <w:sz w:val="20"/>
          <w:szCs w:val="20"/>
        </w:rPr>
      </w:pPr>
      <w:r>
        <w:rPr>
          <w:i/>
          <w:iCs/>
          <w:sz w:val="20"/>
          <w:szCs w:val="20"/>
          <w:shd w:val="clear" w:color="auto" w:fill="FFFFFF"/>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business, financial condition, results of operations and growth could be harmed by the effects of the ongoing COVID-19 pandemic.</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operate in a highly competitive industry, and our competitors may be able to compete more efficiently or evolve more rapidly than we do, which could have a material adverse effect on our business, revenue, growth rates and market share.</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If we are</w:t>
            </w:r>
            <w:r>
              <w:rPr>
                <w:rFonts w:eastAsia="Times New Roman"/>
                <w:sz w:val="20"/>
                <w:szCs w:val="20"/>
              </w:rPr>
              <w:t xml:space="preserve"> unable to successfully introduce new products or services or fail to keep pace with advances in technology, we would not be able to maintain our customers or grow our business, which will have a material adverse effect on our business.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The continued s</w:t>
            </w:r>
            <w:r>
              <w:rPr>
                <w:rFonts w:eastAsia="Times New Roman"/>
                <w:sz w:val="20"/>
                <w:szCs w:val="20"/>
              </w:rPr>
              <w:t>uccess of our business model is heavily dependent upon our offshore operations, and any disruption to those operations will adversely affect us.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offshore operations expose us to additional business and financial risks which could adversely affect u</w:t>
            </w:r>
            <w:r>
              <w:rPr>
                <w:rFonts w:eastAsia="Times New Roman"/>
                <w:sz w:val="20"/>
                <w:szCs w:val="20"/>
              </w:rPr>
              <w:t>s and subject us to civil and criminal liability.</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Changes in the healthcare industry could affect the demand for our services and may result in a decrease in our revenues and market share.</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If providers do not purchase our products and services or d</w:t>
            </w:r>
            <w:r>
              <w:rPr>
                <w:rFonts w:eastAsia="Times New Roman"/>
                <w:sz w:val="20"/>
                <w:szCs w:val="20"/>
              </w:rPr>
              <w:t>elay in choosing our products or services, we may not be able to grow our business.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If </w:t>
            </w:r>
            <w:r>
              <w:rPr>
                <w:rFonts w:eastAsia="Times New Roman"/>
                <w:sz w:val="20"/>
                <w:szCs w:val="20"/>
              </w:rPr>
              <w:t>the revenues of our customers decrease, or if our customers cancel or elect not to renew their contracts, our revenue will decrease.</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have incurred operating losses and net losses, and we may not be able to achieve or subsequently maintain profitabil</w:t>
            </w:r>
            <w:r>
              <w:rPr>
                <w:rFonts w:eastAsia="Times New Roman"/>
                <w:sz w:val="20"/>
                <w:szCs w:val="20"/>
              </w:rPr>
              <w:t>ity in the future.</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As a result of our variable sales and implementation cycles, we may be unable to recognize revenue from prospective customers on a timely basis and we may not be able to offset expenditures.</w:t>
            </w:r>
          </w:p>
        </w:tc>
      </w:tr>
    </w:tbl>
    <w:p w:rsidR="00000000" w:rsidRDefault="00B30BA7">
      <w:pPr>
        <w:pStyle w:val="a3"/>
        <w:spacing w:before="0" w:beforeAutospacing="0" w:after="0" w:afterAutospacing="0"/>
        <w:ind w:left="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79709392"/>
        </w:trPr>
        <w:tc>
          <w:tcPr>
            <w:tcW w:w="5000" w:type="pct"/>
            <w:hideMark/>
          </w:tcPr>
          <w:p w:rsidR="00000000" w:rsidRDefault="00B30BA7">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As a result of the Wayfair d</w:t>
            </w:r>
            <w:r>
              <w:rPr>
                <w:rFonts w:eastAsia="Times New Roman"/>
                <w:sz w:val="20"/>
                <w:szCs w:val="20"/>
              </w:rPr>
              <w:t>ecision and changes in various states’ laws, we are required to collect sales and use taxes on certain products and services we sell in certain jurisdictions. We may be subject to liability for past sales and incur additional related costs and expenses, an</w:t>
            </w:r>
            <w:r>
              <w:rPr>
                <w:rFonts w:eastAsia="Times New Roman"/>
                <w:sz w:val="20"/>
                <w:szCs w:val="20"/>
              </w:rPr>
              <w:t>d our future sales may decrease.</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If we lose the services of Mahmud Haq </w:t>
            </w:r>
            <w:r>
              <w:rPr>
                <w:rFonts w:eastAsia="Times New Roman"/>
                <w:color w:val="000000"/>
                <w:sz w:val="20"/>
                <w:szCs w:val="20"/>
              </w:rPr>
              <w:t>as Executive Chairman, A. Hadi Chaudhry as Chief Executive Officer and President,</w:t>
            </w:r>
            <w:r>
              <w:rPr>
                <w:rFonts w:eastAsia="Times New Roman"/>
                <w:sz w:val="20"/>
                <w:szCs w:val="20"/>
              </w:rPr>
              <w:t xml:space="preserve"> or other members of our management </w:t>
            </w:r>
            <w:r>
              <w:rPr>
                <w:rFonts w:eastAsia="Times New Roman"/>
                <w:sz w:val="20"/>
                <w:szCs w:val="20"/>
              </w:rPr>
              <w:t>team, or if we are unable to attract, hire, integrate and retain other necessary employees, our business would be harmed.</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may be unable to adequately establish, protect or enforce our patents, trade secrets and other intellectual property rights.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Claims by others that allege we infringe or may infringe on their intellectual property could force us to incur significant costs or revise the way we conduct our business.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may be unable to protect, and we may incur significant costs in enforcing,</w:t>
            </w:r>
            <w:r>
              <w:rPr>
                <w:rFonts w:eastAsia="Times New Roman"/>
                <w:sz w:val="20"/>
                <w:szCs w:val="20"/>
              </w:rPr>
              <w:t xml:space="preserve"> our intellectual property rights.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Current and future litigation against us could be costly and time-consuming to defend and could result in additional liabilities.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lastRenderedPageBreak/>
              <w:t>●</w:t>
            </w:r>
          </w:p>
        </w:tc>
        <w:tc>
          <w:tcPr>
            <w:tcW w:w="0" w:type="auto"/>
            <w:hideMark/>
          </w:tcPr>
          <w:p w:rsidR="00000000" w:rsidRDefault="00B30BA7">
            <w:pPr>
              <w:jc w:val="both"/>
              <w:rPr>
                <w:rFonts w:eastAsia="Times New Roman"/>
                <w:sz w:val="20"/>
                <w:szCs w:val="20"/>
              </w:rPr>
            </w:pPr>
            <w:r>
              <w:rPr>
                <w:rFonts w:eastAsia="Times New Roman"/>
                <w:sz w:val="20"/>
                <w:szCs w:val="20"/>
              </w:rPr>
              <w:t>Our proprietary software or service delivery platform, including the platforms we h</w:t>
            </w:r>
            <w:r>
              <w:rPr>
                <w:rFonts w:eastAsia="Times New Roman"/>
                <w:sz w:val="20"/>
                <w:szCs w:val="20"/>
              </w:rPr>
              <w:t>ave acquired, may not operate properly, which could damage our reputation, give rise to claims against us, or divert application of our resources from other purposes, any of which could harm our business and operating results.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If </w:t>
            </w:r>
            <w:r>
              <w:rPr>
                <w:rFonts w:eastAsia="Times New Roman"/>
                <w:sz w:val="20"/>
                <w:szCs w:val="20"/>
              </w:rPr>
              <w:t>our security measures are breached or fail, and unauthorized access is obtained to a customer’s data, our service may be perceived as insecure, the attractiveness of our services to current or potential customers may be reduced, and we may incur significan</w:t>
            </w:r>
            <w:r>
              <w:rPr>
                <w:rFonts w:eastAsia="Times New Roman"/>
                <w:sz w:val="20"/>
                <w:szCs w:val="20"/>
              </w:rPr>
              <w:t>t liabilities.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products and services are required to meet the interoperability standards, which could require us to incur substantial additional development costs or result in a decrease in revenue.</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Disruptions in internet or telecommunication </w:t>
            </w:r>
            <w:r>
              <w:rPr>
                <w:rFonts w:eastAsia="Times New Roman"/>
                <w:sz w:val="20"/>
                <w:szCs w:val="20"/>
              </w:rPr>
              <w:t>service or damage to our data centers could adversely affect our business by reducing our customers’ confidence in the reliability of our services and products.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may be subject to liability for the content we provide to our customers and their patien</w:t>
            </w:r>
            <w:r>
              <w:rPr>
                <w:rFonts w:eastAsia="Times New Roman"/>
                <w:sz w:val="20"/>
                <w:szCs w:val="20"/>
              </w:rPr>
              <w:t>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are subject to the effect of payer and provider conduct that we cannot control and that could damage our reputation with customers and result in liability claims that increase our expenses.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Failure by our clients to obtain proper permissions</w:t>
            </w:r>
            <w:r>
              <w:rPr>
                <w:rFonts w:eastAsia="Times New Roman"/>
                <w:sz w:val="20"/>
                <w:szCs w:val="20"/>
              </w:rPr>
              <w:t xml:space="preserve"> and waivers may result in claims against us or may limit or prevent our use of data, which could harm our business.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Any </w:t>
            </w:r>
            <w:r>
              <w:rPr>
                <w:rFonts w:eastAsia="Times New Roman"/>
                <w:sz w:val="20"/>
                <w:szCs w:val="20"/>
              </w:rPr>
              <w:t>deficiencies in our financial reporting or internal controls could adversely affect our business and the trading price of our securities.</w:t>
            </w:r>
          </w:p>
        </w:tc>
      </w:tr>
      <w:tr w:rsidR="00000000">
        <w:trPr>
          <w:tblCellSpacing w:w="0" w:type="dxa"/>
        </w:trPr>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identified a material weakness in our internal controls over financial reporting related to a non-routine transa</w:t>
            </w:r>
            <w:r>
              <w:rPr>
                <w:rFonts w:eastAsia="Times New Roman"/>
                <w:sz w:val="20"/>
                <w:szCs w:val="20"/>
              </w:rPr>
              <w:t>ction.</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are a party to several related-party agreements with our founder and Executive Chairman, Mahmud Haq, which have significant contractual obligations.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depend on key information systems and third-party service providers.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Systems failu</w:t>
            </w:r>
            <w:r>
              <w:rPr>
                <w:rFonts w:eastAsia="Times New Roman"/>
                <w:sz w:val="20"/>
                <w:szCs w:val="20"/>
              </w:rPr>
              <w:t>res or cyber-attacks and resulting interruptions in the availability of or degradation in the performance of our websites, applications, products or services could harm our business.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Rapid </w:t>
            </w:r>
            <w:r>
              <w:rPr>
                <w:rFonts w:eastAsia="Times New Roman"/>
                <w:sz w:val="20"/>
                <w:szCs w:val="20"/>
              </w:rPr>
              <w:t>technological change in the telehealth industry presents us with significant risks and challenges.</w:t>
            </w:r>
          </w:p>
        </w:tc>
      </w:tr>
    </w:tbl>
    <w:p w:rsidR="00000000" w:rsidRDefault="00B30BA7">
      <w:pPr>
        <w:pStyle w:val="a3"/>
        <w:spacing w:before="0" w:beforeAutospacing="0" w:after="0" w:afterAutospacing="0"/>
        <w:ind w:left="36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Regulatory Risks</w:t>
      </w:r>
    </w:p>
    <w:p w:rsidR="00000000" w:rsidRDefault="00B30BA7">
      <w:pPr>
        <w:pStyle w:val="a3"/>
        <w:spacing w:before="0" w:beforeAutospacing="0" w:after="0" w:afterAutospacing="0"/>
        <w:jc w:val="both"/>
        <w:rPr>
          <w:sz w:val="20"/>
          <w:szCs w:val="20"/>
        </w:rPr>
      </w:pPr>
      <w:r>
        <w:rPr>
          <w:i/>
          <w:i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The healthcare industry is heavily regulated. Our failure to comply with regulatory requirements could create liability for us, resul</w:t>
            </w:r>
            <w:r>
              <w:rPr>
                <w:rFonts w:eastAsia="Times New Roman"/>
                <w:sz w:val="20"/>
                <w:szCs w:val="20"/>
              </w:rPr>
              <w:t>t in adverse publicity and negatively affect our business.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If we do not maintain the certification of our EHR solutions pursuant to the HITECH Act, our business, financial condition and results of operations will be adversely affected.</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If a breach </w:t>
            </w:r>
            <w:r>
              <w:rPr>
                <w:rFonts w:eastAsia="Times New Roman"/>
                <w:sz w:val="20"/>
                <w:szCs w:val="20"/>
              </w:rPr>
              <w:t>of our measures protecting personal data covered by HIPAA or the HITECH Act occurs, we may incur significant liabilities.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If </w:t>
            </w:r>
            <w:r>
              <w:rPr>
                <w:rFonts w:eastAsia="Times New Roman"/>
                <w:sz w:val="20"/>
                <w:szCs w:val="20"/>
              </w:rPr>
              <w:t>we or our customers fail to comply with federal and state laws governing submission of false or fraudulent claims to government healthcare programs and financial relationships among healthcare providers, we or our customers may be subject to civil and crim</w:t>
            </w:r>
            <w:r>
              <w:rPr>
                <w:rFonts w:eastAsia="Times New Roman"/>
                <w:sz w:val="20"/>
                <w:szCs w:val="20"/>
              </w:rPr>
              <w:t>inal penalties or loss of eligibility to participate in government healthcare programs.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Potential healthcare reform and new regulatory requirements placed on our products and services could increase our costs, delay or prevent our introduction of new p</w:t>
            </w:r>
            <w:r>
              <w:rPr>
                <w:rFonts w:eastAsia="Times New Roman"/>
                <w:sz w:val="20"/>
                <w:szCs w:val="20"/>
              </w:rPr>
              <w:t>roducts or services, and impair the function or value of our existing products and services.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Additional regulation of the disclosure of medical information outside the United States may adversely affect our operations and may increase our costs.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w:t>
            </w:r>
            <w:r>
              <w:rPr>
                <w:rFonts w:eastAsia="Times New Roman"/>
                <w:sz w:val="20"/>
                <w:szCs w:val="20"/>
              </w:rPr>
              <w:t>r services present the potential for embezzlement, identity theft, or other similar illegal behavior by our employees.</w:t>
            </w:r>
          </w:p>
        </w:tc>
      </w:tr>
    </w:tbl>
    <w:p w:rsidR="00000000" w:rsidRDefault="00B30BA7">
      <w:pPr>
        <w:pStyle w:val="a3"/>
        <w:spacing w:before="0" w:beforeAutospacing="0" w:after="0" w:afterAutospacing="0"/>
        <w:ind w:left="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20748962"/>
        </w:trPr>
        <w:tc>
          <w:tcPr>
            <w:tcW w:w="5000" w:type="pct"/>
            <w:hideMark/>
          </w:tcPr>
          <w:p w:rsidR="00000000" w:rsidRDefault="00B30BA7">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ind w:left="36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Risks Related to Ownership of Shares of Our Common Stock</w:t>
      </w:r>
    </w:p>
    <w:p w:rsidR="00000000" w:rsidRDefault="00B30BA7">
      <w:pPr>
        <w:pStyle w:val="a3"/>
        <w:spacing w:before="0" w:beforeAutospacing="0" w:after="0" w:afterAutospacing="0"/>
        <w:jc w:val="both"/>
        <w:rPr>
          <w:sz w:val="20"/>
          <w:szCs w:val="20"/>
        </w:rPr>
      </w:pPr>
      <w:r>
        <w:rPr>
          <w:i/>
          <w:i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Our </w:t>
            </w:r>
            <w:r>
              <w:rPr>
                <w:rFonts w:eastAsia="Times New Roman"/>
                <w:sz w:val="20"/>
                <w:szCs w:val="20"/>
              </w:rPr>
              <w:t>revenues, operating results and cash flows may fluctuate in future periods and we may fail to meet investor expectations, which may cause the price of our common stock to decline.</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Future sales of shares of our common stock could depress the market pric</w:t>
            </w:r>
            <w:r>
              <w:rPr>
                <w:rFonts w:eastAsia="Times New Roman"/>
                <w:sz w:val="20"/>
                <w:szCs w:val="20"/>
              </w:rPr>
              <w:t>e of our common stock.</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Mahmud Haq currently controls 30.1% of our outstanding shares of common stock, which will prevent investors from influencing significant corporate decisions.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Provisions of Delaware law, of our amended and restated charter and</w:t>
            </w:r>
            <w:r>
              <w:rPr>
                <w:rFonts w:eastAsia="Times New Roman"/>
                <w:sz w:val="20"/>
                <w:szCs w:val="20"/>
              </w:rPr>
              <w:t xml:space="preserve"> amended and restated bylaws may make a takeover more difficult, which could cause our common stock price to decline.</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Any issuance of additional preferred stock in the future may dilute the rights of our existing stockholders.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We </w:t>
            </w:r>
            <w:r>
              <w:rPr>
                <w:rFonts w:eastAsia="Times New Roman"/>
                <w:sz w:val="20"/>
                <w:szCs w:val="20"/>
              </w:rPr>
              <w:t>do not intend to pay cash dividends on our common stock.</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Complying with the laws and regulations affecting public companies may increase our costs and the demands on management, and could harm our operating results.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are a smaller reporting compa</w:t>
            </w:r>
            <w:r>
              <w:rPr>
                <w:rFonts w:eastAsia="Times New Roman"/>
                <w:sz w:val="20"/>
                <w:szCs w:val="20"/>
              </w:rPr>
              <w:t>ny and we cannot be certain if the reduced disclosure requirements applicable to smaller reporting companies will make our common stock less attractive to investors.</w:t>
            </w:r>
          </w:p>
        </w:tc>
      </w:tr>
    </w:tbl>
    <w:p w:rsidR="00000000" w:rsidRDefault="00B30BA7">
      <w:pPr>
        <w:pStyle w:val="a3"/>
        <w:spacing w:before="0" w:beforeAutospacing="0" w:after="0" w:afterAutospacing="0"/>
        <w:ind w:left="36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Risks Related to Ownership of Shares of Our Preferred Stock</w:t>
      </w:r>
    </w:p>
    <w:p w:rsidR="00000000" w:rsidRDefault="00B30BA7">
      <w:pPr>
        <w:pStyle w:val="a3"/>
        <w:spacing w:before="0" w:beforeAutospacing="0" w:after="0" w:afterAutospacing="0"/>
        <w:jc w:val="both"/>
        <w:rPr>
          <w:sz w:val="20"/>
          <w:szCs w:val="20"/>
        </w:rPr>
      </w:pPr>
      <w:r>
        <w:rPr>
          <w:i/>
          <w:i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Series A and Series</w:t>
            </w:r>
            <w:r>
              <w:rPr>
                <w:rFonts w:eastAsia="Times New Roman"/>
                <w:sz w:val="20"/>
                <w:szCs w:val="20"/>
              </w:rPr>
              <w:t xml:space="preserve"> B preferred stock (“Preferred Stock”) ranks junior to all of our indebtedness and other liabilities.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We may not be able to pay dividends on the Preferred Stock if we fall out of compliance with </w:t>
            </w:r>
            <w:r>
              <w:rPr>
                <w:rFonts w:eastAsia="Times New Roman"/>
                <w:sz w:val="20"/>
                <w:szCs w:val="20"/>
              </w:rPr>
              <w:t>our loan covenants and are prohibited by our bank lender from paying dividends or if we have insufficient cash to make dividend payments.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may issue additional shares of Preferred Stock and additional series of preferred stock that rank on parity wit</w:t>
            </w:r>
            <w:r>
              <w:rPr>
                <w:rFonts w:eastAsia="Times New Roman"/>
                <w:sz w:val="20"/>
                <w:szCs w:val="20"/>
              </w:rPr>
              <w:t>h the Preferred Stock as to dividend rights, rights upon liquidation or voting rights.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Market </w:t>
            </w:r>
            <w:r>
              <w:rPr>
                <w:rFonts w:eastAsia="Times New Roman"/>
                <w:sz w:val="20"/>
                <w:szCs w:val="20"/>
              </w:rPr>
              <w:t>interest rates may materially and adversely affect the value of the Preferred Stock.</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Holders of the Preferred Stock may be unable to use the dividends-received deduction and may not be eligible for the preferential tax rates applicable to “qualified di</w:t>
            </w:r>
            <w:r>
              <w:rPr>
                <w:rFonts w:eastAsia="Times New Roman"/>
                <w:sz w:val="20"/>
                <w:szCs w:val="20"/>
              </w:rPr>
              <w:t>vidend income”.</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Preferred Stock has not been rated.</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may redeem the Series A Preferred Stock at any time, including 800,000 shares of Series A Preferred Stock that we intend to redeem on March 18, 2022, and may redeem the Series B Preferred S</w:t>
            </w:r>
            <w:r>
              <w:rPr>
                <w:rFonts w:eastAsia="Times New Roman"/>
                <w:sz w:val="20"/>
                <w:szCs w:val="20"/>
              </w:rPr>
              <w:t>tock after February 15, 2024.</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The market price of our Preferred Stock is variable and could be substantially affected by various factors.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A </w:t>
            </w:r>
            <w:r>
              <w:rPr>
                <w:rFonts w:eastAsia="Times New Roman"/>
                <w:sz w:val="20"/>
                <w:szCs w:val="20"/>
              </w:rPr>
              <w:t>holder of Preferred Stock has extremely limited voting rights.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The Preferred Stock is not convertible, and investors will not realize a corresponding upside if the price of the common stock increases.</w:t>
            </w:r>
          </w:p>
        </w:tc>
      </w:tr>
    </w:tbl>
    <w:p w:rsidR="00000000" w:rsidRDefault="00B30BA7">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3751019"/>
        </w:trPr>
        <w:tc>
          <w:tcPr>
            <w:tcW w:w="5000" w:type="pct"/>
            <w:hideMark/>
          </w:tcPr>
          <w:p w:rsidR="00000000" w:rsidRDefault="00B30BA7">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b/>
          <w:bCs/>
          <w:sz w:val="20"/>
          <w:szCs w:val="20"/>
        </w:rPr>
      </w:pPr>
      <w:r>
        <w:rPr>
          <w:b/>
          <w:bCs/>
          <w:sz w:val="20"/>
          <w:szCs w:val="20"/>
        </w:rPr>
        <w:t> </w:t>
      </w:r>
    </w:p>
    <w:p w:rsidR="00000000" w:rsidRDefault="00B30BA7">
      <w:pPr>
        <w:pStyle w:val="a3"/>
        <w:spacing w:before="0" w:beforeAutospacing="0" w:after="0" w:afterAutospacing="0"/>
        <w:rPr>
          <w:b/>
          <w:bCs/>
          <w:sz w:val="20"/>
          <w:szCs w:val="20"/>
        </w:rPr>
      </w:pPr>
      <w:r>
        <w:rPr>
          <w:b/>
          <w:bCs/>
          <w:sz w:val="20"/>
          <w:szCs w:val="20"/>
        </w:rPr>
        <w:t>PART I</w:t>
      </w:r>
    </w:p>
    <w:p w:rsidR="00000000" w:rsidRDefault="00B30BA7">
      <w:pPr>
        <w:pStyle w:val="a3"/>
        <w:spacing w:before="0" w:beforeAutospacing="0" w:after="0" w:afterAutospacing="0"/>
        <w:rPr>
          <w:b/>
          <w:bCs/>
          <w:sz w:val="20"/>
          <w:szCs w:val="20"/>
        </w:rPr>
      </w:pPr>
      <w:r>
        <w:rPr>
          <w:b/>
          <w:bCs/>
          <w:sz w:val="20"/>
          <w:szCs w:val="20"/>
        </w:rPr>
        <w:t> </w:t>
      </w:r>
    </w:p>
    <w:p w:rsidR="00000000" w:rsidRDefault="00B30BA7">
      <w:pPr>
        <w:pStyle w:val="a3"/>
        <w:spacing w:before="0" w:beforeAutospacing="0" w:after="0" w:afterAutospacing="0"/>
        <w:rPr>
          <w:b/>
          <w:bCs/>
          <w:sz w:val="20"/>
          <w:szCs w:val="20"/>
        </w:rPr>
      </w:pPr>
      <w:r>
        <w:rPr>
          <w:b/>
          <w:bCs/>
          <w:sz w:val="20"/>
          <w:szCs w:val="20"/>
        </w:rPr>
        <w:t>Item 1. Business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Overview</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CareCloud, Inc., formerly MTBC, Inc. (“CareCloud,” and together with its consolidated subsidiaries, the “Company,” “we,” “us” and/or “our”) is a leading healthcare information technology company that provides a full suite of proprietary cloud-ba</w:t>
      </w:r>
      <w:r>
        <w:rPr>
          <w:sz w:val="20"/>
          <w:szCs w:val="20"/>
        </w:rPr>
        <w:t>sed solutions and related business services, to healthcare providers, from small practices to enterprise medical groups, hospitals, and health systems throughout the United States. Healthcare organizations today operate in highly complex and regulated envi</w:t>
      </w:r>
      <w:r>
        <w:rPr>
          <w:sz w:val="20"/>
          <w:szCs w:val="20"/>
        </w:rPr>
        <w:t>ronments, and our suite of technology-enabled solutions helps our clients increase financial and operational performance, streamline clinical workflows, and improve the patient experience. Our Software-as-a-Service (“SaaS”) platforms include practice manag</w:t>
      </w:r>
      <w:r>
        <w:rPr>
          <w:sz w:val="20"/>
          <w:szCs w:val="20"/>
        </w:rPr>
        <w:t>ement (“PM”), electronic health record (“EHR”), business intelligence, telehealth, patient experience management (“PXM”) solutions, and robotic processing automation (“RPA”) bots, along with complementary software tools and business services such as revenu</w:t>
      </w:r>
      <w:r>
        <w:rPr>
          <w:sz w:val="20"/>
          <w:szCs w:val="20"/>
        </w:rPr>
        <w:t>e cycle management (“RCM”), premiere healthcare consulting and implementation services, and on-demand workforce staffing capabilities for high-performance medical groups and health systems nationwide.</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At a high level, these solutions can be categorized a</w:t>
      </w:r>
      <w:r>
        <w:rPr>
          <w:sz w:val="20"/>
          <w:szCs w:val="20"/>
        </w:rPr>
        <w:t>s follows:</w:t>
      </w:r>
    </w:p>
    <w:p w:rsidR="00000000" w:rsidRDefault="00B30BA7">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B30BA7">
            <w:pPr>
              <w:rPr>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Technology-enabled business solutions, which are sometimes provided as individual SaaS offerings and often provided in combination with each other, including:</w:t>
            </w:r>
          </w:p>
        </w:tc>
      </w:tr>
    </w:tbl>
    <w:p w:rsidR="00000000" w:rsidRDefault="00B30BA7">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EHRs, which are easy to use and sometimes integrated with our business serv</w:t>
            </w:r>
            <w:r>
              <w:rPr>
                <w:rFonts w:eastAsia="Times New Roman"/>
                <w:sz w:val="20"/>
                <w:szCs w:val="20"/>
              </w:rPr>
              <w:t>ices, and enable our healthcare provider clients to deliver better patient care, streamline their clinical workflows, decrease documentation errors and potentially qualify for government incentives;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PM software and related capabilities, which support </w:t>
            </w:r>
            <w:r>
              <w:rPr>
                <w:rFonts w:eastAsia="Times New Roman"/>
                <w:sz w:val="20"/>
                <w:szCs w:val="20"/>
              </w:rPr>
              <w:t>our clients’ day-to-day business operations and financial workflows, including automated insurance eligibility software, a robust billing and claims rules engine and other automated tools designed to maximize reimbursement;</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PXM </w:t>
            </w:r>
            <w:r>
              <w:rPr>
                <w:rFonts w:eastAsia="Times New Roman"/>
                <w:sz w:val="20"/>
                <w:szCs w:val="20"/>
              </w:rPr>
              <w:t>solutions designed to transform interactions between patients and their clinicians, including smartphone applications that assist patients and healthcare providers in the provision of healthcare services, including contactless digital check-in solutions, m</w:t>
            </w:r>
            <w:r>
              <w:rPr>
                <w:rFonts w:eastAsia="Times New Roman"/>
                <w:sz w:val="20"/>
                <w:szCs w:val="20"/>
              </w:rPr>
              <w:t>essaging and online appointment scheduling tools;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An RPA solution that leverages the power of our own proprietary healthcare-specific microbots, designed to automate routine financial and clinical workflows across the healthcare industry. Our solution</w:t>
            </w:r>
            <w:r>
              <w:rPr>
                <w:rFonts w:eastAsia="Times New Roman"/>
                <w:sz w:val="20"/>
                <w:szCs w:val="20"/>
              </w:rPr>
              <w:t xml:space="preserve"> allows clients to automate costly, labor-intensive tasks, alleviate the surge in demand for additional labor while driving efficiencies across a large array of healthcare settings nationwide;</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Telehealth solutions which allow healthcare providers to c</w:t>
            </w:r>
            <w:r>
              <w:rPr>
                <w:rFonts w:eastAsia="Times New Roman"/>
                <w:sz w:val="20"/>
                <w:szCs w:val="20"/>
              </w:rPr>
              <w:t>onduct remote patient visits;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Healthcare claims clearinghouse which enables our clients to electronically scrub and submit claims and process payments from insurance companies;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Business </w:t>
            </w:r>
            <w:r>
              <w:rPr>
                <w:rFonts w:eastAsia="Times New Roman"/>
                <w:sz w:val="20"/>
                <w:szCs w:val="20"/>
              </w:rPr>
              <w:t>intelligence and healthcare analytics platforms that allow our clients to derive actionable insights from their vast amount of data;</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Interoperability and data transformation software to support the complex realities of data exchange with healthcare tr</w:t>
            </w:r>
            <w:r>
              <w:rPr>
                <w:rFonts w:eastAsia="Times New Roman"/>
                <w:sz w:val="20"/>
                <w:szCs w:val="20"/>
              </w:rPr>
              <w:t>ading partners, including labs, insurance companies, and other healthcare IT vendors;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RCM services including end-to-end medical billing, eligibility, analytics, and related services, all of which can be provided utilizing our technology platform or th</w:t>
            </w:r>
            <w:r>
              <w:rPr>
                <w:rFonts w:eastAsia="Times New Roman"/>
                <w:sz w:val="20"/>
                <w:szCs w:val="20"/>
              </w:rPr>
              <w:t>rough a third-party system;</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Customized applications, interfaces and a variety of other technology solutions that support our healthcare clients;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Professional services consisting of application and advisory services, revenue cycle services, data a</w:t>
            </w:r>
            <w:r>
              <w:rPr>
                <w:rFonts w:eastAsia="Times New Roman"/>
                <w:sz w:val="20"/>
                <w:szCs w:val="20"/>
              </w:rPr>
              <w:t>nalytic services and educational training services; and</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Workforce augmentation and on-demand staffing to support our clients as they expand their businesses, </w:t>
            </w:r>
            <w:r>
              <w:rPr>
                <w:rFonts w:eastAsia="Times New Roman"/>
                <w:sz w:val="20"/>
                <w:szCs w:val="20"/>
              </w:rPr>
              <w:t>seek highly trained personnel, or struggle with staffing shortages.</w:t>
            </w:r>
          </w:p>
        </w:tc>
      </w:tr>
    </w:tbl>
    <w:p w:rsidR="00000000" w:rsidRDefault="00B30BA7">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B30BA7">
            <w:pPr>
              <w:rPr>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Medical practice management services are provided to medical practices. In this service model, we provide the medical practice with appropriate facilities, equipment, supplies, suppo</w:t>
            </w:r>
            <w:r>
              <w:rPr>
                <w:rFonts w:eastAsia="Times New Roman"/>
                <w:sz w:val="20"/>
                <w:szCs w:val="20"/>
              </w:rPr>
              <w:t>rt services, nurses, and administrative support staff. We also provide management, bill-paying and financial advisory services.</w:t>
            </w:r>
          </w:p>
        </w:tc>
      </w:tr>
    </w:tbl>
    <w:p w:rsidR="00000000" w:rsidRDefault="00B30BA7">
      <w:pPr>
        <w:pStyle w:val="a3"/>
        <w:spacing w:before="0" w:beforeAutospacing="0" w:after="0" w:afterAutospacing="0"/>
        <w:ind w:left="72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solutions enable clients to increase financial and operational performance, streamline clinical workflows, get better ins</w:t>
      </w:r>
      <w:r>
        <w:rPr>
          <w:sz w:val="20"/>
          <w:szCs w:val="20"/>
        </w:rPr>
        <w:t>ight through data, and make better business and clinical decisions, resulting in improvement in patient care and collections while reducing administrative burdens and operating costs.</w:t>
      </w:r>
    </w:p>
    <w:p w:rsidR="00000000" w:rsidRDefault="00B30BA7">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43345169"/>
        </w:trPr>
        <w:tc>
          <w:tcPr>
            <w:tcW w:w="5000" w:type="pct"/>
            <w:hideMark/>
          </w:tcPr>
          <w:p w:rsidR="00000000" w:rsidRDefault="00B30BA7">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 xml:space="preserve">The modernization of the healthcare industry is transforming </w:t>
      </w:r>
      <w:r>
        <w:rPr>
          <w:sz w:val="20"/>
          <w:szCs w:val="20"/>
        </w:rPr>
        <w:t>nearly every aspect of a healthcare organization from policy to providers; clinical care to member services, devices to data, and ultimately the quality of the patient’s experience as a healthcare consumer.</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create elegant, user-friendly applications t</w:t>
      </w:r>
      <w:r>
        <w:rPr>
          <w:sz w:val="20"/>
          <w:szCs w:val="20"/>
        </w:rPr>
        <w:t>hat solve many of the challenges facing healthcare organizations. We partner with organizations to develop customized, best-in-class solutions to solve their specific challenges while ensuring they also meet future regulatory and organizational requirement</w:t>
      </w:r>
      <w:r>
        <w:rPr>
          <w:sz w:val="20"/>
          <w:szCs w:val="20"/>
        </w:rPr>
        <w:t>s and market demands.</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Market Overview</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 xml:space="preserve">In December 2020, Centers for Medicare &amp; Medicaid Services (“CMS”) reported that national healthcare expenditure in the </w:t>
      </w:r>
      <w:r>
        <w:rPr>
          <w:sz w:val="20"/>
          <w:szCs w:val="20"/>
        </w:rPr>
        <w:t>U.S. grew 9.7% to $4.1 trillion in 2020. U.S healthcare spending will grow 5.4% annually on average during the years 2021 through 2028, reaching $6.2 trillion by 2028. CMS also projected that health spending will grow 1.1% faster than gross domestic produc</w:t>
      </w:r>
      <w:r>
        <w:rPr>
          <w:sz w:val="20"/>
          <w:szCs w:val="20"/>
        </w:rPr>
        <w:t>t (“GDP”) annually during the years 2021 through 2028; and as a result, the healthcare share of GDP is expected to rise from 17.7% in 2018 to 19.7% by 2028.</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Additionally, analysts from Markets &amp; Markets have estimated the US Healthcare IT industry market</w:t>
      </w:r>
      <w:r>
        <w:rPr>
          <w:sz w:val="20"/>
          <w:szCs w:val="20"/>
        </w:rPr>
        <w:t xml:space="preserve"> to be approximately $177 billion with its largest sub-segment RCM at approximately $87 billion in 2019, growing at a 12% compound annual growth rate (“CAGR”). The North American EHR market has been estimated to be approximately $40 billion, growing at a C</w:t>
      </w:r>
      <w:r>
        <w:rPr>
          <w:sz w:val="20"/>
          <w:szCs w:val="20"/>
        </w:rPr>
        <w:t xml:space="preserve">AGR of 6% per year. The Analytics and AI sub-segment was estimated to be approximately $30 billion, growing at a 27% CAGR and the Telehealth market is estimated to be approximately $20 billion with a CAGR of 17%. Standalone billing and practice management </w:t>
      </w:r>
      <w:r>
        <w:rPr>
          <w:sz w:val="20"/>
          <w:szCs w:val="20"/>
        </w:rPr>
        <w:t>solutions are reported to be declining in the market today as medical practices move towards integrated, end-to-end systems that incorporate front and back-office data flows, provide seamless access to clinical data from EHRs, and streamline the entire rev</w:t>
      </w:r>
      <w:r>
        <w:rPr>
          <w:sz w:val="20"/>
          <w:szCs w:val="20"/>
        </w:rPr>
        <w:t>enue cycle management process.</w:t>
      </w:r>
    </w:p>
    <w:p w:rsidR="00000000" w:rsidRDefault="00B30BA7">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25168744"/>
        </w:trPr>
        <w:tc>
          <w:tcPr>
            <w:tcW w:w="5000" w:type="pct"/>
            <w:hideMark/>
          </w:tcPr>
          <w:p w:rsidR="00000000" w:rsidRDefault="00B30BA7">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Our Market Opportunity</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 xml:space="preserve">Considering the evolving needs of our clients and the market, we believe we continue to be uniquely positioned to provide tremendous value and support for our clients. We believe there are </w:t>
      </w:r>
      <w:r>
        <w:rPr>
          <w:sz w:val="20"/>
          <w:szCs w:val="20"/>
        </w:rPr>
        <w:t>dynamics at play that are significantly increasing market need for our products and services. These market dynamics present opportunities for us to innovate and focus on impacting the day-to-day challenges our clients face as they work to provide excellent</w:t>
      </w:r>
      <w:r>
        <w:rPr>
          <w:sz w:val="20"/>
          <w:szCs w:val="20"/>
        </w:rPr>
        <w:t xml:space="preserve"> patient care, all while managing and expanding their businesses.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Medical practices and health systems alike are transitioning to increasingly complex reimbursement delivery models. As an example, the industry has been gradually shifting from fee-for-ser</w:t>
      </w:r>
      <w:r>
        <w:rPr>
          <w:sz w:val="20"/>
          <w:szCs w:val="20"/>
        </w:rPr>
        <w:t>vice payments to value-based/clinical outcomes-based care payments. This transition comes in a multitude of forms including reimbursement models associated with quality incentive programs, capitation payments models, bundled payments, and at-risk payer con</w:t>
      </w:r>
      <w:r>
        <w:rPr>
          <w:sz w:val="20"/>
          <w:szCs w:val="20"/>
        </w:rPr>
        <w:t>tracts.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There are continuing legislative and regulatory reform efforts, as well as growing compliance requirements mandated by the federal government and other governmental agencies. This ever-evolving regulatory landscape increases the pressure placed o</w:t>
      </w:r>
      <w:r>
        <w:rPr>
          <w:sz w:val="20"/>
          <w:szCs w:val="20"/>
        </w:rPr>
        <w:t>n healthcare organizations to stay abreast of these changes and in compliance. The complexities associated with emerging reimbursement models and continued government regulations present opportunities for us as healthcare organizations seek out partners th</w:t>
      </w:r>
      <w:r>
        <w:rPr>
          <w:sz w:val="20"/>
          <w:szCs w:val="20"/>
        </w:rPr>
        <w:t>at offer a broad range of software and services to help meet their needs.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clients also have to factor in the rising cost of health insurance, changes in health benefit plan design, and the impact that these factors have had on the increase in patient</w:t>
      </w:r>
      <w:r>
        <w:rPr>
          <w:sz w:val="20"/>
          <w:szCs w:val="20"/>
        </w:rPr>
        <w:t xml:space="preserve"> consumerism. Patients are seeking lower cost care in response to insurance carriers shifting more of the cost burden onto patients, causing healthcare organizations to reconsider the full patient experience. Healthcare providers now need to think more dee</w:t>
      </w:r>
      <w:r>
        <w:rPr>
          <w:sz w:val="20"/>
          <w:szCs w:val="20"/>
        </w:rPr>
        <w:t>ply about patient expectations. This is especially true as COVID-19 has reshaped the sector and accelerated its digital transformation.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Strategic-thinking </w:t>
      </w:r>
      <w:r>
        <w:rPr>
          <w:sz w:val="20"/>
          <w:szCs w:val="20"/>
        </w:rPr>
        <w:t>healthcare organizations across the country are aggressively addressing these new realities and are finding opportunities for growth and expansion. We see medical groups across the country and within all specialties and market segments, growing through con</w:t>
      </w:r>
      <w:r>
        <w:rPr>
          <w:sz w:val="20"/>
          <w:szCs w:val="20"/>
        </w:rPr>
        <w:t>solidation and investing in their businesses at an accelerated pace. This is also leading clients to focus on delivering emerging and disruptive care delivery settings. Much of this change is driving executives and leaders to assess their IT and data strat</w:t>
      </w:r>
      <w:r>
        <w:rPr>
          <w:sz w:val="20"/>
          <w:szCs w:val="20"/>
        </w:rPr>
        <w:t>egy and reevaluate what it means for the future of their organizations.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healthcare industry has seen tremendous change over the past decade. Our study of the evolving needs of our clients leads us to believe that there will be a continuing need for o</w:t>
      </w:r>
      <w:r>
        <w:rPr>
          <w:sz w:val="20"/>
          <w:szCs w:val="20"/>
        </w:rPr>
        <w:t>ur services and products and emerging needs for the products and services that we are already developing. These trends will fuel growth over the next several years. In order for healthcare organizations to continue to succeed, these new realities require r</w:t>
      </w:r>
      <w:r>
        <w:rPr>
          <w:sz w:val="20"/>
          <w:szCs w:val="20"/>
        </w:rPr>
        <w:t>obust solutions and careful execution. Legacy tools that once powered these healthcare organizations are insufficient to support their growth and long-term strategies. Our solutions facilitate the transition needed by these organizations to drive their fut</w:t>
      </w:r>
      <w:r>
        <w:rPr>
          <w:sz w:val="20"/>
          <w:szCs w:val="20"/>
        </w:rPr>
        <w:t>ure growth. Our expansive product and services portfolio enables us to displace competitors and gain market share across a vast array of specialties, care settings and customer segments across the country.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Our Business Strategy</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Our objective is to be a</w:t>
      </w:r>
      <w:r>
        <w:rPr>
          <w:sz w:val="20"/>
          <w:szCs w:val="20"/>
        </w:rPr>
        <w:t xml:space="preserve"> market leading provider of integrated, end-to-end SaaS and business services solutions to healthcare organizations. Our mission is to create flexible and comprehensive products and services to help our clients with the business of medicine. To that end, w</w:t>
      </w:r>
      <w:r>
        <w:rPr>
          <w:sz w:val="20"/>
          <w:szCs w:val="20"/>
        </w:rPr>
        <w:t>e invest significant resources toward improving our current offerings and building new solutions that help transform our clients’ organizations. We expect to have increased software capabilities and offer additional complementary business services that wil</w:t>
      </w:r>
      <w:r>
        <w:rPr>
          <w:sz w:val="20"/>
          <w:szCs w:val="20"/>
        </w:rPr>
        <w:t>l address the needs of the ever-changing, dynamic market conditions of the U.S. healthcare space.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To achieve our objective and mission, we employ the following strategies:</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ind w:left="720"/>
        <w:jc w:val="both"/>
        <w:rPr>
          <w:sz w:val="20"/>
          <w:szCs w:val="20"/>
        </w:rPr>
      </w:pPr>
      <w:r>
        <w:rPr>
          <w:b/>
          <w:bCs/>
          <w:i/>
          <w:iCs/>
          <w:sz w:val="20"/>
          <w:szCs w:val="20"/>
        </w:rPr>
        <w:t>Providing comprehensive product and services suite to medical practices and hosp</w:t>
      </w:r>
      <w:r>
        <w:rPr>
          <w:b/>
          <w:bCs/>
          <w:i/>
          <w:iCs/>
          <w:sz w:val="20"/>
          <w:szCs w:val="20"/>
        </w:rPr>
        <w:t>itals.</w:t>
      </w:r>
      <w:r>
        <w:rPr>
          <w:sz w:val="20"/>
          <w:szCs w:val="20"/>
        </w:rPr>
        <w:t xml:space="preserve"> We believe that healthcare providers are </w:t>
      </w:r>
      <w:r>
        <w:rPr>
          <w:sz w:val="20"/>
          <w:szCs w:val="20"/>
        </w:rPr>
        <w:t>in need of an integrated, end-to-end solution and a flexible service delivery model to manage the different facets of their businesses, from care delivery software, to claim submission, financial reporting, and data analytics.</w:t>
      </w:r>
    </w:p>
    <w:p w:rsidR="00000000" w:rsidRDefault="00B30BA7">
      <w:pPr>
        <w:pStyle w:val="a3"/>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6942967"/>
        </w:trPr>
        <w:tc>
          <w:tcPr>
            <w:tcW w:w="5000" w:type="pct"/>
            <w:hideMark/>
          </w:tcPr>
          <w:p w:rsidR="00000000" w:rsidRDefault="00B30BA7">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ind w:left="720"/>
        <w:jc w:val="both"/>
        <w:rPr>
          <w:sz w:val="20"/>
          <w:szCs w:val="20"/>
        </w:rPr>
      </w:pPr>
      <w:r>
        <w:rPr>
          <w:sz w:val="20"/>
          <w:szCs w:val="20"/>
        </w:rPr>
        <w:t> </w:t>
      </w:r>
    </w:p>
    <w:p w:rsidR="00000000" w:rsidRDefault="00B30BA7">
      <w:pPr>
        <w:pStyle w:val="a3"/>
        <w:spacing w:before="0" w:beforeAutospacing="0" w:after="0" w:afterAutospacing="0"/>
        <w:ind w:left="720"/>
        <w:jc w:val="both"/>
        <w:rPr>
          <w:sz w:val="20"/>
          <w:szCs w:val="20"/>
        </w:rPr>
      </w:pPr>
      <w:r>
        <w:rPr>
          <w:b/>
          <w:bCs/>
          <w:i/>
          <w:iCs/>
          <w:sz w:val="20"/>
          <w:szCs w:val="20"/>
        </w:rPr>
        <w:t>Enhancing our solu</w:t>
      </w:r>
      <w:r>
        <w:rPr>
          <w:b/>
          <w:bCs/>
          <w:i/>
          <w:iCs/>
          <w:sz w:val="20"/>
          <w:szCs w:val="20"/>
        </w:rPr>
        <w:t>tions.</w:t>
      </w:r>
      <w:r>
        <w:rPr>
          <w:sz w:val="20"/>
          <w:szCs w:val="20"/>
        </w:rPr>
        <w:t xml:space="preserve"> We intend to continue to enhance our solutions with new functionality and features leveraging our own teams, partnerships, and acquisitions. We will continue to dedicate significant resources to research and development to bolster our existing appli</w:t>
      </w:r>
      <w:r>
        <w:rPr>
          <w:sz w:val="20"/>
          <w:szCs w:val="20"/>
        </w:rPr>
        <w:t>cations and drive new opportunities for innovation on behalf of our clients.</w:t>
      </w:r>
    </w:p>
    <w:p w:rsidR="00000000" w:rsidRDefault="00B30BA7">
      <w:pPr>
        <w:pStyle w:val="a3"/>
        <w:spacing w:before="0" w:beforeAutospacing="0" w:after="0" w:afterAutospacing="0"/>
        <w:ind w:left="720"/>
        <w:jc w:val="both"/>
        <w:rPr>
          <w:sz w:val="20"/>
          <w:szCs w:val="20"/>
        </w:rPr>
      </w:pPr>
      <w:r>
        <w:rPr>
          <w:sz w:val="20"/>
          <w:szCs w:val="20"/>
        </w:rPr>
        <w:t> </w:t>
      </w:r>
    </w:p>
    <w:p w:rsidR="00000000" w:rsidRDefault="00B30BA7">
      <w:pPr>
        <w:pStyle w:val="a3"/>
        <w:spacing w:before="0" w:beforeAutospacing="0" w:after="0" w:afterAutospacing="0"/>
        <w:ind w:left="720"/>
        <w:jc w:val="both"/>
        <w:rPr>
          <w:sz w:val="20"/>
          <w:szCs w:val="20"/>
        </w:rPr>
      </w:pPr>
      <w:r>
        <w:rPr>
          <w:b/>
          <w:bCs/>
          <w:i/>
          <w:iCs/>
          <w:sz w:val="20"/>
          <w:szCs w:val="20"/>
        </w:rPr>
        <w:t xml:space="preserve">Expanding into new categories/specialties/markets. </w:t>
      </w:r>
      <w:r>
        <w:rPr>
          <w:sz w:val="20"/>
          <w:szCs w:val="20"/>
        </w:rPr>
        <w:t>We are focused on always reassessing the market landscape, seeking new opportunities to meet the needs of the clients in our addressable market with our products and services. This means developing new and exciting technologies, launching new services, ent</w:t>
      </w:r>
      <w:r>
        <w:rPr>
          <w:sz w:val="20"/>
          <w:szCs w:val="20"/>
        </w:rPr>
        <w:t>ering new specialties that can leverage our solutions and enabling growth for our clients or expanding into adjacent markets that we may not serve today.</w:t>
      </w:r>
    </w:p>
    <w:p w:rsidR="00000000" w:rsidRDefault="00B30BA7">
      <w:pPr>
        <w:pStyle w:val="a3"/>
        <w:spacing w:before="0" w:beforeAutospacing="0" w:after="0" w:afterAutospacing="0"/>
        <w:ind w:left="720"/>
        <w:jc w:val="both"/>
        <w:rPr>
          <w:sz w:val="20"/>
          <w:szCs w:val="20"/>
        </w:rPr>
      </w:pPr>
      <w:r>
        <w:rPr>
          <w:sz w:val="20"/>
          <w:szCs w:val="20"/>
        </w:rPr>
        <w:t> </w:t>
      </w:r>
    </w:p>
    <w:p w:rsidR="00000000" w:rsidRDefault="00B30BA7">
      <w:pPr>
        <w:pStyle w:val="a3"/>
        <w:spacing w:before="0" w:beforeAutospacing="0" w:after="0" w:afterAutospacing="0"/>
        <w:ind w:left="720"/>
        <w:jc w:val="both"/>
        <w:rPr>
          <w:sz w:val="20"/>
          <w:szCs w:val="20"/>
        </w:rPr>
      </w:pPr>
      <w:r>
        <w:rPr>
          <w:b/>
          <w:bCs/>
          <w:i/>
          <w:iCs/>
          <w:sz w:val="20"/>
          <w:szCs w:val="20"/>
        </w:rPr>
        <w:t xml:space="preserve">Expanding our client base. </w:t>
      </w:r>
      <w:r>
        <w:rPr>
          <w:sz w:val="20"/>
          <w:szCs w:val="20"/>
        </w:rPr>
        <w:t>We believe the market for our expansive value proposition is underserved,</w:t>
      </w:r>
      <w:r>
        <w:rPr>
          <w:sz w:val="20"/>
          <w:szCs w:val="20"/>
        </w:rPr>
        <w:t xml:space="preserve"> and we will continue to make investments to capture market share. We will invest in our sales and marketing activities, partners, and products to expand our client footprint.</w:t>
      </w:r>
    </w:p>
    <w:p w:rsidR="00000000" w:rsidRDefault="00B30BA7">
      <w:pPr>
        <w:pStyle w:val="a3"/>
        <w:spacing w:before="0" w:beforeAutospacing="0" w:after="0" w:afterAutospacing="0"/>
        <w:ind w:left="720"/>
        <w:jc w:val="both"/>
        <w:rPr>
          <w:sz w:val="20"/>
          <w:szCs w:val="20"/>
        </w:rPr>
      </w:pPr>
      <w:r>
        <w:rPr>
          <w:sz w:val="20"/>
          <w:szCs w:val="20"/>
        </w:rPr>
        <w:t> </w:t>
      </w:r>
    </w:p>
    <w:p w:rsidR="00000000" w:rsidRDefault="00B30BA7">
      <w:pPr>
        <w:pStyle w:val="a3"/>
        <w:spacing w:before="0" w:beforeAutospacing="0" w:after="0" w:afterAutospacing="0"/>
        <w:ind w:left="720"/>
        <w:jc w:val="both"/>
        <w:rPr>
          <w:sz w:val="20"/>
          <w:szCs w:val="20"/>
        </w:rPr>
      </w:pPr>
      <w:r>
        <w:rPr>
          <w:b/>
          <w:bCs/>
          <w:i/>
          <w:iCs/>
          <w:sz w:val="20"/>
          <w:szCs w:val="20"/>
        </w:rPr>
        <w:t xml:space="preserve">Extending our relationships with existing clients. </w:t>
      </w:r>
      <w:r>
        <w:rPr>
          <w:sz w:val="20"/>
          <w:szCs w:val="20"/>
        </w:rPr>
        <w:t>We intend to increase the n</w:t>
      </w:r>
      <w:r>
        <w:rPr>
          <w:sz w:val="20"/>
          <w:szCs w:val="20"/>
        </w:rPr>
        <w:t>umber of SaaS subscription licenses and services purchased by our current clients as they use our solutions. We are also focused on converting SaaS clients into higher revenue per client offerings such as revenue cycle management and other business service</w:t>
      </w:r>
      <w:r>
        <w:rPr>
          <w:sz w:val="20"/>
          <w:szCs w:val="20"/>
        </w:rPr>
        <w:t>s. This expansion of services typically represents a 3-4x increase in overall revenue per client.</w:t>
      </w:r>
    </w:p>
    <w:p w:rsidR="00000000" w:rsidRDefault="00B30BA7">
      <w:pPr>
        <w:pStyle w:val="a3"/>
        <w:spacing w:before="0" w:beforeAutospacing="0" w:after="0" w:afterAutospacing="0"/>
        <w:ind w:left="720"/>
        <w:jc w:val="both"/>
        <w:rPr>
          <w:sz w:val="20"/>
          <w:szCs w:val="20"/>
        </w:rPr>
      </w:pPr>
      <w:r>
        <w:rPr>
          <w:sz w:val="20"/>
          <w:szCs w:val="20"/>
        </w:rPr>
        <w:t> </w:t>
      </w:r>
    </w:p>
    <w:p w:rsidR="00000000" w:rsidRDefault="00B30BA7">
      <w:pPr>
        <w:pStyle w:val="a3"/>
        <w:spacing w:before="0" w:beforeAutospacing="0" w:after="0" w:afterAutospacing="0"/>
        <w:ind w:left="720"/>
        <w:jc w:val="both"/>
        <w:rPr>
          <w:sz w:val="20"/>
          <w:szCs w:val="20"/>
        </w:rPr>
      </w:pPr>
      <w:r>
        <w:rPr>
          <w:b/>
          <w:bCs/>
          <w:i/>
          <w:iCs/>
          <w:sz w:val="20"/>
          <w:szCs w:val="20"/>
        </w:rPr>
        <w:t>Strengthening our client community.</w:t>
      </w:r>
      <w:r>
        <w:rPr>
          <w:sz w:val="20"/>
          <w:szCs w:val="20"/>
        </w:rPr>
        <w:t xml:space="preserve"> We realize that our success is tied directly to our clients’ success. Accordingly, a substantial portion of our highly t</w:t>
      </w:r>
      <w:r>
        <w:rPr>
          <w:sz w:val="20"/>
          <w:szCs w:val="20"/>
        </w:rPr>
        <w:t>rained and educated workforce is devoted to client service.</w:t>
      </w:r>
      <w:r>
        <w:rPr>
          <w:sz w:val="20"/>
          <w:szCs w:val="20"/>
        </w:rPr>
        <w:tab/>
      </w:r>
    </w:p>
    <w:p w:rsidR="00000000" w:rsidRDefault="00B30BA7">
      <w:pPr>
        <w:pStyle w:val="a3"/>
        <w:spacing w:before="0" w:beforeAutospacing="0" w:after="0" w:afterAutospacing="0"/>
        <w:ind w:left="720"/>
        <w:jc w:val="both"/>
        <w:rPr>
          <w:sz w:val="20"/>
          <w:szCs w:val="20"/>
        </w:rPr>
      </w:pPr>
      <w:r>
        <w:rPr>
          <w:sz w:val="20"/>
          <w:szCs w:val="20"/>
        </w:rPr>
        <w:t> </w:t>
      </w:r>
    </w:p>
    <w:p w:rsidR="00000000" w:rsidRDefault="00B30BA7">
      <w:pPr>
        <w:pStyle w:val="a3"/>
        <w:spacing w:before="0" w:beforeAutospacing="0" w:after="0" w:afterAutospacing="0"/>
        <w:ind w:left="720"/>
        <w:jc w:val="both"/>
        <w:rPr>
          <w:sz w:val="20"/>
          <w:szCs w:val="20"/>
        </w:rPr>
      </w:pPr>
      <w:r>
        <w:rPr>
          <w:b/>
          <w:bCs/>
          <w:i/>
          <w:iCs/>
          <w:sz w:val="20"/>
          <w:szCs w:val="20"/>
        </w:rPr>
        <w:t xml:space="preserve">Leveraging significant cost advantages provided by our technology and global workforce. </w:t>
      </w:r>
      <w:r>
        <w:rPr>
          <w:sz w:val="20"/>
          <w:szCs w:val="20"/>
        </w:rPr>
        <w:t>Our unique business model includes our web-based software and a cost-effective offshore workforce located</w:t>
      </w:r>
      <w:r>
        <w:rPr>
          <w:sz w:val="20"/>
          <w:szCs w:val="20"/>
        </w:rPr>
        <w:t xml:space="preserve"> in Pakistan, Azad Jammu and Kashmir, and Sri Lanka (together, the “Offshore Offices”). We believe that this operating model provides us with significant cost advantages compared to other revenue cycle management companies and it allows us to significantly</w:t>
      </w:r>
      <w:r>
        <w:rPr>
          <w:sz w:val="20"/>
          <w:szCs w:val="20"/>
        </w:rPr>
        <w:t xml:space="preserve"> reduce the operational costs of the companies we acquire.</w:t>
      </w:r>
    </w:p>
    <w:p w:rsidR="00000000" w:rsidRDefault="00B30BA7">
      <w:pPr>
        <w:pStyle w:val="a3"/>
        <w:spacing w:before="0" w:beforeAutospacing="0" w:after="0" w:afterAutospacing="0"/>
        <w:ind w:left="720"/>
        <w:jc w:val="both"/>
        <w:rPr>
          <w:sz w:val="20"/>
          <w:szCs w:val="20"/>
        </w:rPr>
      </w:pPr>
      <w:r>
        <w:rPr>
          <w:sz w:val="20"/>
          <w:szCs w:val="20"/>
        </w:rPr>
        <w:t> </w:t>
      </w:r>
    </w:p>
    <w:p w:rsidR="00000000" w:rsidRDefault="00B30BA7">
      <w:pPr>
        <w:pStyle w:val="a3"/>
        <w:spacing w:before="0" w:beforeAutospacing="0" w:after="0" w:afterAutospacing="0"/>
        <w:ind w:left="720"/>
        <w:jc w:val="both"/>
        <w:rPr>
          <w:sz w:val="20"/>
          <w:szCs w:val="20"/>
        </w:rPr>
      </w:pPr>
      <w:r>
        <w:rPr>
          <w:b/>
          <w:bCs/>
          <w:i/>
          <w:iCs/>
          <w:sz w:val="20"/>
          <w:szCs w:val="20"/>
        </w:rPr>
        <w:t xml:space="preserve">Pursue acquisitions. </w:t>
      </w:r>
      <w:r>
        <w:rPr>
          <w:sz w:val="20"/>
          <w:szCs w:val="20"/>
        </w:rPr>
        <w:t>We intend to continue to pursue acquisitions over time. As with most of our acquisition transactions, our goal is to retain the acquired clients over the long-term and migrat</w:t>
      </w:r>
      <w:r>
        <w:rPr>
          <w:sz w:val="20"/>
          <w:szCs w:val="20"/>
        </w:rPr>
        <w:t>e those clients to our platforms soon after closing and cross-sell our products and services to this newly acquired client base. A core component of our model is to strip out expensive third-party software and vendor costs while improving efficiency and sc</w:t>
      </w:r>
      <w:r>
        <w:rPr>
          <w:sz w:val="20"/>
          <w:szCs w:val="20"/>
        </w:rPr>
        <w:t>ale with our proven operational model and integration methodology.</w:t>
      </w:r>
    </w:p>
    <w:p w:rsidR="00000000" w:rsidRDefault="00B30BA7">
      <w:pPr>
        <w:pStyle w:val="a3"/>
        <w:spacing w:before="0" w:beforeAutospacing="0" w:after="0" w:afterAutospacing="0"/>
        <w:ind w:left="720"/>
        <w:jc w:val="both"/>
        <w:rPr>
          <w:sz w:val="20"/>
          <w:szCs w:val="20"/>
        </w:rPr>
      </w:pPr>
      <w:r>
        <w:rPr>
          <w:sz w:val="20"/>
          <w:szCs w:val="20"/>
        </w:rPr>
        <w:t> </w:t>
      </w:r>
    </w:p>
    <w:p w:rsidR="00000000" w:rsidRDefault="00B30BA7">
      <w:pPr>
        <w:pStyle w:val="a3"/>
        <w:spacing w:before="0" w:beforeAutospacing="0" w:after="0" w:afterAutospacing="0"/>
        <w:ind w:left="720"/>
        <w:jc w:val="both"/>
        <w:rPr>
          <w:sz w:val="20"/>
          <w:szCs w:val="20"/>
        </w:rPr>
      </w:pPr>
      <w:r>
        <w:rPr>
          <w:b/>
          <w:bCs/>
          <w:i/>
          <w:iCs/>
          <w:sz w:val="20"/>
          <w:szCs w:val="20"/>
        </w:rPr>
        <w:t>Developing our partner ecosystem.</w:t>
      </w:r>
      <w:r>
        <w:rPr>
          <w:sz w:val="20"/>
          <w:szCs w:val="20"/>
        </w:rPr>
        <w:t xml:space="preserve"> We offer an integrated partner ecosystem providing healthcare organizations access to a variety of innovative solutions that complement our suite of prod</w:t>
      </w:r>
      <w:r>
        <w:rPr>
          <w:sz w:val="20"/>
          <w:szCs w:val="20"/>
        </w:rPr>
        <w:t>ucts and services. Our partner ecosystem is a comprehensive collection of apps, services, specialty solutions, and clinical connections. This is an integral part of our vision to be the premier cloud-based platform for healthcare.</w:t>
      </w:r>
    </w:p>
    <w:p w:rsidR="00000000" w:rsidRDefault="00B30BA7">
      <w:pPr>
        <w:pStyle w:val="a3"/>
        <w:spacing w:before="0" w:beforeAutospacing="0" w:after="0" w:afterAutospacing="0"/>
        <w:ind w:left="72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As the market continues</w:t>
      </w:r>
      <w:r>
        <w:rPr>
          <w:sz w:val="20"/>
          <w:szCs w:val="20"/>
        </w:rPr>
        <w:t xml:space="preserve"> to evolve, we may choose to build or partner for some or all of these solutions in order to broaden our product set. In the longer term, we also envision how this will allow for frictionless flow of information and care-coordination capabilities between m</w:t>
      </w:r>
      <w:r>
        <w:rPr>
          <w:sz w:val="20"/>
          <w:szCs w:val="20"/>
        </w:rPr>
        <w:t>edical providers and their patients.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Additionally, given the nature of our large data repository, which is ever-growing as each patient encounter is captured, opportunities exist to potentially monetize this data in an identified manner to help improve c</w:t>
      </w:r>
      <w:r>
        <w:rPr>
          <w:sz w:val="20"/>
          <w:szCs w:val="20"/>
        </w:rPr>
        <w:t>linical outcomes and other financial metrics.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99121142"/>
        </w:trPr>
        <w:tc>
          <w:tcPr>
            <w:tcW w:w="5000" w:type="pct"/>
            <w:hideMark/>
          </w:tcPr>
          <w:p w:rsidR="00000000" w:rsidRDefault="00B30BA7">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Our Offerings</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 xml:space="preserve">Our </w:t>
      </w:r>
      <w:r>
        <w:rPr>
          <w:sz w:val="20"/>
          <w:szCs w:val="20"/>
        </w:rPr>
        <w:t>solutions are designed to systematically drive clinical quality and patient outcomes, while streamlining staff and provider workflows and reimbursements and to support different settings of care and healthcare models. Our product and service strategy is si</w:t>
      </w:r>
      <w:r>
        <w:rPr>
          <w:sz w:val="20"/>
          <w:szCs w:val="20"/>
        </w:rPr>
        <w:t>mple: we build products and deliver solutions that meet clients’ needs.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Our product and services portfolio is organized across six strategic areas: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ind w:left="450"/>
        <w:jc w:val="both"/>
        <w:rPr>
          <w:sz w:val="20"/>
          <w:szCs w:val="20"/>
        </w:rPr>
      </w:pPr>
      <w:r>
        <w:rPr>
          <w:b/>
          <w:bCs/>
          <w:i/>
          <w:iCs/>
          <w:sz w:val="20"/>
          <w:szCs w:val="20"/>
        </w:rPr>
        <w:t>Cloud-based Sof</w:t>
      </w:r>
      <w:r>
        <w:rPr>
          <w:b/>
          <w:bCs/>
          <w:i/>
          <w:iCs/>
          <w:sz w:val="20"/>
          <w:szCs w:val="20"/>
        </w:rPr>
        <w:t xml:space="preserve">tware - </w:t>
      </w:r>
      <w:r>
        <w:rPr>
          <w:sz w:val="20"/>
          <w:szCs w:val="20"/>
        </w:rPr>
        <w:t>the core systems that power medical practices across clinical, financial, and patient workflows, including our PM systems, EHR solutions and our PXM applications or customized purpose-built applications.</w:t>
      </w:r>
    </w:p>
    <w:p w:rsidR="00000000" w:rsidRDefault="00B30BA7">
      <w:pPr>
        <w:pStyle w:val="a3"/>
        <w:spacing w:before="0" w:beforeAutospacing="0" w:after="0" w:afterAutospacing="0"/>
        <w:ind w:left="450"/>
        <w:jc w:val="both"/>
        <w:rPr>
          <w:sz w:val="20"/>
          <w:szCs w:val="20"/>
        </w:rPr>
      </w:pPr>
      <w:r>
        <w:rPr>
          <w:b/>
          <w:bCs/>
          <w:i/>
          <w:iCs/>
          <w:sz w:val="20"/>
          <w:szCs w:val="20"/>
        </w:rPr>
        <w:t> </w:t>
      </w:r>
    </w:p>
    <w:p w:rsidR="00000000" w:rsidRDefault="00B30BA7">
      <w:pPr>
        <w:pStyle w:val="a3"/>
        <w:spacing w:before="0" w:beforeAutospacing="0" w:after="0" w:afterAutospacing="0"/>
        <w:ind w:left="450"/>
        <w:jc w:val="both"/>
        <w:rPr>
          <w:sz w:val="20"/>
          <w:szCs w:val="20"/>
        </w:rPr>
      </w:pPr>
      <w:r>
        <w:rPr>
          <w:b/>
          <w:bCs/>
          <w:i/>
          <w:iCs/>
          <w:sz w:val="20"/>
          <w:szCs w:val="20"/>
        </w:rPr>
        <w:t xml:space="preserve">Technology-enabled Services - </w:t>
      </w:r>
      <w:r>
        <w:rPr>
          <w:sz w:val="20"/>
          <w:szCs w:val="20"/>
        </w:rPr>
        <w:t>software-ena</w:t>
      </w:r>
      <w:r>
        <w:rPr>
          <w:sz w:val="20"/>
          <w:szCs w:val="20"/>
        </w:rPr>
        <w:t>bled RCM offerings and other business services, such as medical coding, credentialing, authorization management and the like are geared towards driving patient and insurance collections across the reimbursement life cycle.</w:t>
      </w:r>
    </w:p>
    <w:p w:rsidR="00000000" w:rsidRDefault="00B30BA7">
      <w:pPr>
        <w:pStyle w:val="a3"/>
        <w:spacing w:before="0" w:beforeAutospacing="0" w:after="0" w:afterAutospacing="0"/>
        <w:ind w:left="450"/>
        <w:jc w:val="both"/>
        <w:rPr>
          <w:sz w:val="20"/>
          <w:szCs w:val="20"/>
        </w:rPr>
      </w:pPr>
      <w:r>
        <w:rPr>
          <w:sz w:val="20"/>
          <w:szCs w:val="20"/>
        </w:rPr>
        <w:t> </w:t>
      </w:r>
    </w:p>
    <w:p w:rsidR="00000000" w:rsidRDefault="00B30BA7">
      <w:pPr>
        <w:pStyle w:val="a3"/>
        <w:spacing w:before="0" w:beforeAutospacing="0" w:after="0" w:afterAutospacing="0"/>
        <w:ind w:left="450"/>
        <w:jc w:val="both"/>
        <w:rPr>
          <w:sz w:val="20"/>
          <w:szCs w:val="20"/>
        </w:rPr>
      </w:pPr>
      <w:r>
        <w:rPr>
          <w:b/>
          <w:bCs/>
          <w:i/>
          <w:iCs/>
          <w:sz w:val="20"/>
          <w:szCs w:val="20"/>
        </w:rPr>
        <w:t>Our Apps and App Ecosystem Part</w:t>
      </w:r>
      <w:r>
        <w:rPr>
          <w:b/>
          <w:bCs/>
          <w:i/>
          <w:iCs/>
          <w:sz w:val="20"/>
          <w:szCs w:val="20"/>
        </w:rPr>
        <w:t xml:space="preserve">ners - </w:t>
      </w:r>
      <w:r>
        <w:rPr>
          <w:sz w:val="20"/>
          <w:szCs w:val="20"/>
        </w:rPr>
        <w:t>additional proprietary software products, including our business intelligence platform, robotic process automation bots, CareCloud Conductor, our interoperability and data transformation suite, telemedicine applications, mobile apps and more of thos</w:t>
      </w:r>
      <w:r>
        <w:rPr>
          <w:sz w:val="20"/>
          <w:szCs w:val="20"/>
        </w:rPr>
        <w:t>e applications that consume our APIs or other interfaces built by the market at large.</w:t>
      </w:r>
    </w:p>
    <w:p w:rsidR="00000000" w:rsidRDefault="00B30BA7">
      <w:pPr>
        <w:pStyle w:val="a3"/>
        <w:spacing w:before="0" w:beforeAutospacing="0" w:after="0" w:afterAutospacing="0"/>
        <w:ind w:left="450"/>
        <w:jc w:val="both"/>
        <w:rPr>
          <w:sz w:val="20"/>
          <w:szCs w:val="20"/>
        </w:rPr>
      </w:pPr>
      <w:r>
        <w:rPr>
          <w:b/>
          <w:bCs/>
          <w:i/>
          <w:iCs/>
          <w:sz w:val="20"/>
          <w:szCs w:val="20"/>
        </w:rPr>
        <w:t> </w:t>
      </w:r>
    </w:p>
    <w:p w:rsidR="00000000" w:rsidRDefault="00B30BA7">
      <w:pPr>
        <w:pStyle w:val="a3"/>
        <w:spacing w:before="0" w:beforeAutospacing="0" w:after="0" w:afterAutospacing="0"/>
        <w:ind w:left="450"/>
        <w:jc w:val="both"/>
        <w:rPr>
          <w:sz w:val="20"/>
          <w:szCs w:val="20"/>
        </w:rPr>
      </w:pPr>
      <w:r>
        <w:rPr>
          <w:b/>
          <w:bCs/>
          <w:i/>
          <w:iCs/>
          <w:sz w:val="20"/>
          <w:szCs w:val="20"/>
        </w:rPr>
        <w:t xml:space="preserve">Premier Healthcare IT Consulting &amp; Staffing (medSR) </w:t>
      </w:r>
      <w:r>
        <w:rPr>
          <w:sz w:val="20"/>
          <w:szCs w:val="20"/>
        </w:rPr>
        <w:t>- an extensive set of services including EHR vendor-agnostic optimization and activation, project management, IT transformation consulting, process improvement, training, education, and staffing for large healthcare organizations including health systems a</w:t>
      </w:r>
      <w:r>
        <w:rPr>
          <w:sz w:val="20"/>
          <w:szCs w:val="20"/>
        </w:rPr>
        <w:t>nd hospitals.</w:t>
      </w:r>
    </w:p>
    <w:p w:rsidR="00000000" w:rsidRDefault="00B30BA7">
      <w:pPr>
        <w:pStyle w:val="a3"/>
        <w:spacing w:before="0" w:beforeAutospacing="0" w:after="0" w:afterAutospacing="0"/>
        <w:ind w:left="450"/>
        <w:jc w:val="both"/>
        <w:rPr>
          <w:sz w:val="20"/>
          <w:szCs w:val="20"/>
        </w:rPr>
      </w:pPr>
      <w:r>
        <w:rPr>
          <w:b/>
          <w:bCs/>
          <w:i/>
          <w:iCs/>
          <w:sz w:val="20"/>
          <w:szCs w:val="20"/>
        </w:rPr>
        <w:t> </w:t>
      </w:r>
    </w:p>
    <w:p w:rsidR="00000000" w:rsidRDefault="00B30BA7">
      <w:pPr>
        <w:pStyle w:val="a3"/>
        <w:spacing w:before="0" w:beforeAutospacing="0" w:after="0" w:afterAutospacing="0"/>
        <w:ind w:left="450"/>
        <w:jc w:val="both"/>
        <w:rPr>
          <w:sz w:val="20"/>
          <w:szCs w:val="20"/>
        </w:rPr>
      </w:pPr>
      <w:r>
        <w:rPr>
          <w:b/>
          <w:bCs/>
          <w:i/>
          <w:iCs/>
          <w:sz w:val="20"/>
          <w:szCs w:val="20"/>
        </w:rPr>
        <w:t xml:space="preserve">On-demand Workforce (CareCloud Force) - </w:t>
      </w:r>
      <w:r>
        <w:rPr>
          <w:sz w:val="20"/>
          <w:szCs w:val="20"/>
        </w:rPr>
        <w:t>leveraging our unique resources, and in turn selling this capacity at scale directly to partners and clients at a reduced rate as compared to other competitors in the same space. These on-demand workf</w:t>
      </w:r>
      <w:r>
        <w:rPr>
          <w:sz w:val="20"/>
          <w:szCs w:val="20"/>
        </w:rPr>
        <w:t>orce capabilities include offshore engineering capacity for development and offshore RCM operations personnel.</w:t>
      </w:r>
    </w:p>
    <w:p w:rsidR="00000000" w:rsidRDefault="00B30BA7">
      <w:pPr>
        <w:pStyle w:val="a3"/>
        <w:spacing w:before="0" w:beforeAutospacing="0" w:after="0" w:afterAutospacing="0"/>
        <w:ind w:left="450"/>
        <w:jc w:val="both"/>
        <w:rPr>
          <w:sz w:val="20"/>
          <w:szCs w:val="20"/>
        </w:rPr>
      </w:pPr>
      <w:r>
        <w:rPr>
          <w:sz w:val="20"/>
          <w:szCs w:val="20"/>
        </w:rPr>
        <w:t> </w:t>
      </w:r>
    </w:p>
    <w:p w:rsidR="00000000" w:rsidRDefault="00B30BA7">
      <w:pPr>
        <w:pStyle w:val="a3"/>
        <w:spacing w:before="0" w:beforeAutospacing="0" w:after="0" w:afterAutospacing="0"/>
        <w:ind w:left="450"/>
        <w:jc w:val="both"/>
        <w:rPr>
          <w:sz w:val="20"/>
          <w:szCs w:val="20"/>
        </w:rPr>
      </w:pPr>
      <w:r>
        <w:rPr>
          <w:b/>
          <w:bCs/>
          <w:i/>
          <w:iCs/>
          <w:sz w:val="20"/>
          <w:szCs w:val="20"/>
        </w:rPr>
        <w:t xml:space="preserve">Additional Business Services - </w:t>
      </w:r>
      <w:r>
        <w:rPr>
          <w:sz w:val="20"/>
          <w:szCs w:val="20"/>
        </w:rPr>
        <w:t>additional services in support of our wide-ranging client base. These include medical practice management servic</w:t>
      </w:r>
      <w:r>
        <w:rPr>
          <w:sz w:val="20"/>
          <w:szCs w:val="20"/>
        </w:rPr>
        <w:t>es to a select group of medical practices, a group purchasing organization with negotiated discounts with pharmaceutical manufactures containing more than 4,000 physician and mid-level provider members and other ancillary services.</w:t>
      </w:r>
    </w:p>
    <w:p w:rsidR="00000000" w:rsidRDefault="00B30BA7">
      <w:pPr>
        <w:pStyle w:val="a3"/>
        <w:spacing w:before="0" w:beforeAutospacing="0" w:after="0" w:afterAutospacing="0"/>
        <w:ind w:left="45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16991335"/>
        </w:trPr>
        <w:tc>
          <w:tcPr>
            <w:tcW w:w="5000" w:type="pct"/>
            <w:hideMark/>
          </w:tcPr>
          <w:p w:rsidR="00000000" w:rsidRDefault="00B30BA7">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ind w:left="45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This categor</w:t>
      </w:r>
      <w:r>
        <w:rPr>
          <w:sz w:val="20"/>
          <w:szCs w:val="20"/>
        </w:rPr>
        <w:t>ization approach allows us to be both methodical and nimble across the healthcare organizations and market segments we serve while providing us a framework to create solution sets for the market today and more importantly, for what our clients will need to</w:t>
      </w:r>
      <w:r>
        <w:rPr>
          <w:sz w:val="20"/>
          <w:szCs w:val="20"/>
        </w:rPr>
        <w:t>morrow.</w:t>
      </w:r>
    </w:p>
    <w:p w:rsidR="00000000" w:rsidRDefault="00B30BA7">
      <w:pPr>
        <w:pStyle w:val="a3"/>
        <w:spacing w:before="0" w:beforeAutospacing="0" w:after="0" w:afterAutospacing="0"/>
        <w:ind w:left="450" w:hanging="45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believe that our fully integrated solutions uniquely address the challenges in the industry. In most cases the standard fee for our complete, integrated, end-to-end solution is based upon a percentage of each client’s healthcare-related revenu</w:t>
      </w:r>
      <w:r>
        <w:rPr>
          <w:sz w:val="20"/>
          <w:szCs w:val="20"/>
        </w:rPr>
        <w:t>es, with a monthly minimum fee, plus a nominal one-time setup fee, which is competitively priced.</w:t>
      </w:r>
    </w:p>
    <w:p w:rsidR="00000000" w:rsidRDefault="00B30BA7">
      <w:pPr>
        <w:pStyle w:val="a3"/>
        <w:spacing w:before="0" w:beforeAutospacing="0" w:after="0" w:afterAutospacing="0"/>
        <w:ind w:left="45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Research and Development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Our </w:t>
      </w:r>
      <w:r>
        <w:rPr>
          <w:sz w:val="20"/>
          <w:szCs w:val="20"/>
        </w:rPr>
        <w:t>research and development focuses are on enhancing and expanding our service offerings while ensuring all offerings meet regulatory compliance standards. We continually update our software and technology infrastructures, regularly execute releases of new so</w:t>
      </w:r>
      <w:r>
        <w:rPr>
          <w:sz w:val="20"/>
          <w:szCs w:val="20"/>
        </w:rPr>
        <w:t>ftware enhancements, and adapt our offerings to better serve our medical group and health system clients confronting rapid changes in the healthcare market space.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agile software development methodology is designed to ensure that each software release</w:t>
      </w:r>
      <w:r>
        <w:rPr>
          <w:sz w:val="20"/>
          <w:szCs w:val="20"/>
        </w:rPr>
        <w:t xml:space="preserve"> is properly designed, built, tested, and released. Our product, engineering, quality assurance and development operations teams are located both onshore and offshore. We complement our internal efforts with services from third-party technology providers f</w:t>
      </w:r>
      <w:r>
        <w:rPr>
          <w:sz w:val="20"/>
          <w:szCs w:val="20"/>
        </w:rPr>
        <w:t>or infrastructure, healthcare ecosystem connectivity needs such as prescriptions, clinical laboratories, or specific application requirements.</w:t>
      </w:r>
    </w:p>
    <w:p w:rsidR="00000000" w:rsidRDefault="00B30BA7">
      <w:pPr>
        <w:pStyle w:val="a3"/>
        <w:spacing w:before="0" w:beforeAutospacing="0" w:after="0" w:afterAutospacing="0"/>
        <w:ind w:left="45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We also employ product management, user experience and product marketing personnel who work continually on impr</w:t>
      </w:r>
      <w:r>
        <w:rPr>
          <w:sz w:val="20"/>
          <w:szCs w:val="20"/>
        </w:rPr>
        <w:t>ovements to our products and services design.</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Clients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59472210"/>
        </w:trPr>
        <w:tc>
          <w:tcPr>
            <w:tcW w:w="5000" w:type="pct"/>
            <w:hideMark/>
          </w:tcPr>
          <w:p w:rsidR="00000000" w:rsidRDefault="00B30BA7">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We estimate that as of December 31, 2021, we provided software and services to approximately 40,000 providers (which we </w:t>
      </w:r>
      <w:r>
        <w:rPr>
          <w:sz w:val="20"/>
          <w:szCs w:val="20"/>
        </w:rPr>
        <w:t>define as physicians, nurses, nurse practitioners, therapists, physician assistants and other clinicians that render bills for their services) practicing in approximately 2,600 independent medical practices and hospitals, representing 80 specialties and su</w:t>
      </w:r>
      <w:r>
        <w:rPr>
          <w:sz w:val="20"/>
          <w:szCs w:val="20"/>
        </w:rPr>
        <w:t>bspecialties in 50 states allowing for significantly low revenue concentration risk.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 addition, we served approximately 200 clients that are not medical practices, but are primarily service organizations who serve the healthcare community. The foregoin</w:t>
      </w:r>
      <w:r>
        <w:rPr>
          <w:sz w:val="20"/>
          <w:szCs w:val="20"/>
        </w:rPr>
        <w:t>g numbers include clients leveraging any of our products or services and are based in part upon estimates where the precise number of practices or providers is unknown.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We </w:t>
      </w:r>
      <w:r>
        <w:rPr>
          <w:sz w:val="20"/>
          <w:szCs w:val="20"/>
        </w:rPr>
        <w:t>service clients ranging from small practices to large groups and health systems. Our clients span from the single doctor independent medical practices to large medical groups, including an enterprise specialty-specific healthcare organization with more tha</w:t>
      </w:r>
      <w:r>
        <w:rPr>
          <w:sz w:val="20"/>
          <w:szCs w:val="20"/>
        </w:rPr>
        <w:t>n 2,300 providers located across multiple states. We also service large major academic medical institutions, small and large hospitals and health systems with service areas covering millions of patients.</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Sales and Marketing</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We have developed sales and </w:t>
      </w:r>
      <w:r>
        <w:rPr>
          <w:sz w:val="20"/>
          <w:szCs w:val="20"/>
        </w:rPr>
        <w:t>marketing capabilities aimed at driving growth of our client base, including small medical practices, large groups, and health systems. We expect to expand by selling our complete suite of software and services to new clients and up-selling additional solu</w:t>
      </w:r>
      <w:r>
        <w:rPr>
          <w:sz w:val="20"/>
          <w:szCs w:val="20"/>
        </w:rPr>
        <w:t>tions into our existing client base. We have a direct sales force including team members focused on areas such as our CareCloud Force and medSR deals. In addition, our direct sales are augmented through our partner initiatives and marketing campaigns.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Ou</w:t>
      </w:r>
      <w:r>
        <w:rPr>
          <w:b/>
          <w:bCs/>
          <w:sz w:val="20"/>
          <w:szCs w:val="20"/>
        </w:rPr>
        <w:t>r Growth Levers</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We believe that we are in a great position to continue to grow by leveraging a multi-faceted growth strategy:</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30BA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10053013"/>
        </w:trPr>
        <w:tc>
          <w:tcPr>
            <w:tcW w:w="5000" w:type="pct"/>
            <w:hideMark/>
          </w:tcPr>
          <w:p w:rsidR="00000000" w:rsidRDefault="00B30BA7">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 xml:space="preserve">Organic Growth </w:t>
      </w:r>
      <w:r>
        <w:rPr>
          <w:b/>
          <w:bCs/>
          <w:sz w:val="20"/>
          <w:szCs w:val="20"/>
        </w:rPr>
        <w:t>and Direct Sales</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 xml:space="preserve">We </w:t>
      </w:r>
      <w:r>
        <w:rPr>
          <w:sz w:val="20"/>
          <w:szCs w:val="20"/>
        </w:rPr>
        <w:t>have organized our sales force into different segments for sales of all of our products and services in order to best address our clients’ needs and our markets. With this design, our sales team can address a client’s specific needs, whether a new client i</w:t>
      </w:r>
      <w:r>
        <w:rPr>
          <w:sz w:val="20"/>
          <w:szCs w:val="20"/>
        </w:rPr>
        <w:t>s seeking our products or services for the first time, or a current client is in need of additional solutions.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Our marketing team operates in support of our salesforce and provides specialized demand generation capabilities for sales efforts and product </w:t>
      </w:r>
      <w:r>
        <w:rPr>
          <w:sz w:val="20"/>
          <w:szCs w:val="20"/>
        </w:rPr>
        <w:t>marketing for sales efforts. Our sales approach is consultative in nature for most of our offerings, which generally includes an analysis based on a prospective client’s needs, crafting service proposals, and negotiating contracts that culminate in the com</w:t>
      </w:r>
      <w:r>
        <w:rPr>
          <w:sz w:val="20"/>
          <w:szCs w:val="20"/>
        </w:rPr>
        <w:t>mencement of services.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go-to-market strategy is designed to meet our customers’ needs. Our vast array of products and services allow us to craft solutions that can meet our customers’ unique needs within a specific product category, client segment, o</w:t>
      </w:r>
      <w:r>
        <w:rPr>
          <w:sz w:val="20"/>
          <w:szCs w:val="20"/>
        </w:rPr>
        <w:t>r both. Our latest go-to-market strategy takes this dynamic into account: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sz w:val="20"/>
          <w:szCs w:val="20"/>
        </w:rPr>
      </w:pPr>
      <w:r>
        <w:rPr>
          <w:noProof/>
          <w:sz w:val="20"/>
          <w:szCs w:val="20"/>
        </w:rPr>
        <w:drawing>
          <wp:inline distT="0" distB="0" distL="0" distR="0">
            <wp:extent cx="3048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Growth through Partnerships</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In addition to our direct sales force, we maintain business rel</w:t>
      </w:r>
      <w:r>
        <w:rPr>
          <w:sz w:val="20"/>
          <w:szCs w:val="20"/>
        </w:rPr>
        <w:t>ationships with third parties that utilize, promote, or support our sales or services within specific industries or geographic regions. Some of these partners are customers through CareCloud Force and others are more traditional channel partners who help p</w:t>
      </w:r>
      <w:r>
        <w:rPr>
          <w:sz w:val="20"/>
          <w:szCs w:val="20"/>
        </w:rPr>
        <w:t>romote our solutions. We believe we can further accelerate organic growth through industry participants, whereby we utilize them as channel partners to offer integrated solutions to their clients. We have entered into such engagements with industry partici</w:t>
      </w:r>
      <w:r>
        <w:rPr>
          <w:sz w:val="20"/>
          <w:szCs w:val="20"/>
        </w:rPr>
        <w:t>pants, and from which we began to derive revenue starting in mid-2014. We have developed application interfaces with numerous EHR systems, together with device and lab integration to support these relationships.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Growth through Acquisitions</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The Healthca</w:t>
      </w:r>
      <w:r>
        <w:rPr>
          <w:sz w:val="20"/>
          <w:szCs w:val="20"/>
        </w:rPr>
        <w:t>re IT service industry is highly fragmented, with many local and regional RCM companies serving small medical practices and hospitals. We believe that the industry is ripe for consolidation and that we can achieve significant growth through acquisitions. W</w:t>
      </w:r>
      <w:r>
        <w:rPr>
          <w:sz w:val="20"/>
          <w:szCs w:val="20"/>
        </w:rPr>
        <w:t>e further believe that it is becoming increasingly difficult for traditional RCM companies, together with a variety of other healthcare industry vendors and healthcare IT companies, to meet the growing technology and business service needs of healthcare pr</w:t>
      </w:r>
      <w:r>
        <w:rPr>
          <w:sz w:val="20"/>
          <w:szCs w:val="20"/>
        </w:rPr>
        <w:t>oviders without a significant investment in an information technology infrastructure and the utilization of a talented, cost-efficient global team. Since the Company went public in July 2014, we have completed 17 transactions, acquiring complementary asset</w:t>
      </w:r>
      <w:r>
        <w:rPr>
          <w:sz w:val="20"/>
          <w:szCs w:val="20"/>
        </w:rPr>
        <w:t>s to grow our business. We typically leverage our technology and our cost-effective offshore team to quickly deliver additional value to the newly acquired customer base, while reducing costs. Often, we will incur initial costs associated with the integrat</w:t>
      </w:r>
      <w:r>
        <w:rPr>
          <w:sz w:val="20"/>
          <w:szCs w:val="20"/>
        </w:rPr>
        <w:t>ion of the acquired business with our existing operations, but this early investment is designed to increase customer satisfaction and retention, while laying the foundation for long-term accretion.</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20802326"/>
        </w:trPr>
        <w:tc>
          <w:tcPr>
            <w:tcW w:w="5000" w:type="pct"/>
            <w:hideMark/>
          </w:tcPr>
          <w:p w:rsidR="00000000" w:rsidRDefault="00B30BA7">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Competition</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 xml:space="preserve">market for practice management, EHR and RCM solutions and related services is highly competitive, and we expect competition to increase in the future. We face competition from other providers of both integrated and stand-alone practice management, EHR and </w:t>
      </w:r>
      <w:r>
        <w:rPr>
          <w:sz w:val="20"/>
          <w:szCs w:val="20"/>
        </w:rPr>
        <w:t>RCM solutions, including competitors who utilize a web-based platform and providers of locally installed software systems.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Many of our competitors have longer operating histories, greater brand recognition and greater financial marketing. We also compete</w:t>
      </w:r>
      <w:r>
        <w:rPr>
          <w:sz w:val="20"/>
          <w:szCs w:val="20"/>
        </w:rPr>
        <w:t xml:space="preserve"> with various regional RCM companies, some of which may continue to consolidate and expand into broader markets. We expect that competition will continue to increase as a result of incentives provided by various governmental initiatives, and consolidation </w:t>
      </w:r>
      <w:r>
        <w:rPr>
          <w:sz w:val="20"/>
          <w:szCs w:val="20"/>
        </w:rPr>
        <w:t>in both the information technology and healthcare industries. In addition, our competitive edge could be diminished or completely lost if our competition develops similar offshore operations in Pakistan or other countries, such as India and the Philippines</w:t>
      </w:r>
      <w:r>
        <w:rPr>
          <w:sz w:val="20"/>
          <w:szCs w:val="20"/>
        </w:rPr>
        <w:t>, where labor costs are lower than those in the U.S. (although higher than in Pakistan). Pricing pressures could negatively impact our margins, growth rate and market share.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We believe we have a competitive advantage, as we are able to deliver our indust</w:t>
      </w:r>
      <w:r>
        <w:rPr>
          <w:sz w:val="20"/>
          <w:szCs w:val="20"/>
        </w:rPr>
        <w:t>ry-leading solutions at competitive prices because we leverage a combination of our proprietary software, which automates our workflows and increases efficiency, together with a global team that includes more than 600 experienced health industry experts on</w:t>
      </w:r>
      <w:r>
        <w:rPr>
          <w:sz w:val="20"/>
          <w:szCs w:val="20"/>
        </w:rPr>
        <w:t>shore. These experts are supported by our highly educated and specialized offshore workforce of approximately 3,400 team members at labor costs that we believe are approximately one-tenth the cost of comparable U.S. employees.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unique business model h</w:t>
      </w:r>
      <w:r>
        <w:rPr>
          <w:sz w:val="20"/>
          <w:szCs w:val="20"/>
        </w:rPr>
        <w:t>as allowed us to become a leading consolidator in our industry sector, gaining us a reputation for acquiring and positively transforming distressed competitors into profitable operations of CareCloud.</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rPr>
          <w:sz w:val="20"/>
          <w:szCs w:val="20"/>
        </w:rPr>
      </w:pPr>
      <w:r>
        <w:rPr>
          <w:b/>
          <w:bCs/>
          <w:sz w:val="20"/>
          <w:szCs w:val="20"/>
        </w:rPr>
        <w:t>Employees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Including the employees of our subsidiari</w:t>
      </w:r>
      <w:r>
        <w:rPr>
          <w:sz w:val="20"/>
          <w:szCs w:val="20"/>
        </w:rPr>
        <w:t>es, as of December 2021, the Company employed approximately 4,100 people worldwide on a full-time basis. We also utilize the services of a small number of part time employees. In addition, all officers of the Company work on a full-time basis. Over the nex</w:t>
      </w:r>
      <w:r>
        <w:rPr>
          <w:sz w:val="20"/>
          <w:szCs w:val="20"/>
        </w:rPr>
        <w:t>t twelve months, we anticipate increasing our total number of employees only if our revenues increase, our operating requirements warrant such hiring, or we are hiring for specific functions where we place additional emphasis, such as marketing and sales.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sz w:val="20"/>
          <w:szCs w:val="20"/>
        </w:rPr>
        <w:t>Voting Rights of Our Directors, Executive Officers, and Principal Stockholders</w:t>
      </w:r>
    </w:p>
    <w:p w:rsidR="00000000" w:rsidRDefault="00B30BA7">
      <w:pPr>
        <w:pStyle w:val="a3"/>
        <w:shd w:val="clear" w:color="auto" w:fill="FFFFFF"/>
        <w:spacing w:before="0" w:beforeAutospacing="0" w:after="0" w:afterAutospacing="0"/>
        <w:jc w:val="both"/>
        <w:rPr>
          <w:sz w:val="20"/>
          <w:szCs w:val="20"/>
        </w:rPr>
      </w:pPr>
      <w:r>
        <w:rPr>
          <w:b/>
          <w:bCs/>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As of December 31, 2021, approximately 35% of both the shares of our common stock and voting power of our common stock are held by our directors and executive officers. Ther</w:t>
      </w:r>
      <w:r>
        <w:rPr>
          <w:sz w:val="20"/>
          <w:szCs w:val="20"/>
        </w:rPr>
        <w:t>efore, they have the ability to control the outcome of matters submitted to our stockholders for approval, including the election of our directors, as well as the overall management and direction of our Company.</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sz w:val="20"/>
          <w:szCs w:val="20"/>
        </w:rPr>
        <w:t>Corporate Information</w:t>
      </w:r>
    </w:p>
    <w:p w:rsidR="00000000" w:rsidRDefault="00B30BA7">
      <w:pPr>
        <w:pStyle w:val="a3"/>
        <w:shd w:val="clear" w:color="auto" w:fill="FFFFFF"/>
        <w:spacing w:before="0" w:beforeAutospacing="0" w:after="0" w:afterAutospacing="0"/>
        <w:jc w:val="both"/>
        <w:rPr>
          <w:sz w:val="20"/>
          <w:szCs w:val="20"/>
        </w:rPr>
      </w:pPr>
      <w:r>
        <w:rPr>
          <w:b/>
          <w:bCs/>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were incorporated in Delaware on September 28, 2001, under the name Medical Transcription Billing, Corp., and legally changed our name to MTBC, Inc. in February 2019. On March 29, 2021, we legally changed the name of the Company to CareCloud, Inc. Our prin</w:t>
      </w:r>
      <w:r>
        <w:rPr>
          <w:sz w:val="20"/>
          <w:szCs w:val="20"/>
        </w:rPr>
        <w:t>cipal executive offices are located at 7 Clyde Road, Somerset, New Jersey 08873, and our telephone number is (732) 873-5133. Our website address is www.CareCloud.com. Information contained on, or that can be accessed through, our website is not incorporate</w:t>
      </w:r>
      <w:r>
        <w:rPr>
          <w:sz w:val="20"/>
          <w:szCs w:val="20"/>
        </w:rPr>
        <w:t>d by reference into this Annual Report on Form 10-K, and you should not consider information on our website to be part of this document.</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MTBC, CareCloud.com, A Unique Healthcare IT Company, CareCloud and other trademarks and service marks of CareCloud ap</w:t>
      </w:r>
      <w:r>
        <w:rPr>
          <w:sz w:val="20"/>
          <w:szCs w:val="20"/>
        </w:rPr>
        <w:t>pearing in this Annual Report on Form 10-K are the property of CareCloud. Trade names, trademarks and service marks of other companies appearing in this Annual Report on Form 10-K are the property of their respective holders.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We are a smaller reporting c</w:t>
      </w:r>
      <w:r>
        <w:rPr>
          <w:sz w:val="20"/>
          <w:szCs w:val="20"/>
        </w:rPr>
        <w:t>ompany. As a smaller reporting company, we may take advantage of specified reduced reporting requirements and are relieved of certain other significant requirements that are otherwise generally applicable to public companies. As a smaller reporting company</w:t>
      </w:r>
      <w:r>
        <w:rPr>
          <w:sz w:val="20"/>
          <w:szCs w:val="20"/>
        </w:rPr>
        <w:t xml:space="preserve">, we have reduced disclosure obligations regarding executive compensation in our Annual Report, periodic reports and proxy statements and providing only two years of audited financial statements in our Annual Report and our periodic reports. This year the </w:t>
      </w:r>
      <w:r>
        <w:rPr>
          <w:sz w:val="20"/>
          <w:szCs w:val="20"/>
        </w:rPr>
        <w:t>Company is required to comply with the auditor attestation requirements of Section 404 of the Sarbanes-Oxley Act of 2002, as amended. Effective with this Form 10-K, the Company is now an accelerated filer.</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57249743"/>
        </w:trPr>
        <w:tc>
          <w:tcPr>
            <w:tcW w:w="5000" w:type="pct"/>
            <w:hideMark/>
          </w:tcPr>
          <w:p w:rsidR="00000000" w:rsidRDefault="00B30BA7">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sz w:val="20"/>
          <w:szCs w:val="20"/>
        </w:rPr>
        <w:t>Where You Can Find More Information</w:t>
      </w:r>
    </w:p>
    <w:p w:rsidR="00000000" w:rsidRDefault="00B30BA7">
      <w:pPr>
        <w:pStyle w:val="a3"/>
        <w:shd w:val="clear" w:color="auto" w:fill="FFFFFF"/>
        <w:spacing w:before="0" w:beforeAutospacing="0" w:after="0" w:afterAutospacing="0"/>
        <w:jc w:val="both"/>
        <w:rPr>
          <w:sz w:val="20"/>
          <w:szCs w:val="20"/>
        </w:rPr>
      </w:pPr>
      <w:r>
        <w:rPr>
          <w:b/>
          <w:bCs/>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Our website, which we use to communicate important business information, can be accessed at: www.carecloud.com. We make our Annual Reports on Form 10-K, quarterly reports on Form 10-Q, current reports on Form 8-K and all amendments to those reports availab</w:t>
      </w:r>
      <w:r>
        <w:rPr>
          <w:sz w:val="20"/>
          <w:szCs w:val="20"/>
        </w:rPr>
        <w:t>le free of charge on or through our website as soon as reasonably practicable after such material is electronically filed with or furnished to the Securities and Exchange Commission (“SEC”). Materials we file with or furnish to the SEC may also be read and</w:t>
      </w:r>
      <w:r>
        <w:rPr>
          <w:sz w:val="20"/>
          <w:szCs w:val="20"/>
        </w:rPr>
        <w:t xml:space="preserve"> copied at the SEC’s Public Reference Room at 100 F Street, NE, Washington, D.C. 20549. Information on the operation of the Public Reference Room may be obtained by calling the SEC at 1-800-SEC-0330. Also, the SEC’s website (www.sec.gov) contains reports, </w:t>
      </w:r>
      <w:r>
        <w:rPr>
          <w:sz w:val="20"/>
          <w:szCs w:val="20"/>
        </w:rPr>
        <w:t>proxy and information statements, and other information that we file electronically with the SEC.</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rPr>
        <w:t>Item 1A. Risk Factors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sz w:val="20"/>
          <w:szCs w:val="20"/>
        </w:rPr>
        <w:t>Risks Related to Our Acquisition Strategy</w:t>
      </w:r>
    </w:p>
    <w:p w:rsidR="00000000" w:rsidRDefault="00B30BA7">
      <w:pPr>
        <w:pStyle w:val="a3"/>
        <w:shd w:val="clear" w:color="auto" w:fill="FFFFFF"/>
        <w:spacing w:before="0" w:beforeAutospacing="0" w:after="0" w:afterAutospacing="0"/>
        <w:jc w:val="both"/>
        <w:rPr>
          <w:sz w:val="20"/>
          <w:szCs w:val="20"/>
        </w:rPr>
      </w:pPr>
      <w:r>
        <w:rPr>
          <w:b/>
          <w:bCs/>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xml:space="preserve">If </w:t>
      </w:r>
      <w:r>
        <w:rPr>
          <w:b/>
          <w:bCs/>
          <w:i/>
          <w:iCs/>
          <w:sz w:val="20"/>
          <w:szCs w:val="20"/>
        </w:rPr>
        <w:t>we do not manage our growth effectively, our revenue, business and operating results may be harmed.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Our strategy is to expand through organic growth, and through synergistic, accretive acquisitions of companies in the business of healthcare IT (“HCIT”) a</w:t>
      </w:r>
      <w:r>
        <w:rPr>
          <w:sz w:val="20"/>
          <w:szCs w:val="20"/>
        </w:rPr>
        <w:t>nd complementary services. Since 2006, we have completed 27 transactions acquiring the assets or businesses of RCM, HCIT, and related companies. The majority of these transactions have occurred since we went public in July 2014. Our future acquisitions may</w:t>
      </w:r>
      <w:r>
        <w:rPr>
          <w:sz w:val="20"/>
          <w:szCs w:val="20"/>
        </w:rPr>
        <w:t xml:space="preserve"> require greater than anticipated investment of operational and financial resources as we seek to migrate customers of these companies to our solutions. Acquisitions also require the integration of different software and services, assimilation of new emplo</w:t>
      </w:r>
      <w:r>
        <w:rPr>
          <w:sz w:val="20"/>
          <w:szCs w:val="20"/>
        </w:rPr>
        <w:t>yees, diversion of management and IT resources, and increases in administrative costs. Acquisitions may also require additional costs associated with any debt or equity financings undertaken to pay for such acquisitions. We cannot assure you that any acqui</w:t>
      </w:r>
      <w:r>
        <w:rPr>
          <w:sz w:val="20"/>
          <w:szCs w:val="20"/>
        </w:rPr>
        <w:t xml:space="preserve">sition we undertake will be successful. Future growth will also place additional demands on our customer support, sales, and marketing resources, and may require us to hire and train additional employees. We will need to expand and upgrade our systems and </w:t>
      </w:r>
      <w:r>
        <w:rPr>
          <w:sz w:val="20"/>
          <w:szCs w:val="20"/>
        </w:rPr>
        <w:t>infrastructure to accommodate our growth. The failure to manage our growth effectively will materially and adversely affect our business.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We may be unable to retain customers following their acquisition, which may result in a decrease in our revenues and</w:t>
      </w:r>
      <w:r>
        <w:rPr>
          <w:b/>
          <w:bCs/>
          <w:i/>
          <w:iCs/>
          <w:sz w:val="20"/>
          <w:szCs w:val="20"/>
        </w:rPr>
        <w:t xml:space="preserve"> operating results. </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Customers of the businesses we acquire often have the right to terminate their service contracts for any reason at any time upon notice of 90 days or less. These customers may elect to terminate their contracts as a result of our acq</w:t>
      </w:r>
      <w:r>
        <w:rPr>
          <w:sz w:val="20"/>
          <w:szCs w:val="20"/>
        </w:rPr>
        <w:t>uisition or choose not to renew their contracts upon expiration. Legal and practical limitations on our ability to enforce non-competition and non-solicitation provisions against customer representatives and sales personnel that leave the businesses we acq</w:t>
      </w:r>
      <w:r>
        <w:rPr>
          <w:sz w:val="20"/>
          <w:szCs w:val="20"/>
        </w:rPr>
        <w:t>uire to join competitors may result in the loss of customers. In the past, our failure to retain acquired customers has at times resulted in decreases in our revenues. Our inability to retain customers of businesses we acquire could adversely affect our ab</w:t>
      </w:r>
      <w:r>
        <w:rPr>
          <w:sz w:val="20"/>
          <w:szCs w:val="20"/>
        </w:rPr>
        <w:t>ility to benefit from those acquisitions and to grow our future revenues and operating income.</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Acquisitions may subject us to liability with regard to the creditors, customers, and shareholders of the sellers.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While we attempt to limit our exposure to </w:t>
      </w:r>
      <w:r>
        <w:rPr>
          <w:sz w:val="20"/>
          <w:szCs w:val="20"/>
        </w:rPr>
        <w:t>the liabilities associated with the businesses we acquire, we cannot guarantee that we will be successful in avoiding all material liability. Regardless of how we structure the acquisition, whether as an asset purchase, stock purchase, merger or other busi</w:t>
      </w:r>
      <w:r>
        <w:rPr>
          <w:sz w:val="20"/>
          <w:szCs w:val="20"/>
        </w:rPr>
        <w:t xml:space="preserve">ness combination, creditors, customers, vendors, governmental agencies and other parties at times seek to hold us accountable for unpaid debts, breach of contract claims, regulatory violations and other liabilities that relate to the business we acquired. </w:t>
      </w:r>
      <w:r>
        <w:rPr>
          <w:sz w:val="20"/>
          <w:szCs w:val="20"/>
        </w:rPr>
        <w:t>Disaffected shareholders of the businesses we acquire have also attempted to interfere with our business acquisitions or brought claims against us. We attempt to minimize all of these risks through thorough due diligence, negotiating indemnities and holdba</w:t>
      </w:r>
      <w:r>
        <w:rPr>
          <w:sz w:val="20"/>
          <w:szCs w:val="20"/>
        </w:rPr>
        <w:t>cks, obtaining relevant representations from sellers, procuring insurance coverage and leveraging experienced professionals when appropriate.</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33352039"/>
        </w:trPr>
        <w:tc>
          <w:tcPr>
            <w:tcW w:w="5000" w:type="pct"/>
            <w:hideMark/>
          </w:tcPr>
          <w:p w:rsidR="00000000" w:rsidRDefault="00B30BA7">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b/>
          <w:bCs/>
          <w:i/>
          <w:iCs/>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xml:space="preserve">We </w:t>
      </w:r>
      <w:r>
        <w:rPr>
          <w:b/>
          <w:bCs/>
          <w:i/>
          <w:iCs/>
          <w:sz w:val="20"/>
          <w:szCs w:val="20"/>
        </w:rPr>
        <w:t>may be unable to implement our strategy of acquiring additional companies.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We have no unconditional commitments with respect to any acquisition as of the date of this Form 10-K. Although we expect that one or more acquisition opportunities will become av</w:t>
      </w:r>
      <w:r>
        <w:rPr>
          <w:sz w:val="20"/>
          <w:szCs w:val="20"/>
        </w:rPr>
        <w:t>ailable in the future, we may not be able to acquire additional companies at all or on terms favorable to us. We will likely need additional financing for such acquisitions, but there is no assurance that we will be able to borrow funds or raise capital th</w:t>
      </w:r>
      <w:r>
        <w:rPr>
          <w:sz w:val="20"/>
          <w:szCs w:val="20"/>
        </w:rPr>
        <w:t>rough the issuance of our equity on favorable terms. Certain of our larger, better capitalized competitors may seek to acquire some of the companies we may be interested in. Competition for acquisitions would likely increase acquisition prices and result i</w:t>
      </w:r>
      <w:r>
        <w:rPr>
          <w:sz w:val="20"/>
          <w:szCs w:val="20"/>
        </w:rPr>
        <w:t>n us having fewer acquisition opportunities.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Depending on the type of businesses we acquire (e.g., RCM, practice management, EHR, etc.), we may have varying cost saving and/or cross-selling opportunities with the acquired business. However, there is no a</w:t>
      </w:r>
      <w:r>
        <w:rPr>
          <w:sz w:val="20"/>
          <w:szCs w:val="20"/>
        </w:rPr>
        <w:t>ssurance that we will achieve anticipated cost savings and cross-selling on our acquisitions, and failure to do so may mean we overpaid for such acquisitions.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In completing any future acquisitions, we will rely upon the representations, warranties and in</w:t>
      </w:r>
      <w:r>
        <w:rPr>
          <w:sz w:val="20"/>
          <w:szCs w:val="20"/>
        </w:rPr>
        <w:t>demnities made by the sellers with respect to each acquisition as well as our own due diligence investigation. We cannot be assured that such representations and warranties will be true and correct or that our due diligence will uncover all materially adve</w:t>
      </w:r>
      <w:r>
        <w:rPr>
          <w:sz w:val="20"/>
          <w:szCs w:val="20"/>
        </w:rPr>
        <w:t>rse facts relating to the operations and financial condition of the acquired companies or their customers. Nor can we be assured that any available insurance will cover all such losses. To the extent that we are required to pay for obligations of an acquir</w:t>
      </w:r>
      <w:r>
        <w:rPr>
          <w:sz w:val="20"/>
          <w:szCs w:val="20"/>
        </w:rPr>
        <w:t>ed company, or if material misrepresentations exist, we may not realize the expected benefit from such acquisition and we will have overpaid in cash and/or stock for the value received in that acquisition.</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Future acquisitions may result in potentially di</w:t>
      </w:r>
      <w:r>
        <w:rPr>
          <w:b/>
          <w:bCs/>
          <w:i/>
          <w:iCs/>
          <w:sz w:val="20"/>
          <w:szCs w:val="20"/>
        </w:rPr>
        <w:t>lutive issuances of equity securities, the incurrence of indebtedness and increased amortization expense.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Future acquisitions may result in dilutive issuances of equity securities, the incurrence of debt, the assumption of known and unknown liabilities, </w:t>
      </w:r>
      <w:r>
        <w:rPr>
          <w:sz w:val="20"/>
          <w:szCs w:val="20"/>
        </w:rPr>
        <w:t>the write-off of software development costs and the amortization of expenses related to intangible assets, all of which could have an adverse effect on our business, financial condition and results of operations.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sz w:val="20"/>
          <w:szCs w:val="20"/>
        </w:rPr>
        <w:t>Risks Related to Our Business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Our busin</w:t>
      </w:r>
      <w:r>
        <w:rPr>
          <w:b/>
          <w:bCs/>
          <w:i/>
          <w:iCs/>
          <w:sz w:val="20"/>
          <w:szCs w:val="20"/>
        </w:rPr>
        <w:t>ess, financial condition, results of operations and growth could be harmed by the effects of the COVID-19 pandemic.</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are subject to risks related to the public health crises such as the global pandemic associated with the coronavirus (COVID-19). In Dec</w:t>
      </w:r>
      <w:r>
        <w:rPr>
          <w:sz w:val="20"/>
          <w:szCs w:val="20"/>
        </w:rPr>
        <w:t>ember 2019, a novel strain of coronavirus, SARS-CoV-2, was reported to have surfaced in Wuhan, China. Since then, SARS-CoV-2, and the resulting disease COVID-19, has spread to most countries, and all 50 states within the United States. In March 2020, the W</w:t>
      </w:r>
      <w:r>
        <w:rPr>
          <w:sz w:val="20"/>
          <w:szCs w:val="20"/>
        </w:rPr>
        <w:t>orld Health Organization declared the COVID-19 outbreak a pandemic. Further, the President of the United States declared the COVID-19 pandemic a national emergency, invoking powers under the Stafford Act, the legislation that directs federal emergency disa</w:t>
      </w:r>
      <w:r>
        <w:rPr>
          <w:sz w:val="20"/>
          <w:szCs w:val="20"/>
        </w:rPr>
        <w:t xml:space="preserve">ster response, and under the Defense Production Act, the legislation </w:t>
      </w:r>
      <w:r>
        <w:rPr>
          <w:sz w:val="20"/>
          <w:szCs w:val="20"/>
          <w:shd w:val="clear" w:color="auto" w:fill="FFFFFF"/>
        </w:rPr>
        <w:t>that facilitates the production of goods and services necessary for national security and for other purposes</w:t>
      </w:r>
      <w:r>
        <w:rPr>
          <w:sz w:val="20"/>
          <w:szCs w:val="20"/>
        </w:rPr>
        <w:t xml:space="preserve">. Numerous governmental jurisdictions, including the State of New Jersey where </w:t>
      </w:r>
      <w:r>
        <w:rPr>
          <w:sz w:val="20"/>
          <w:szCs w:val="20"/>
        </w:rPr>
        <w:t xml:space="preserve">we maintain our principal executive offices, and those in which many of our U.S. and international offices are based, have imposed, and others in the future may impose, “shelter-in-place” orders, quarantines, executive orders and similar government orders </w:t>
      </w:r>
      <w:r>
        <w:rPr>
          <w:sz w:val="20"/>
          <w:szCs w:val="20"/>
        </w:rPr>
        <w:t>and restrictions for their residents to control the spread of COVID-19. Such orders or restrictions, and the perception that such orders or restrictions could occur, have resulted in business closures, work stoppages, slowdowns and delays, work-from-home p</w:t>
      </w:r>
      <w:r>
        <w:rPr>
          <w:sz w:val="20"/>
          <w:szCs w:val="20"/>
        </w:rPr>
        <w:t>olicies, travel restrictions and cancellation of events, among other effects, thereby negatively impacting our customers, employees, and offices, among others. We may experience further limitations on employee resources in the future, because of sickness o</w:t>
      </w:r>
      <w:r>
        <w:rPr>
          <w:sz w:val="20"/>
          <w:szCs w:val="20"/>
        </w:rPr>
        <w:t>f employees or their families.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04493301"/>
        </w:trPr>
        <w:tc>
          <w:tcPr>
            <w:tcW w:w="5000" w:type="pct"/>
            <w:hideMark/>
          </w:tcPr>
          <w:p w:rsidR="00000000" w:rsidRDefault="00B30BA7">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Healthcare organizations around the world, including our health care provider customers, have faced and will continue to face, substantial challenges </w:t>
      </w:r>
      <w:r>
        <w:rPr>
          <w:sz w:val="20"/>
          <w:szCs w:val="20"/>
        </w:rPr>
        <w:t>in treating patients with COVID-19, such as the diversion of staff and resources from ordinary functions to the treatment of COVID-19, supply, resource and capital shortages and overburdening of staff and resource capacity. In the United States, government</w:t>
      </w:r>
      <w:r>
        <w:rPr>
          <w:sz w:val="20"/>
          <w:szCs w:val="20"/>
        </w:rPr>
        <w:t>al authorities have at times also recommended, and in certain cases required, that elective, specialty and other procedures and appointments, including certain primary care services, be suspended or canceled to avoid non-essential patient exposure to medic</w:t>
      </w:r>
      <w:r>
        <w:rPr>
          <w:sz w:val="20"/>
          <w:szCs w:val="20"/>
        </w:rPr>
        <w:t>al environments and potential infection with COVID-19 and to focus limited resources and personnel capacity toward the treatment of COVID-19. Some or all of these measures and challenges may continue for the duration of the pandemic, which is uncertain, an</w:t>
      </w:r>
      <w:r>
        <w:rPr>
          <w:sz w:val="20"/>
          <w:szCs w:val="20"/>
        </w:rPr>
        <w:t xml:space="preserve">d will disproportionately harm the results of operations, liquidity and financial condition of these health care organizations and our health care provider customers. As a result, our health-care provider customers may seek contractual accommodations from </w:t>
      </w:r>
      <w:r>
        <w:rPr>
          <w:sz w:val="20"/>
          <w:szCs w:val="20"/>
        </w:rPr>
        <w:t>us in the future. To the extent such health-care provider customers experience challenges and difficulties, it will adversely affect our business operation and results of operations. We note, for example, that approximately 60% of our revenue is directly t</w:t>
      </w:r>
      <w:r>
        <w:rPr>
          <w:sz w:val="20"/>
          <w:szCs w:val="20"/>
        </w:rPr>
        <w:t xml:space="preserve">ied to the cash collected by our health-care provider customers, which means that our short-term revenue has and may in the future decline as less patients visit their doctors during periods of social distancing. Further, a recession or prolonged economic </w:t>
      </w:r>
      <w:r>
        <w:rPr>
          <w:sz w:val="20"/>
          <w:szCs w:val="20"/>
        </w:rPr>
        <w:t>contraction as a result of the COVID-19 pandemic could also harm the business and results of operations of our enterprise customers, resulting in potential business closures, layoffs of employees and a significant increase in unemployment in the United Sta</w:t>
      </w:r>
      <w:r>
        <w:rPr>
          <w:sz w:val="20"/>
          <w:szCs w:val="20"/>
        </w:rPr>
        <w:t>tes and elsewhere which may continue even after the pandemic. The occurrence of any such events may lead to reduced income for customers and reduced size of workforces, which could reduce our revenue and harm our business, financial condition and results o</w:t>
      </w:r>
      <w:r>
        <w:rPr>
          <w:sz w:val="20"/>
          <w:szCs w:val="20"/>
        </w:rPr>
        <w:t>f operations.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widespread COVID-19 pandemic has resulted in, and may continue to result in, significant volatility and uncertainty in U.S. and international financial markets, reducing our ability to access capital, which could in the future negativel</w:t>
      </w:r>
      <w:r>
        <w:rPr>
          <w:sz w:val="20"/>
          <w:szCs w:val="20"/>
        </w:rPr>
        <w:t>y affect our liquidity. In addition, a recession or market correction resulting from the spread of COVID-19 could materially affect our business and the value of our common stock and Preferred Stock.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Further, given the dislocation and government-imposed </w:t>
      </w:r>
      <w:r>
        <w:rPr>
          <w:sz w:val="20"/>
          <w:szCs w:val="20"/>
        </w:rPr>
        <w:t>travel related limitations as a consequence of the COVID-19 pandemic, our ability to complete acquisitions in the near-term may be delayed. Future acquisitions may be subject to difficulties in evaluating potential acquisition targets as a result of the in</w:t>
      </w:r>
      <w:r>
        <w:rPr>
          <w:sz w:val="20"/>
          <w:szCs w:val="20"/>
        </w:rPr>
        <w:t>ability to accurately predict the duration or long-term economic and business consequences resulting from the COVID-19 pandemic.</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global outbreak of COVID-19 continues to rapidly evolve. We have taken steps intended to mitigate the effects of the pand</w:t>
      </w:r>
      <w:r>
        <w:rPr>
          <w:sz w:val="20"/>
          <w:szCs w:val="20"/>
        </w:rPr>
        <w:t>emic and to protect our global workforce including, but not limited to: moving a significant portion of our workforce to remote operations when and as needed, enacting social distancing and hygiene guidelines set forth by the Centers for Disease Control an</w:t>
      </w:r>
      <w:r>
        <w:rPr>
          <w:sz w:val="20"/>
          <w:szCs w:val="20"/>
        </w:rPr>
        <w:t>d Prevention and World Health Organization at our offices, providing a vaccination program at our global offices, and discontinuing company travel and events, among others. Although we believe we have taken the appropriate actions, we cannot guarantee that</w:t>
      </w:r>
      <w:r>
        <w:rPr>
          <w:sz w:val="20"/>
          <w:szCs w:val="20"/>
        </w:rPr>
        <w:t xml:space="preserve"> these measures will mitigate all or any negative effects of the pandemic. The prolonged impact of the COVID-19 pandemic or a similar health epidemic is highly uncertain and subject to change. We cannot at this time precisely predict what effects the ongoi</w:t>
      </w:r>
      <w:r>
        <w:rPr>
          <w:sz w:val="20"/>
          <w:szCs w:val="20"/>
        </w:rPr>
        <w:t>ng pandemic will have on our business, results of operations and financial condition, including the uncertainties relating to the ultimate geographic spread of the virus, the severity of the disease, the duration of the pandemic, and the governmental respo</w:t>
      </w:r>
      <w:r>
        <w:rPr>
          <w:sz w:val="20"/>
          <w:szCs w:val="20"/>
        </w:rPr>
        <w:t>nses to the pandemic. However, we will continue to monitor the COVID-19 situation closely and are committed to continuing to make appropriate changes as and when needed.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We operate in a highly competitive industry, and our competitors may be able to comp</w:t>
      </w:r>
      <w:r>
        <w:rPr>
          <w:b/>
          <w:bCs/>
          <w:i/>
          <w:iCs/>
          <w:sz w:val="20"/>
          <w:szCs w:val="20"/>
        </w:rPr>
        <w:t>ete more efficiently or evolve more rapidly than we do, which could have a material adverse effect on our business, revenue, growth rates and market share.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market for practice management, healthcare IT solutions and related services is highly competi</w:t>
      </w:r>
      <w:r>
        <w:rPr>
          <w:sz w:val="20"/>
          <w:szCs w:val="20"/>
        </w:rPr>
        <w:t>tive, and we expect competition to increase in the future. We face competition from other providers of both integrated and stand-alone practice management, EHR and RCM solutions, including competitors who utilize a web-based platform and providers of local</w:t>
      </w:r>
      <w:r>
        <w:rPr>
          <w:sz w:val="20"/>
          <w:szCs w:val="20"/>
        </w:rPr>
        <w:t>ly installed software systems. Our competitors include larger healthcare IT companies, such as athenahealth, Inc., eClinicalWorks, Allscripts Healthcare Solutions, Inc. and Greenway Medical Technologies, Inc., all of which may be able to respond more quick</w:t>
      </w:r>
      <w:r>
        <w:rPr>
          <w:sz w:val="20"/>
          <w:szCs w:val="20"/>
        </w:rPr>
        <w:t>ly and effectively than we can to new or changing opportunities, technologies, standards, regulations or customer needs and requirements. Many of our competitors have longer operating histories, greater brand recognition and greater financial marketing and</w:t>
      </w:r>
      <w:r>
        <w:rPr>
          <w:sz w:val="20"/>
          <w:szCs w:val="20"/>
        </w:rPr>
        <w:t xml:space="preserve"> other resources than us. We also compete with various regional RCM companies, some of which may continue to consolidate and expand into broader markets. We expect that competition will continue to increase as a result of incentives provided by the Health </w:t>
      </w:r>
      <w:r>
        <w:rPr>
          <w:sz w:val="20"/>
          <w:szCs w:val="20"/>
        </w:rPr>
        <w:t>Information Technology for Economic and Clinical Health (“HITECH”) Act, and consolidation in both the information technology and healthcare industries. Competitors may introduce products or services that render our products or services obsolete or less mar</w:t>
      </w:r>
      <w:r>
        <w:rPr>
          <w:sz w:val="20"/>
          <w:szCs w:val="20"/>
        </w:rPr>
        <w:t>ketable. Even if our products and services are more effective than the offerings of our competitors, current or potential customers might prefer competitive products or services to our products and services. In addition, our competitive edge could be dimin</w:t>
      </w:r>
      <w:r>
        <w:rPr>
          <w:sz w:val="20"/>
          <w:szCs w:val="20"/>
        </w:rPr>
        <w:t>ished or completely lost if our competition develops similar offshore operations in Pakistan or other countries, such as India and the Philippines, where labor costs are lower than those in the U.S. (although higher than in Pakistan). Pricing pressures cou</w:t>
      </w:r>
      <w:r>
        <w:rPr>
          <w:sz w:val="20"/>
          <w:szCs w:val="20"/>
        </w:rPr>
        <w:t>ld negatively impact our margins, growth rate and market share.</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55560880"/>
        </w:trPr>
        <w:tc>
          <w:tcPr>
            <w:tcW w:w="5000" w:type="pct"/>
            <w:hideMark/>
          </w:tcPr>
          <w:p w:rsidR="00000000" w:rsidRDefault="00B30BA7">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xml:space="preserve">If </w:t>
      </w:r>
      <w:r>
        <w:rPr>
          <w:b/>
          <w:bCs/>
          <w:i/>
          <w:iCs/>
          <w:sz w:val="20"/>
          <w:szCs w:val="20"/>
        </w:rPr>
        <w:t>we are unable to successfully introduce new products or services or fail to keep pace with advances in technology, we would not be able to maintain our customers or grow our business, which will have a material adverse effect on our business.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busines</w:t>
      </w:r>
      <w:r>
        <w:rPr>
          <w:sz w:val="20"/>
          <w:szCs w:val="20"/>
        </w:rPr>
        <w:t xml:space="preserve">s depends on our ability to adapt to evolving technologies and industry standards and upgrade existing and introduce new products and services accordingly. If we cannot adapt to changing technologies and industry standards, including changing requirements </w:t>
      </w:r>
      <w:r>
        <w:rPr>
          <w:sz w:val="20"/>
          <w:szCs w:val="20"/>
        </w:rPr>
        <w:t>of third-party applications and software and meet the requirements of our customers, our products and services may become obsolete, and our business would suffer significantly. Because both the healthcare industry and the healthcare IT technology market ar</w:t>
      </w:r>
      <w:r>
        <w:rPr>
          <w:sz w:val="20"/>
          <w:szCs w:val="20"/>
        </w:rPr>
        <w:t>e constantly evolving, our success will depend, in part, on our ability to continue to enhance our existing products and services, develop new technology that addresses the increasingly sophisticated and varied needs of our customers, respond to technologi</w:t>
      </w:r>
      <w:r>
        <w:rPr>
          <w:sz w:val="20"/>
          <w:szCs w:val="20"/>
        </w:rPr>
        <w:t>cal advances and emerging industry standards and practices on a timely and cost-effective basis, educate our customers to adopt these new technologies, and successfully assist them in transitioning to our new products and services. The development of our p</w:t>
      </w:r>
      <w:r>
        <w:rPr>
          <w:sz w:val="20"/>
          <w:szCs w:val="20"/>
        </w:rPr>
        <w:t>roprietary technology entails significant technical and business risks. We may not be successful in developing, using, marketing, selling, or maintaining new technologies effectively or adapting our proprietary technology to evolving customer requirements,</w:t>
      </w:r>
      <w:r>
        <w:rPr>
          <w:sz w:val="20"/>
          <w:szCs w:val="20"/>
        </w:rPr>
        <w:t xml:space="preserve"> emerging industry standards or changing third party applications, and, as a result, our business and reputation could materially suffer. We may not be able to introduce new products or services on schedule, or at all, or such products or services may not </w:t>
      </w:r>
      <w:r>
        <w:rPr>
          <w:sz w:val="20"/>
          <w:szCs w:val="20"/>
        </w:rPr>
        <w:t>achieve market acceptance or existing products or services may cease to function properly. A failure by us to timely adapt to ever changing technologies or our failure to regularly upgrade existing or introduce new products or to introduce these products o</w:t>
      </w:r>
      <w:r>
        <w:rPr>
          <w:sz w:val="20"/>
          <w:szCs w:val="20"/>
        </w:rPr>
        <w:t>n schedule could cause us to not only lose our current customers but also fail to attract new customers.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xml:space="preserve">The continued success of our business model is heavily dependent upon our offshore operations, and any disruption to those operations will adversely </w:t>
      </w:r>
      <w:r>
        <w:rPr>
          <w:b/>
          <w:bCs/>
          <w:i/>
          <w:iCs/>
          <w:sz w:val="20"/>
          <w:szCs w:val="20"/>
        </w:rPr>
        <w:t>affect us.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majority of our operations, including the development and maintenance of our web-based platform, our customer support services and medical billing activities, are performed by our highly educated workforce of approximately 3,400 employees </w:t>
      </w:r>
      <w:r>
        <w:rPr>
          <w:sz w:val="20"/>
          <w:szCs w:val="20"/>
        </w:rPr>
        <w:t>in our Offshore Offices. Approximately 99% of our offshore employees are in our Pakistan Offices and our remaining employees are located at our smaller offshore operation center in Sri Lanka. The performance of our operations in our Pakistan Offices, and o</w:t>
      </w:r>
      <w:r>
        <w:rPr>
          <w:sz w:val="20"/>
          <w:szCs w:val="20"/>
        </w:rPr>
        <w:t>ur ability to maintain our offshore offices, is an essential element of our business model, as the labor costs where our Pakistan Offices are located are substantially lower than the cost of comparable labor in India, the United States and other countries,</w:t>
      </w:r>
      <w:r>
        <w:rPr>
          <w:sz w:val="20"/>
          <w:szCs w:val="20"/>
        </w:rPr>
        <w:t xml:space="preserve"> and allows us to competitively price our products and services. Our competitive advantage will be greatly diminished and may disappear altogether if our operations in our Pakistan Offices are negatively impacted.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Pakistan and Sri Lanka have in the past </w:t>
      </w:r>
      <w:r>
        <w:rPr>
          <w:sz w:val="20"/>
          <w:szCs w:val="20"/>
        </w:rPr>
        <w:t>experienced and could in the future continue to experience periods of political and social unrest, war and acts of terrorism. Our operations in our offshore locations may be negatively impacted by these and a number of other factors, including currency flu</w:t>
      </w:r>
      <w:r>
        <w:rPr>
          <w:sz w:val="20"/>
          <w:szCs w:val="20"/>
        </w:rPr>
        <w:t>ctuations, cost of labor and supplies, power grid and infrastructure issues, vandalism, and changes in local law, as well as laws within the United States relating to these countries. Client mandates or preferences for onshore service providers may also ad</w:t>
      </w:r>
      <w:r>
        <w:rPr>
          <w:sz w:val="20"/>
          <w:szCs w:val="20"/>
        </w:rPr>
        <w:t>versely impact our business model. Our operations in our Offshore Offices may also be affected by trade restrictions, such as tariffs or other trade controls. If we are unable to continue to leverage the skills and experience of our highly educated workfor</w:t>
      </w:r>
      <w:r>
        <w:rPr>
          <w:sz w:val="20"/>
          <w:szCs w:val="20"/>
        </w:rPr>
        <w:t>ce, particularly in our Pakistan Offices, we may be unable to provide our products and services at attractive prices, and our business would be materially and negatively impacted or discontinued.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believe that the labor costs in our Offshore Offices ar</w:t>
      </w:r>
      <w:r>
        <w:rPr>
          <w:sz w:val="20"/>
          <w:szCs w:val="20"/>
        </w:rPr>
        <w:t>e approximately 11% of the cost of comparably educated and skilled workers in the U.S. If there were potential disruptions in any of these locations, they could have a negative impact on our business.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84194631"/>
        </w:trPr>
        <w:tc>
          <w:tcPr>
            <w:tcW w:w="5000" w:type="pct"/>
            <w:hideMark/>
          </w:tcPr>
          <w:p w:rsidR="00000000" w:rsidRDefault="00B30BA7">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 xml:space="preserve">Our </w:t>
      </w:r>
      <w:r>
        <w:rPr>
          <w:b/>
          <w:bCs/>
          <w:i/>
          <w:iCs/>
          <w:sz w:val="20"/>
          <w:szCs w:val="20"/>
        </w:rPr>
        <w:t>offshore operations expose us to additional business and financial risks which could adversely affect us and subject us to civil and criminal liability.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risks and challenges associated with our operations outside the United States include laws and bu</w:t>
      </w:r>
      <w:r>
        <w:rPr>
          <w:sz w:val="20"/>
          <w:szCs w:val="20"/>
        </w:rPr>
        <w:t>siness practices favoring local competitors; compliance with multiple, conflicting and changing governmental laws and regulations, including employment and tax laws and regulations; and fluctuations in foreign currency exchange rates. Foreign operations su</w:t>
      </w:r>
      <w:r>
        <w:rPr>
          <w:sz w:val="20"/>
          <w:szCs w:val="20"/>
        </w:rPr>
        <w:t>bject us to numerous stringent U.S. and foreign laws, including the Foreign Corrupt Practices Act (“FCPA”), and comparable foreign laws and regulations that prohibit improper payments or offers of payments to foreign governments and their officials and pol</w:t>
      </w:r>
      <w:r>
        <w:rPr>
          <w:sz w:val="20"/>
          <w:szCs w:val="20"/>
        </w:rPr>
        <w:t xml:space="preserve">itical parties by U.S. and other business entities for the purpose of obtaining or retaining business. Safeguards we implement to discourage these practices may prove to be less than effective and violations of the FCPA and other laws may result in severe </w:t>
      </w:r>
      <w:r>
        <w:rPr>
          <w:sz w:val="20"/>
          <w:szCs w:val="20"/>
        </w:rPr>
        <w:t>criminal or civil sanctions, or other liabilities or proceedings against us, including class action lawsuits and enforcement actions from the SEC, Department of Justice and overseas regulators.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Changes in the healthcare industry could affect the demand f</w:t>
      </w:r>
      <w:r>
        <w:rPr>
          <w:b/>
          <w:bCs/>
          <w:i/>
          <w:iCs/>
          <w:sz w:val="20"/>
          <w:szCs w:val="20"/>
        </w:rPr>
        <w:t>or our services and may result in a decrease in our revenues and market share.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As the healthcare industry evolves, changes in our customer base may reduce the demand for our services, result in the termination of existing contracts, and make it more diff</w:t>
      </w:r>
      <w:r>
        <w:rPr>
          <w:sz w:val="20"/>
          <w:szCs w:val="20"/>
        </w:rPr>
        <w:t>icult to negotiate new contracts on terms that are acceptable to us. For example, the current trend toward consolidation of healthcare providers may cause our existing customer contracts to terminate as independent practices are merged into hospital system</w:t>
      </w:r>
      <w:r>
        <w:rPr>
          <w:sz w:val="20"/>
          <w:szCs w:val="20"/>
        </w:rPr>
        <w:t>s or other healthcare organizations. Such larger healthcare organizations may have their own practice management, and EHR and RCM solutions, reducing demand for our services. If this trend continues, we cannot assure you that we will be able to continue to</w:t>
      </w:r>
      <w:r>
        <w:rPr>
          <w:sz w:val="20"/>
          <w:szCs w:val="20"/>
        </w:rPr>
        <w:t xml:space="preserve"> maintain or expand our customer base, negotiate contracts with acceptable terms, or maintain our current pricing structure, which would result in a decrease in our revenues and market share.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 xml:space="preserve">If </w:t>
      </w:r>
      <w:r>
        <w:rPr>
          <w:b/>
          <w:bCs/>
          <w:i/>
          <w:iCs/>
          <w:sz w:val="20"/>
          <w:szCs w:val="20"/>
        </w:rPr>
        <w:t>providers do not purchase our products and services or delay in choosing our products or services, we may not be able to grow our business.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business model depends on our ability to sell our products and services. Acceptance of our products and servic</w:t>
      </w:r>
      <w:r>
        <w:rPr>
          <w:sz w:val="20"/>
          <w:szCs w:val="20"/>
        </w:rPr>
        <w:t>es may require providers to adopt different behavior patterns and new methods of conducting business and exchanging information. Providers may not integrate our products and services into their workflow and may not accept our solutions and services as a re</w:t>
      </w:r>
      <w:r>
        <w:rPr>
          <w:sz w:val="20"/>
          <w:szCs w:val="20"/>
        </w:rPr>
        <w:t>placement for traditional methods of practicing medicine. Providers may also choose to buy our competitors’ products and services instead of ours. Achieving market acceptance for our solutions and services will continue to require substantial sales and mar</w:t>
      </w:r>
      <w:r>
        <w:rPr>
          <w:sz w:val="20"/>
          <w:szCs w:val="20"/>
        </w:rPr>
        <w:t xml:space="preserve">keting efforts and the expenditure of significant financial and other resources to create awareness and demand by providers. If providers fail to broadly accept our products and services, our business, financial condition and results of operations will be </w:t>
      </w:r>
      <w:r>
        <w:rPr>
          <w:sz w:val="20"/>
          <w:szCs w:val="20"/>
        </w:rPr>
        <w:t>adversely affected.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If the revenues of our customers decrease, or if our customers cancel or elect not to renew their contracts, our revenue will decrease.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Under most of our RCM customer contracts, we base our charges on a percentage of the revenue tha</w:t>
      </w:r>
      <w:r>
        <w:rPr>
          <w:sz w:val="20"/>
          <w:szCs w:val="20"/>
        </w:rPr>
        <w:t>t our customer collects through the use of our services. Many factors may lead to decreases in customer revenue, including:</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B30BA7">
            <w:pPr>
              <w:jc w:val="both"/>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reduction of customer revenue as a result of changes to the ACA or decreased medical appointments during COVID-19;</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a </w:t>
            </w:r>
            <w:r>
              <w:rPr>
                <w:rFonts w:eastAsia="Times New Roman"/>
                <w:sz w:val="20"/>
                <w:szCs w:val="20"/>
              </w:rPr>
              <w:t>rollback of the expansion of Medicaid or other governmental programs;</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w:t>
            </w:r>
          </w:p>
        </w:tc>
        <w:tc>
          <w:tcPr>
            <w:tcW w:w="0" w:type="auto"/>
            <w:hideMark/>
          </w:tcPr>
          <w:p w:rsidR="00000000" w:rsidRDefault="00B30BA7">
            <w:pPr>
              <w:pStyle w:val="a3"/>
              <w:spacing w:before="0" w:beforeAutospacing="0" w:after="0" w:afterAutospacing="0"/>
              <w:jc w:val="both"/>
              <w:rPr>
                <w:sz w:val="20"/>
                <w:szCs w:val="20"/>
              </w:rPr>
            </w:pPr>
            <w:r>
              <w:rPr>
                <w:sz w:val="20"/>
                <w:szCs w:val="20"/>
              </w:rPr>
              <w:t>reduction of customer revenue resulting from increased competition or other changes in the marketplace for physician services;</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failure of our customers to adopt or mainta</w:t>
            </w:r>
            <w:r>
              <w:rPr>
                <w:rFonts w:eastAsia="Times New Roman"/>
                <w:sz w:val="20"/>
                <w:szCs w:val="20"/>
              </w:rPr>
              <w:t>in effective business practices;</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actions by third-party payers of medical claims to reduce reimbursement;</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government </w:t>
            </w:r>
            <w:r>
              <w:rPr>
                <w:rFonts w:eastAsia="Times New Roman"/>
                <w:sz w:val="20"/>
                <w:szCs w:val="20"/>
              </w:rPr>
              <w:t>regulations and government or other payer actions or inactions reducing or delaying reimbursement;</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interruption of customer access to our system; and</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failure to provide services in a timely or high-quality manner.</w:t>
            </w:r>
          </w:p>
        </w:tc>
      </w:tr>
    </w:tbl>
    <w:p w:rsidR="00000000" w:rsidRDefault="00B30BA7">
      <w:pPr>
        <w:pStyle w:val="a3"/>
        <w:spacing w:before="0" w:beforeAutospacing="0" w:after="0" w:afterAutospacing="0"/>
        <w:ind w:left="36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11255520"/>
        </w:trPr>
        <w:tc>
          <w:tcPr>
            <w:tcW w:w="5000" w:type="pct"/>
            <w:hideMark/>
          </w:tcPr>
          <w:p w:rsidR="00000000" w:rsidRDefault="00B30BA7">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ind w:left="360" w:hanging="36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 xml:space="preserve">We </w:t>
      </w:r>
      <w:r>
        <w:rPr>
          <w:b/>
          <w:bCs/>
          <w:i/>
          <w:iCs/>
          <w:sz w:val="20"/>
          <w:szCs w:val="20"/>
        </w:rPr>
        <w:t>have incurred operating losses and net losses, and we may not be able to achieve or subsequently maintain profitability in the future.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While we recognized net income of approximately $2.8 million for the year ended December 31, 2021, we incurred a net lo</w:t>
      </w:r>
      <w:r>
        <w:rPr>
          <w:sz w:val="20"/>
          <w:szCs w:val="20"/>
        </w:rPr>
        <w:t xml:space="preserve">ss of $8.8 million for the year ended December 31, 2020. Our net income and net loss for the years ended December 31, 2021 and 2020, respectively, include approximately $8.9 million and $8.1 million of non-cash amortization expense of purchased intangible </w:t>
      </w:r>
      <w:r>
        <w:rPr>
          <w:sz w:val="20"/>
          <w:szCs w:val="20"/>
        </w:rPr>
        <w:t>assets, respectively.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may not succeed in achieving the efficiencies we anticipate from our acquisitions and possible future acquisitions, including moving sufficient labor to our offshore locations to offset increased costs resulting from these acquis</w:t>
      </w:r>
      <w:r>
        <w:rPr>
          <w:sz w:val="20"/>
          <w:szCs w:val="20"/>
        </w:rPr>
        <w:t>itions, and we may continue to incur losses in future periods. We incur additional operating expenses as a public company and we intend to continue to increase our operating expenses as we grow our business. We also expect to continue to make investments i</w:t>
      </w:r>
      <w:r>
        <w:rPr>
          <w:sz w:val="20"/>
          <w:szCs w:val="20"/>
        </w:rPr>
        <w:t>n our proprietary technology, sales and marketing, infrastructure, facilities and other resources as we seek to grow, thereby incurring additional costs. If we are unable to generate adequate revenue growth and manage our expenses, we may continue to incur</w:t>
      </w:r>
      <w:r>
        <w:rPr>
          <w:sz w:val="20"/>
          <w:szCs w:val="20"/>
        </w:rPr>
        <w:t xml:space="preserve"> losses in the future and may not be able to achieve or maintain profitability.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As a result of our variable sales and implementation cycles, we may be unable to recognize revenue from prospective customers on a timely basis and we may not be able to offs</w:t>
      </w:r>
      <w:r>
        <w:rPr>
          <w:b/>
          <w:bCs/>
          <w:i/>
          <w:iCs/>
          <w:sz w:val="20"/>
          <w:szCs w:val="20"/>
        </w:rPr>
        <w:t>et expenditures.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sales cycle for our services can be variable, typically ranging from two to four months from initial contact with a potential customer to contract execution, although this period can be substantially longer. During the sales cycle, w</w:t>
      </w:r>
      <w:r>
        <w:rPr>
          <w:sz w:val="20"/>
          <w:szCs w:val="20"/>
        </w:rPr>
        <w:t>e expend time and resources in an attempt to obtain a customer without recognizing revenue from that customer to offset such expenditures. Our implementation cycle is also variable, typically ranging from two to four months from contract execution to compl</w:t>
      </w:r>
      <w:r>
        <w:rPr>
          <w:sz w:val="20"/>
          <w:szCs w:val="20"/>
        </w:rPr>
        <w:t xml:space="preserve">etion of implementation. Each customer’s situation is different, and unanticipated difficulties and delays may arise as a result of a failure by us or by the customer to meet our respective implementation responsibilities. During the implementation cycle, </w:t>
      </w:r>
      <w:r>
        <w:rPr>
          <w:sz w:val="20"/>
          <w:szCs w:val="20"/>
        </w:rPr>
        <w:t>we expend substantial time, effort, and financial resources implementing our services without recognizing revenue. Even following implementation, there can be no assurance that we will recognize revenue on a timely basis or at all from our efforts. In addi</w:t>
      </w:r>
      <w:r>
        <w:rPr>
          <w:sz w:val="20"/>
          <w:szCs w:val="20"/>
        </w:rPr>
        <w:t>tion, cancellation of any implementation after it has begun may involve loss to us of time, effort, and expenses invested in the canceled implementation process, and lost opportunity for implementing paying customers in that same period of time.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As a res</w:t>
      </w:r>
      <w:r>
        <w:rPr>
          <w:b/>
          <w:bCs/>
          <w:i/>
          <w:iCs/>
          <w:sz w:val="20"/>
          <w:szCs w:val="20"/>
        </w:rPr>
        <w:t>ult of the Wayfair decision and changes in various states’ laws, we are required to collect sales and use taxes on certain products and services we sell in certain jurisdictions. We may be subject to liability for past sales and incur additional related co</w:t>
      </w:r>
      <w:r>
        <w:rPr>
          <w:b/>
          <w:bCs/>
          <w:i/>
          <w:iCs/>
          <w:sz w:val="20"/>
          <w:szCs w:val="20"/>
        </w:rPr>
        <w:t>sts and expenses, and our future sales may decrease.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may lose sales or incur significant expenses should states be successful in imposing additional state sales and use taxes on our products and services. A successful assertion by one or more states t</w:t>
      </w:r>
      <w:r>
        <w:rPr>
          <w:sz w:val="20"/>
          <w:szCs w:val="20"/>
        </w:rPr>
        <w:t>hat we should collect sales or other taxes on the sale of our products and services that we are currently not collecting could result in substantial tax liabilities for past sales, decrease our ability to compete with healthcare IT vendors not subject to s</w:t>
      </w:r>
      <w:r>
        <w:rPr>
          <w:sz w:val="20"/>
          <w:szCs w:val="20"/>
        </w:rPr>
        <w:t>ales and use taxes, and otherwise harm our business. Each state has different rules and regulations governing sales and use taxes, and these rules and regulations are subject to varying interpretations that may change over time. We review these rules and r</w:t>
      </w:r>
      <w:r>
        <w:rPr>
          <w:sz w:val="20"/>
          <w:szCs w:val="20"/>
        </w:rPr>
        <w:t>egulations periodically and, when we believe that our products or services are subject to sales and use taxes in a particular state, we voluntarily approach state tax authorities in order to determine how to comply with their rules and regulations. We cann</w:t>
      </w:r>
      <w:r>
        <w:rPr>
          <w:sz w:val="20"/>
          <w:szCs w:val="20"/>
        </w:rPr>
        <w:t>ot assure you that we will not be subject to sales and use taxes or related penalties for past sales in states where we believe no compliance is necessary.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If the federal government were to impose a tax on imports or services performed abroad, we might b</w:t>
      </w:r>
      <w:r>
        <w:rPr>
          <w:sz w:val="20"/>
          <w:szCs w:val="20"/>
        </w:rPr>
        <w:t>e subject to additional liabilities. At this time, there is no way to predict whether this will occur or estimate the impact on our business.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Vendors </w:t>
      </w:r>
      <w:r>
        <w:rPr>
          <w:sz w:val="20"/>
          <w:szCs w:val="20"/>
        </w:rPr>
        <w:t>of products and services like us are typically held responsible by taxing authorities for the collection and payment of any applicable sales and similar taxes. If one or more taxing authorities determine that taxes should have, but have not, been paid with</w:t>
      </w:r>
      <w:r>
        <w:rPr>
          <w:sz w:val="20"/>
          <w:szCs w:val="20"/>
        </w:rPr>
        <w:t xml:space="preserve"> respect to our products or services, we may be liable for past taxes in addition to taxes going forward. Liability for past taxes may also include very substantial interest and penalty charges. Nevertheless, customers may be reluctant to pay back taxes an</w:t>
      </w:r>
      <w:r>
        <w:rPr>
          <w:sz w:val="20"/>
          <w:szCs w:val="20"/>
        </w:rPr>
        <w:t>d may refuse responsibility for interest or penalties associated with those taxes. If we are required to collect and pay back taxes and the associated interest and penalties, and if our customers fail or refuse to reimburse us for all or a portion of these</w:t>
      </w:r>
      <w:r>
        <w:rPr>
          <w:sz w:val="20"/>
          <w:szCs w:val="20"/>
        </w:rPr>
        <w:t xml:space="preserve"> amounts, we will have incurred unplanned expenses that may be substantial. Moreover, imposition of such taxes on our products and services going forward will effectively increase the cost of those products and services to our customers and may adversely a</w:t>
      </w:r>
      <w:r>
        <w:rPr>
          <w:sz w:val="20"/>
          <w:szCs w:val="20"/>
        </w:rPr>
        <w:t>ffect our ability to retain existing customers or to gain new customers in the states in which such taxes are imposed.</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9947981"/>
        </w:trPr>
        <w:tc>
          <w:tcPr>
            <w:tcW w:w="5000" w:type="pct"/>
            <w:hideMark/>
          </w:tcPr>
          <w:p w:rsidR="00000000" w:rsidRDefault="00B30BA7">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may also become subject to tax audits or similar procedures in states where we already pay sales and use taxes. The incurr</w:t>
      </w:r>
      <w:r>
        <w:rPr>
          <w:sz w:val="20"/>
          <w:szCs w:val="20"/>
        </w:rPr>
        <w:t>ence of additional accounting and legal costs and related expenses in connection with, and the assessment of, taxes, interest, and penalties as a result of audits, litigation, or otherwise could be materially adverse to our current and future results of op</w:t>
      </w:r>
      <w:r>
        <w:rPr>
          <w:sz w:val="20"/>
          <w:szCs w:val="20"/>
        </w:rPr>
        <w:t>erations and financial condition.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xml:space="preserve">If we lose the services of Mahmud Haq as Executive Chairman, A. Hadi Chaudhry as Chief Executive Officer and President, or other members of our management team, or if we are unable to attract, hire, integrate and retain </w:t>
      </w:r>
      <w:r>
        <w:rPr>
          <w:b/>
          <w:bCs/>
          <w:i/>
          <w:iCs/>
          <w:sz w:val="20"/>
          <w:szCs w:val="20"/>
        </w:rPr>
        <w:t>other necessary employees, our business would be harmed.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future success depends in part on our ability to attract, hire, integrate and retain the members of our management team and other qualified personnel. In particular, we are dependent on the ser</w:t>
      </w:r>
      <w:r>
        <w:rPr>
          <w:sz w:val="20"/>
          <w:szCs w:val="20"/>
        </w:rPr>
        <w:t>vices of Mahmud Haq, our founder, principal stockholder and Executive Chairman, and A. Hadi Chaudhry, our Chief Executive Officer and President. Mr. Haq is instrumental in managing our offshore operations in our Pakistan Offices and coordinating those oper</w:t>
      </w:r>
      <w:r>
        <w:rPr>
          <w:sz w:val="20"/>
          <w:szCs w:val="20"/>
        </w:rPr>
        <w:t>ations with our U.S. activities. The loss of Mr. Haq, who would be particularly difficult to replace, could negatively impact our ability to effectively manage our cost-effective workforce in our Pakistan Offices, which enables us to provide our products a</w:t>
      </w:r>
      <w:r>
        <w:rPr>
          <w:sz w:val="20"/>
          <w:szCs w:val="20"/>
        </w:rPr>
        <w:t>nd solutions at attractive prices. Our future success also depends on the continued contributions of our other executive officers and certain key employees, each of whom may be difficult to replace, and upon our ability to attract and retain additional man</w:t>
      </w:r>
      <w:r>
        <w:rPr>
          <w:sz w:val="20"/>
          <w:szCs w:val="20"/>
        </w:rPr>
        <w:t>agement personnel. Competition for such personnel is intense, and we compete for qualified personnel with other employers. We may face difficulty identifying and hiring qualified personnel at compensation levels consistent with our existing compensation an</w:t>
      </w:r>
      <w:r>
        <w:rPr>
          <w:sz w:val="20"/>
          <w:szCs w:val="20"/>
        </w:rPr>
        <w:t>d salary structure. If we fail to retain our employees, we could incur significant expenses in hiring, integrating and training their replacements, and the quality of our services and our ability to serve our customers could diminish, resulting in a materi</w:t>
      </w:r>
      <w:r>
        <w:rPr>
          <w:sz w:val="20"/>
          <w:szCs w:val="20"/>
        </w:rPr>
        <w:t>al adverse effect on our business.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We may be unable to adequately establish, protect or enforce our patents, trade secrets and other intellectual property rights.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success depends in part upon our ability to establish, protect and enforce our patent</w:t>
      </w:r>
      <w:r>
        <w:rPr>
          <w:sz w:val="20"/>
          <w:szCs w:val="20"/>
        </w:rPr>
        <w:t>s, trade secrets and other intellectual property and proprietary rights. If we fail to establish, protect or enforce these rights, we may lose customers and important advantages in the market in which we compete. We rely on a combination of patent, tradema</w:t>
      </w:r>
      <w:r>
        <w:rPr>
          <w:sz w:val="20"/>
          <w:szCs w:val="20"/>
        </w:rPr>
        <w:t>rk, copyright and trade secret law and contractual obligations to protect our key intellectual property rights, all of which provide only limited protection. Our intellectual property rights may not be sufficient to help us maintain our position in the mar</w:t>
      </w:r>
      <w:r>
        <w:rPr>
          <w:sz w:val="20"/>
          <w:szCs w:val="20"/>
        </w:rPr>
        <w:t>ket and our competitive advantages.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Trade secrets may not be protectable if not properly kept confidential. We strive to enter into non-disclosure agreements with our employees, customers, contractors and business partners to limit access to and disclosu</w:t>
      </w:r>
      <w:r>
        <w:rPr>
          <w:sz w:val="20"/>
          <w:szCs w:val="20"/>
        </w:rPr>
        <w:t xml:space="preserve">re of our proprietary information. However, the steps we have taken may not be sufficient to prevent unauthorized use of our customer information, technology, and adequate remedies may not be available in the event of unauthorized use or disclosure of our </w:t>
      </w:r>
      <w:r>
        <w:rPr>
          <w:sz w:val="20"/>
          <w:szCs w:val="20"/>
        </w:rPr>
        <w:t xml:space="preserve">trade secrets and proprietary information. Our ability to protect the trade secrets of our acquired companies from disclosure by the former employees of these acquired entities may be limited by law in the jurisdiction in which the acquired company and/or </w:t>
      </w:r>
      <w:r>
        <w:rPr>
          <w:sz w:val="20"/>
          <w:szCs w:val="20"/>
        </w:rPr>
        <w:t>former employee resides, and/or where the disclosure occurred, and this leaves us vulnerable to the solicitation of the customers we acquire by former employees of the acquired business that join our competitors.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Accordingly, </w:t>
      </w:r>
      <w:r>
        <w:rPr>
          <w:sz w:val="20"/>
          <w:szCs w:val="20"/>
        </w:rPr>
        <w:t>despite our efforts, we may be unable to prevent third parties from using our intellectual property for their competitive advantage. Any such use could have a material adverse effect on our business, results of operations and financial condition. Monitorin</w:t>
      </w:r>
      <w:r>
        <w:rPr>
          <w:sz w:val="20"/>
          <w:szCs w:val="20"/>
        </w:rPr>
        <w:t>g unauthorized uses of and enforcing our intellectual property rights can be difficult and costly. Legal intellectual property actions are inherently uncertain and may not be successful, and may require a substantial amount of resources and divert our mana</w:t>
      </w:r>
      <w:r>
        <w:rPr>
          <w:sz w:val="20"/>
          <w:szCs w:val="20"/>
        </w:rPr>
        <w:t>gement’s attention.</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70050213"/>
        </w:trPr>
        <w:tc>
          <w:tcPr>
            <w:tcW w:w="5000" w:type="pct"/>
            <w:hideMark/>
          </w:tcPr>
          <w:p w:rsidR="00000000" w:rsidRDefault="00B30BA7">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Claims by others that we infringe or may infringe on their intellectual property could force us to incur significant costs or revise the way we conduct our business.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competitors protect their proprietary rights by mean</w:t>
      </w:r>
      <w:r>
        <w:rPr>
          <w:sz w:val="20"/>
          <w:szCs w:val="20"/>
        </w:rPr>
        <w:t>s of patents, trade secrets, copyrights, trademarks and other intellectual property. We have not conducted an independent review of patents and other intellectual property issued to third parties, who may have patents or patent applications relating to our</w:t>
      </w:r>
      <w:r>
        <w:rPr>
          <w:sz w:val="20"/>
          <w:szCs w:val="20"/>
        </w:rPr>
        <w:t xml:space="preserve"> proprietary technology. We may receive letters from third parties alleging, or inquiring about, possible infringement, misappropriation or violation of their intellectual property rights. Any party asserting that we infringe, misappropriate or violate pro</w:t>
      </w:r>
      <w:r>
        <w:rPr>
          <w:sz w:val="20"/>
          <w:szCs w:val="20"/>
        </w:rPr>
        <w:t xml:space="preserve">prietary rights may force us to defend ourselves, and potentially our customers, against the alleged claim. These claims and any resulting lawsuit, if successful, could subject us to significant liability for damages and/or invalidation of our proprietary </w:t>
      </w:r>
      <w:r>
        <w:rPr>
          <w:sz w:val="20"/>
          <w:szCs w:val="20"/>
        </w:rPr>
        <w:t>rights or interruption or cessation of our operations. Any such claims or lawsuit could:</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B30BA7">
            <w:pPr>
              <w:rPr>
                <w:rFonts w:eastAsia="Times New Roman"/>
                <w:sz w:val="20"/>
                <w:szCs w:val="20"/>
              </w:rPr>
            </w:pPr>
            <w:r>
              <w:rPr>
                <w:rFonts w:eastAsia="Times New Roman"/>
                <w:sz w:val="20"/>
                <w:szCs w:val="20"/>
              </w:rPr>
              <w:t> </w:t>
            </w: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be time-consuming and expensive to defend, whether meritorious or not;</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require </w:t>
            </w:r>
            <w:r>
              <w:rPr>
                <w:rFonts w:eastAsia="Times New Roman"/>
                <w:sz w:val="20"/>
                <w:szCs w:val="20"/>
              </w:rPr>
              <w:t>us to stop providing products or services that use the technology that allegedly infringes the other party’s intellectual property;</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divert the attention of our technical and managerial resources;</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require us to enter into royalty or </w:t>
            </w:r>
            <w:r>
              <w:rPr>
                <w:rFonts w:eastAsia="Times New Roman"/>
                <w:sz w:val="20"/>
                <w:szCs w:val="20"/>
              </w:rPr>
              <w:t>licensing agreements with third-parties, which may not be available on terms that we deem acceptable;</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prevent </w:t>
            </w:r>
            <w:r>
              <w:rPr>
                <w:rFonts w:eastAsia="Times New Roman"/>
                <w:sz w:val="20"/>
                <w:szCs w:val="20"/>
              </w:rPr>
              <w:t>us from operating all or a portion of our business or force us to redesign our products, services or technology platforms, which could be difficult and expensive and may make the performance or value of our product or service offerings less attractive;</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subject us to significant liability for damages or result in significant settlement payments; and/or</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require us to indemnify our customers.</w:t>
            </w:r>
          </w:p>
        </w:tc>
      </w:tr>
    </w:tbl>
    <w:p w:rsidR="00000000" w:rsidRDefault="00B30BA7">
      <w:pPr>
        <w:pStyle w:val="a3"/>
        <w:spacing w:before="0" w:beforeAutospacing="0" w:after="0" w:afterAutospacing="0"/>
        <w:ind w:hanging="36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Furthermore, during the course of litigation, confidential information may be disclosed in t</w:t>
      </w:r>
      <w:r>
        <w:rPr>
          <w:sz w:val="20"/>
          <w:szCs w:val="20"/>
        </w:rPr>
        <w:t>he form of documents or testimony in connection with discovery requests, depositions or trial testimony. Disclosure of our confidential information and our involvement in intellectual property litigation could materially adversely affect our business. Some</w:t>
      </w:r>
      <w:r>
        <w:rPr>
          <w:sz w:val="20"/>
          <w:szCs w:val="20"/>
        </w:rPr>
        <w:t xml:space="preserve"> of our competitors may be able to sustain the costs of intellectual property litigation more effectively than we can because they have substantially greater resources. In addition, any litigation could significantly harm our relationships with current and</w:t>
      </w:r>
      <w:r>
        <w:rPr>
          <w:sz w:val="20"/>
          <w:szCs w:val="20"/>
        </w:rPr>
        <w:t xml:space="preserve"> prospective customers. Any of the foregoing could disrupt our business and have a material adverse effect on our business, operating results and financial condition.</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In </w:t>
      </w:r>
      <w:r>
        <w:rPr>
          <w:sz w:val="20"/>
          <w:szCs w:val="20"/>
        </w:rPr>
        <w:t>addition, contentions by a third party such as a vendor or partner that we may pose a threat to their intellectual property can disrupt our ability to work with such party and/or our customers who rely upon that third party’s product or services. Withdrawa</w:t>
      </w:r>
      <w:r>
        <w:rPr>
          <w:sz w:val="20"/>
          <w:szCs w:val="20"/>
        </w:rPr>
        <w:t>l of participation by key vendors or partners would cause a disruption of services to our clients and a loss of customers, which could negatively affect our business and financial performance.</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We may be unable to protect, and we may incur significant cos</w:t>
      </w:r>
      <w:r>
        <w:rPr>
          <w:b/>
          <w:bCs/>
          <w:i/>
          <w:iCs/>
          <w:sz w:val="20"/>
          <w:szCs w:val="20"/>
        </w:rPr>
        <w:t xml:space="preserve">ts in enforcing, our intellectual property rights. </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Our patents, trademarks, trade secrets, copyrights, and other intellectual property rights are important assets to us. Various events outside of our control pose a threat to our intellectual property ri</w:t>
      </w:r>
      <w:r>
        <w:rPr>
          <w:sz w:val="20"/>
          <w:szCs w:val="20"/>
        </w:rPr>
        <w:t>ghts, as well as to our products, services, and technologies. For instance, any of our current or future intellectual property rights may be challenged by others or invalidated through administrative process or litigation. Any of our pending or future pate</w:t>
      </w:r>
      <w:r>
        <w:rPr>
          <w:sz w:val="20"/>
          <w:szCs w:val="20"/>
        </w:rPr>
        <w:t>nt applications, whether or not being currently challenged, may not be issued with the scope of the claims we seek, if at all.</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have taken efforts to protect our proprietary rights, including a combination of license agreements, confidentiality policie</w:t>
      </w:r>
      <w:r>
        <w:rPr>
          <w:sz w:val="20"/>
          <w:szCs w:val="20"/>
        </w:rPr>
        <w:t xml:space="preserve">s and procedures, confidentiality provisions in employment agreements, confidentiality agreements with third parties, and technical security measures, as well as our reliance on copyright, patent, trademark, trade secret and unfair competition laws. These </w:t>
      </w:r>
      <w:r>
        <w:rPr>
          <w:sz w:val="20"/>
          <w:szCs w:val="20"/>
        </w:rPr>
        <w:t>efforts may not be sufficient or effective. For example, the secrecy of our trade secrets or other confidential information could be compromised by our employees or by third parties, which could cause us to lose the competitive advantage resulting from tho</w:t>
      </w:r>
      <w:r>
        <w:rPr>
          <w:sz w:val="20"/>
          <w:szCs w:val="20"/>
        </w:rPr>
        <w:t>se trade secrets or confidential information. Unauthorized third parties may try to copy or reverse engineer portions of our products or otherwise infringe upon, misappropriate or use our intellectual property. We may not be able to discover or determine t</w:t>
      </w:r>
      <w:r>
        <w:rPr>
          <w:sz w:val="20"/>
          <w:szCs w:val="20"/>
        </w:rPr>
        <w:t>he extent of any unauthorized use of our proprietary rights. We may also conclude that, in some instances, the benefits of protecting our intellectual property rights may be outweighed by the expense.</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66756288"/>
        </w:trPr>
        <w:tc>
          <w:tcPr>
            <w:tcW w:w="5000" w:type="pct"/>
            <w:hideMark/>
          </w:tcPr>
          <w:p w:rsidR="00000000" w:rsidRDefault="00B30BA7">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 addition, our platforms incorporate “ope</w:t>
      </w:r>
      <w:r>
        <w:rPr>
          <w:sz w:val="20"/>
          <w:szCs w:val="20"/>
        </w:rPr>
        <w:t>n source” software components that are licensed to us under various public domain licenses. Open source license terms are often ambiguous, and there is little or no legal precedent governing the interpretation of many of the terms of certain of these licen</w:t>
      </w:r>
      <w:r>
        <w:rPr>
          <w:sz w:val="20"/>
          <w:szCs w:val="20"/>
        </w:rPr>
        <w:t>ses. Therefore, the potential impact of such terms on our business is somewhat unknown. Further, some enterprises may be reluctant or unwilling to use cloud-based services, because they have concerns regarding the risks associated with the security and rel</w:t>
      </w:r>
      <w:r>
        <w:rPr>
          <w:sz w:val="20"/>
          <w:szCs w:val="20"/>
        </w:rPr>
        <w:t>iability, among other things, of the technology delivery model associated with these services. If enterprises do not perceive the benefits of our services, then the market for these services may not expand as much or develop as quickly as we expect, either</w:t>
      </w:r>
      <w:r>
        <w:rPr>
          <w:sz w:val="20"/>
          <w:szCs w:val="20"/>
        </w:rPr>
        <w:t xml:space="preserve"> of which would adversely affect our business, financial condition, or operating results.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Legal standards relating to the validity, enforceability and scope of protection of intellectual property rights are uncertain and still evolving. The laws of some </w:t>
      </w:r>
      <w:r>
        <w:rPr>
          <w:sz w:val="20"/>
          <w:szCs w:val="20"/>
        </w:rPr>
        <w:t>foreign countries may not be as protective of intellectual property rights as those in the United States, and effective intellectual property protection may not be available in every country in which our products and services are distributed.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Any impairm</w:t>
      </w:r>
      <w:r>
        <w:rPr>
          <w:sz w:val="20"/>
          <w:szCs w:val="20"/>
        </w:rPr>
        <w:t xml:space="preserve">ent of our intellectual property rights, or our failure to protect our intellectual property rights adequately, could give our competitors’ access to our technology and could materially and adversely impact our business and operating results. Any increase </w:t>
      </w:r>
      <w:r>
        <w:rPr>
          <w:sz w:val="20"/>
          <w:szCs w:val="20"/>
        </w:rPr>
        <w:t xml:space="preserve">in the unauthorized use of our intellectual property could also divert the efforts of our technical and management personnel and result in significant additional expense to us, which could materially and adversely impact our operating results. Finally, we </w:t>
      </w:r>
      <w:r>
        <w:rPr>
          <w:sz w:val="20"/>
          <w:szCs w:val="20"/>
        </w:rPr>
        <w:t>may be required to spend significant resources to monitor and protect our intellectual property rights, including with respect to legal proceedings, which could result in substantial costs and diversion of resources and could materially and adversely impac</w:t>
      </w:r>
      <w:r>
        <w:rPr>
          <w:sz w:val="20"/>
          <w:szCs w:val="20"/>
        </w:rPr>
        <w:t>t our business, financial condition and operating results.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xml:space="preserve">Current </w:t>
      </w:r>
      <w:r>
        <w:rPr>
          <w:b/>
          <w:bCs/>
          <w:i/>
          <w:iCs/>
          <w:sz w:val="20"/>
          <w:szCs w:val="20"/>
        </w:rPr>
        <w:t>and future litigation against us could be costly and time-consuming to defend and could result in additional liabilities.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may from time to time be subject to legal proceedings and claims that arise in the ordinary course of business, such as claims br</w:t>
      </w:r>
      <w:r>
        <w:rPr>
          <w:sz w:val="20"/>
          <w:szCs w:val="20"/>
        </w:rPr>
        <w:t xml:space="preserve">ought by current and former clients in connection with commercial disputes and employment claims made by our current or former employees. Claims may also be asserted by or on behalf of a variety of other parties, including government agencies, patients of </w:t>
      </w:r>
      <w:r>
        <w:rPr>
          <w:sz w:val="20"/>
          <w:szCs w:val="20"/>
        </w:rPr>
        <w:t>our physician clients, stockholders, the sellers of the businesses that we acquire, or the creditors of the businesses we acquire. Any litigation involving us may result in substantial costs and may divert management’s attention and resources, which may se</w:t>
      </w:r>
      <w:r>
        <w:rPr>
          <w:sz w:val="20"/>
          <w:szCs w:val="20"/>
        </w:rPr>
        <w:t xml:space="preserve">riously harm our business, overall financial condition, and operating results. Insurance may not cover existing or future claims, be sufficient to fully compensate us for one or more of such claims, or continue to be available on terms acceptable to us. A </w:t>
      </w:r>
      <w:r>
        <w:rPr>
          <w:sz w:val="20"/>
          <w:szCs w:val="20"/>
        </w:rPr>
        <w:t>claim brought against us that is uninsured or underinsured could result in unanticipated costs, thereby reducing our operating results and leading analysts or potential investors to reduce their expectations of our performance resulting in a reduction in t</w:t>
      </w:r>
      <w:r>
        <w:rPr>
          <w:sz w:val="20"/>
          <w:szCs w:val="20"/>
        </w:rPr>
        <w:t>he trading price of our stock.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Our proprietary software or service delivery platform (including the platforms we acquired) may not operate properly, which could damage our reputation, give rise to claims against us, or divert application of our resources</w:t>
      </w:r>
      <w:r>
        <w:rPr>
          <w:b/>
          <w:bCs/>
          <w:i/>
          <w:iCs/>
          <w:sz w:val="20"/>
          <w:szCs w:val="20"/>
        </w:rPr>
        <w:t xml:space="preserve"> from other purposes, any of which could harm our business and operating results.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may encounter human or technical obstacles that prevent our proprietary or acquired applications from operating properly. If our applications do not function reliably or</w:t>
      </w:r>
      <w:r>
        <w:rPr>
          <w:sz w:val="20"/>
          <w:szCs w:val="20"/>
        </w:rPr>
        <w:t xml:space="preserve"> fail to achieve customer expectations in terms of performance, customers could assert liability claims against us or attempt to cancel their contracts with us. This could damage our reputation and impair our ability to attract or maintain customers.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w:t>
      </w:r>
      <w:r>
        <w:rPr>
          <w:sz w:val="20"/>
          <w:szCs w:val="20"/>
        </w:rPr>
        <w:t>re are particular risks when we inherit technologies through the companies we acquire. These technologies, often developed by distressed companies, were not created under our direct supervision and control and therefore may not have been developed in accor</w:t>
      </w:r>
      <w:r>
        <w:rPr>
          <w:sz w:val="20"/>
          <w:szCs w:val="20"/>
        </w:rPr>
        <w:t>dance with our standards. Such acquired technologies could, and at times do, contain operational deficiencies, defects, glitches or bugs that may not be discovered immediately or otherwise could have been avoided had we built the technology ourselves. Whet</w:t>
      </w:r>
      <w:r>
        <w:rPr>
          <w:sz w:val="20"/>
          <w:szCs w:val="20"/>
        </w:rPr>
        <w:t xml:space="preserve">her technology we develop or technology we acquire, we will need to replace certain components and remediate software defects or bugs from time to time. There can be no assurance that such defects or bugs, or the process of remediating them, will not have </w:t>
      </w:r>
      <w:r>
        <w:rPr>
          <w:sz w:val="20"/>
          <w:szCs w:val="20"/>
        </w:rPr>
        <w:t>a material impact on our business. Our inability to promptly and cost-effectively correct a product defect could result in the Company having to withdraw an important product from market, damage to our reputation, and result in material costs and expenses,</w:t>
      </w:r>
      <w:r>
        <w:rPr>
          <w:sz w:val="20"/>
          <w:szCs w:val="20"/>
        </w:rPr>
        <w:t xml:space="preserve"> any of which could have a material impact on our revenue, margins, and operating results.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37541589"/>
        </w:trPr>
        <w:tc>
          <w:tcPr>
            <w:tcW w:w="5000" w:type="pct"/>
            <w:hideMark/>
          </w:tcPr>
          <w:p w:rsidR="00000000" w:rsidRDefault="00B30BA7">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Moreover, information services as complex as those we offer have in the past contained, and may in the future develop or contain, undetected defects or e</w:t>
      </w:r>
      <w:r>
        <w:rPr>
          <w:sz w:val="20"/>
          <w:szCs w:val="20"/>
        </w:rPr>
        <w:t>rrors. We cannot assure you that material performance problems or defects in our products or services will not arise in the future. Errors may result from receipt, entry, or interpretation of patient information or from interface of our services with legac</w:t>
      </w:r>
      <w:r>
        <w:rPr>
          <w:sz w:val="20"/>
          <w:szCs w:val="20"/>
        </w:rPr>
        <w:t>y systems and data that we did not develop and the function of which is outside of our control. Despite testing, defects or errors may arise in our existing or new software or service processes. Because changes in payer requirements and practices are frequ</w:t>
      </w:r>
      <w:r>
        <w:rPr>
          <w:sz w:val="20"/>
          <w:szCs w:val="20"/>
        </w:rPr>
        <w:t>ent and sometimes difficult to determine except through trial and error, we are continuously discovering defects and errors in our software and service processes compared against these requirements and practices. These defects and errors and any failure by</w:t>
      </w:r>
      <w:r>
        <w:rPr>
          <w:sz w:val="20"/>
          <w:szCs w:val="20"/>
        </w:rPr>
        <w:t xml:space="preserve"> us to identify and address them could result in loss of revenue or market share, liability to customers or others, failure to achieve market acceptance or expansion, diversion of development resources, injury to our reputation, and increased service and m</w:t>
      </w:r>
      <w:r>
        <w:rPr>
          <w:sz w:val="20"/>
          <w:szCs w:val="20"/>
        </w:rPr>
        <w:t xml:space="preserve">aintenance costs. Defects or errors in our software might discourage existing or potential customers from purchasing our products and services. Correction of defects or errors could prove to be impossible or impracticable. The costs incurred in correcting </w:t>
      </w:r>
      <w:r>
        <w:rPr>
          <w:sz w:val="20"/>
          <w:szCs w:val="20"/>
        </w:rPr>
        <w:t>any defects or errors or in responding to resulting claims or liability may be substantial and could adversely affect our operating results.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 addition, customers relying on our services to collect, manage, and report clinical, business, and administrat</w:t>
      </w:r>
      <w:r>
        <w:rPr>
          <w:sz w:val="20"/>
          <w:szCs w:val="20"/>
        </w:rPr>
        <w:t xml:space="preserve">ive data may have a greater sensitivity to service errors and security vulnerabilities than customers of software products in general. We market and sell services that, among other things, provide information to assist healthcare providers in tracking and </w:t>
      </w:r>
      <w:r>
        <w:rPr>
          <w:sz w:val="20"/>
          <w:szCs w:val="20"/>
        </w:rPr>
        <w:t>treating patients. Any operational delay in or failure of our technology or service processes may result in the disruption of patient care and could cause harm to patients and thereby create unforeseen liabilities for our business.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Our </w:t>
      </w:r>
      <w:r>
        <w:rPr>
          <w:sz w:val="20"/>
          <w:szCs w:val="20"/>
        </w:rPr>
        <w:t>customers or their patients may assert claims against us alleging that they suffered damages due to a defect, error, or other failure of our software or service processes. A product liability claim or errors or omissions claim could subject us to significa</w:t>
      </w:r>
      <w:r>
        <w:rPr>
          <w:sz w:val="20"/>
          <w:szCs w:val="20"/>
        </w:rPr>
        <w:t>nt legal defense costs and adverse publicity, regardless of the merits or eventual outcome of such a claim.</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Our physicians have relied on our platforms (including the platform we acquired) as being certified by the Office of the National Coordinator for </w:t>
      </w:r>
      <w:r>
        <w:rPr>
          <w:sz w:val="20"/>
          <w:szCs w:val="20"/>
        </w:rPr>
        <w:t>Health Information Technology (“ONC”). If this certification were to be challenged, we might face liability related to any incentive that the physicians received in reliance upon such certification.</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If our security measures are breached or fail and unaut</w:t>
      </w:r>
      <w:r>
        <w:rPr>
          <w:b/>
          <w:bCs/>
          <w:i/>
          <w:iCs/>
          <w:sz w:val="20"/>
          <w:szCs w:val="20"/>
        </w:rPr>
        <w:t>horized access is obtained to a customer’s data, our service may be perceived as insecure, the attractiveness of our services to current or potential customers may be reduced, and we may incur significant liabilities.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services involve the web-based s</w:t>
      </w:r>
      <w:r>
        <w:rPr>
          <w:sz w:val="20"/>
          <w:szCs w:val="20"/>
        </w:rPr>
        <w:t>torage and transmission of customers’ proprietary information and patient information, including health, financial, payment and other personal or confidential information. We rely on proprietary and commercially available systems, software, tools and monit</w:t>
      </w:r>
      <w:r>
        <w:rPr>
          <w:sz w:val="20"/>
          <w:szCs w:val="20"/>
        </w:rPr>
        <w:t>oring, as well as other processes, to provide security for processing, transmission and storage of such information. Because of the sensitivity of this information and due to requirements under applicable laws and regulations, the effectiveness of our secu</w:t>
      </w:r>
      <w:r>
        <w:rPr>
          <w:sz w:val="20"/>
          <w:szCs w:val="20"/>
        </w:rPr>
        <w:t>rity efforts is very important. We maintain servers, which store customers’ data, including patient health records, in the U.S. and offshore. We also process, transmit and store some data of our customers on servers and networks that are owned and controll</w:t>
      </w:r>
      <w:r>
        <w:rPr>
          <w:sz w:val="20"/>
          <w:szCs w:val="20"/>
        </w:rPr>
        <w:t>ed by third-party contractors in India and elsewhere. Increasingly, threat actors are targeting the healthcare industry with ransomware and other malicious software. If our security measures are breached or fail as a result of third-party action, acts of t</w:t>
      </w:r>
      <w:r>
        <w:rPr>
          <w:sz w:val="20"/>
          <w:szCs w:val="20"/>
        </w:rPr>
        <w:t>error, social unrest, employee error, malfeasance or for any other reasons, someone may be able to obtain unauthorized access to customer or patient data. Improper activities by third parties, advances in computer and software capabilities and encryption t</w:t>
      </w:r>
      <w:r>
        <w:rPr>
          <w:sz w:val="20"/>
          <w:szCs w:val="20"/>
        </w:rPr>
        <w:t xml:space="preserve">echnology, new tools and discoveries and other events or developments may facilitate or result in a compromise or breach of our security systems. Our security measures may not be effective in preventing unauthorized access to the customer and patient data </w:t>
      </w:r>
      <w:r>
        <w:rPr>
          <w:sz w:val="20"/>
          <w:szCs w:val="20"/>
        </w:rPr>
        <w:t>stored on our servers. If a breach of our security occurs, we could face damages for contract breach, penalties for violation of applicable laws or regulations, possible lawsuits by individuals affected by the breach and significant remediation costs and e</w:t>
      </w:r>
      <w:r>
        <w:rPr>
          <w:sz w:val="20"/>
          <w:szCs w:val="20"/>
        </w:rPr>
        <w:t>fforts to prevent future occurrences. In addition, whether there is an actual or a perceived breach of our security, the market perception of the effectiveness of our security measures could be harmed and we could lose current or potential customers.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96817332"/>
        </w:trPr>
        <w:tc>
          <w:tcPr>
            <w:tcW w:w="5000" w:type="pct"/>
            <w:hideMark/>
          </w:tcPr>
          <w:p w:rsidR="00000000" w:rsidRDefault="00B30BA7">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Our products and services are required to meet the interoperability standards, which could require us to incur substantial additional development costs or result in a decrease in revenue.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Our customers and the industry leaders enacting regulatory </w:t>
      </w:r>
      <w:r>
        <w:rPr>
          <w:sz w:val="20"/>
          <w:szCs w:val="20"/>
        </w:rPr>
        <w:t>requirements are concerned with and often require that our products and services be interoperable with other third-party healthcare information technology suppliers. Market forces or regulatory authorities could create software interoperability standards t</w:t>
      </w:r>
      <w:r>
        <w:rPr>
          <w:sz w:val="20"/>
          <w:szCs w:val="20"/>
        </w:rPr>
        <w:t xml:space="preserve">hat would apply to our solutions, and if our products and services are not consistent with those standards, we could be forced to incur substantial additional development costs. There currently exists a comprehensive set of criteria for the functionality, </w:t>
      </w:r>
      <w:r>
        <w:rPr>
          <w:sz w:val="20"/>
          <w:szCs w:val="20"/>
        </w:rPr>
        <w:t>interoperability and security of various software modules in the healthcare information technology industry. However, those standards are subject to continuous modification and refinement. Achieving and maintaining compliance with industry interoperability</w:t>
      </w:r>
      <w:r>
        <w:rPr>
          <w:sz w:val="20"/>
          <w:szCs w:val="20"/>
        </w:rPr>
        <w:t xml:space="preserve"> standards and related requirements could result in larger than expected software development expenses and administrative expenses in order to conform to these requirements. These standards and specifications, once finalized, will be subject to interpretat</w:t>
      </w:r>
      <w:r>
        <w:rPr>
          <w:sz w:val="20"/>
          <w:szCs w:val="20"/>
        </w:rPr>
        <w:t>ion by the entities designated to certify such technology. We will incur increased development costs in delivering solutions if we need to change or enhance our products and services to be in compliance with these varying and evolving standards. If our pro</w:t>
      </w:r>
      <w:r>
        <w:rPr>
          <w:sz w:val="20"/>
          <w:szCs w:val="20"/>
        </w:rPr>
        <w:t>ducts and services are not consistent with these evolving standards, our market position and sales could be impaired and we may have to invest significantly in changes to our solutions.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 xml:space="preserve">Disruptions in </w:t>
      </w:r>
      <w:r>
        <w:rPr>
          <w:b/>
          <w:bCs/>
          <w:i/>
          <w:iCs/>
          <w:sz w:val="20"/>
          <w:szCs w:val="20"/>
        </w:rPr>
        <w:t>internet or telecommunication service or damage to our data centers could adversely affect our business by reducing our customers’ confidence in the reliability of our services and products.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Our information technologies and systems are vulnerable to dama</w:t>
      </w:r>
      <w:r>
        <w:rPr>
          <w:sz w:val="20"/>
          <w:szCs w:val="20"/>
        </w:rPr>
        <w:t>ge or interruption from various causes, including acts of God and other natural disasters, war and acts of terrorism and power losses, computer systems failures, internet and telecommunications or data network failures, operator error, losses of and corrup</w:t>
      </w:r>
      <w:r>
        <w:rPr>
          <w:sz w:val="20"/>
          <w:szCs w:val="20"/>
        </w:rPr>
        <w:t>tion of data and similar events. Our customers’ data, including patient health records, reside on our own servers located in the U.S., and our Offshore Offices. Although we conduct business continuity planning to protect against fires, floods, other natura</w:t>
      </w:r>
      <w:r>
        <w:rPr>
          <w:sz w:val="20"/>
          <w:szCs w:val="20"/>
        </w:rPr>
        <w:t>l disasters and general business interruptions to mitigate the adverse effects of a disruption, relocation or change in operating environment at our data centers, the situations we plan for and the amount of insurance coverage we maintain may not be adequa</w:t>
      </w:r>
      <w:r>
        <w:rPr>
          <w:sz w:val="20"/>
          <w:szCs w:val="20"/>
        </w:rPr>
        <w:t>te in any particular case. In addition, the occurrence of any of these events could result in interruptions, delays or cessations in service to our customers. Any of these events could impair or prohibit our ability to provide our services, reduce the attr</w:t>
      </w:r>
      <w:r>
        <w:rPr>
          <w:sz w:val="20"/>
          <w:szCs w:val="20"/>
        </w:rPr>
        <w:t>activeness of our services to current or potential customers and adversely impact our financial condition and results of operations.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In addition, despite the implementation of security measures, our infrastructure, data centers, or systems that we interf</w:t>
      </w:r>
      <w:r>
        <w:rPr>
          <w:sz w:val="20"/>
          <w:szCs w:val="20"/>
        </w:rPr>
        <w:t>ace with or utilize, including the internet and related systems, may be vulnerable to physical break-ins, hackers, improper employee or contractor access, computer viruses, programming errors, denial-of-service attacks or other attacks by third-parties see</w:t>
      </w:r>
      <w:r>
        <w:rPr>
          <w:sz w:val="20"/>
          <w:szCs w:val="20"/>
        </w:rPr>
        <w:t>king to disrupt operations or misappropriate information or similar physical or electronic breaches of security. Any of these can cause system failure, including network, software or hardware failure, which can result in service disruptions. As a result, w</w:t>
      </w:r>
      <w:r>
        <w:rPr>
          <w:sz w:val="20"/>
          <w:szCs w:val="20"/>
        </w:rPr>
        <w:t>e may be required to expend significant capital and other resources to protect against security breaches and hackers or to alleviate problems caused by such breaches.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We may be subject to liability for the content we provide to our customers and their pa</w:t>
      </w:r>
      <w:r>
        <w:rPr>
          <w:b/>
          <w:bCs/>
          <w:i/>
          <w:iCs/>
          <w:sz w:val="20"/>
          <w:szCs w:val="20"/>
        </w:rPr>
        <w:t>tients.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We provide content for use by healthcare providers in treating patients. This content includes, among other things, patient education materials, coding and drug databases developed by third parties, and prepopulated templates providers can use to</w:t>
      </w:r>
      <w:r>
        <w:rPr>
          <w:sz w:val="20"/>
          <w:szCs w:val="20"/>
        </w:rPr>
        <w:t xml:space="preserve"> document visits and record patient health information. If content in the third-party databases we use is incorrect or incomplete, adverse consequences, including death, may give rise to product liability and other claims against us. A court or government </w:t>
      </w:r>
      <w:r>
        <w:rPr>
          <w:sz w:val="20"/>
          <w:szCs w:val="20"/>
        </w:rPr>
        <w:t>agency may take the position that our delivery of health information directly, including through licensed practitioners, or delivery of information by a third-party site that a consumer accesses through our solutions, exposes us to personal injury liabilit</w:t>
      </w:r>
      <w:r>
        <w:rPr>
          <w:sz w:val="20"/>
          <w:szCs w:val="20"/>
        </w:rPr>
        <w:t>y, or other liability for wrongful delivery or handling of healthcare services or erroneous health information. Our liability insurance coverage may not be adequate or continue to be available on acceptable terms, if at all. A claim brought against us that</w:t>
      </w:r>
      <w:r>
        <w:rPr>
          <w:sz w:val="20"/>
          <w:szCs w:val="20"/>
        </w:rPr>
        <w:t xml:space="preserve"> is uninsured or under-insured could harm our business. Even unsuccessful claims could result in substantial costs and diversion of management resources.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We are subject to the effect of payer and provider conduct that we cannot control and that could dam</w:t>
      </w:r>
      <w:r>
        <w:rPr>
          <w:b/>
          <w:bCs/>
          <w:i/>
          <w:iCs/>
          <w:sz w:val="20"/>
          <w:szCs w:val="20"/>
        </w:rPr>
        <w:t>age our reputation with customers and result in liability claims that increase our expenses.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We offer electronic claims submission services for which we rely on content from customers, payers, and others. While we have implemented features and safeguards</w:t>
      </w:r>
      <w:r>
        <w:rPr>
          <w:sz w:val="20"/>
          <w:szCs w:val="20"/>
        </w:rPr>
        <w:t xml:space="preserve"> designed to maximize the accuracy and completeness of claims content, these features and safeguards may not be sufficient to prevent inaccurate claims data from being submitted to payers. Should inaccurate claims data be submitted to payers, we may experi</w:t>
      </w:r>
      <w:r>
        <w:rPr>
          <w:sz w:val="20"/>
          <w:szCs w:val="20"/>
        </w:rPr>
        <w:t>ence poor operational results and be subject to liability claims, which could damage our reputation with customers and result in liability claims that increase our expenses</w:t>
      </w:r>
      <w:r>
        <w:rPr>
          <w:color w:val="000000"/>
          <w:sz w:val="20"/>
          <w:szCs w:val="20"/>
        </w:rPr>
        <w:t>.</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5012453"/>
        </w:trPr>
        <w:tc>
          <w:tcPr>
            <w:tcW w:w="5000" w:type="pct"/>
            <w:hideMark/>
          </w:tcPr>
          <w:p w:rsidR="00000000" w:rsidRDefault="00B30BA7">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xml:space="preserve">Failure </w:t>
      </w:r>
      <w:r>
        <w:rPr>
          <w:b/>
          <w:bCs/>
          <w:i/>
          <w:iCs/>
          <w:sz w:val="20"/>
          <w:szCs w:val="20"/>
        </w:rPr>
        <w:t>by our clients to obtain proper permissions and waivers may result in claims against us or may limit or prevent our use of data, which could harm our business.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Our clients are obligated by applicable law to provide necessary notices and to obtain necessa</w:t>
      </w:r>
      <w:r>
        <w:rPr>
          <w:sz w:val="20"/>
          <w:szCs w:val="20"/>
        </w:rPr>
        <w:t>ry permission waivers for use and disclosure of the information that we receive. If they do not obtain necessary permissions and waivers, then our use and disclosure of information that we receive from them or on their behalf may be limited or prohibited b</w:t>
      </w:r>
      <w:r>
        <w:rPr>
          <w:sz w:val="20"/>
          <w:szCs w:val="20"/>
        </w:rPr>
        <w:t xml:space="preserve">y state or federal privacy laws or other laws. This could impair our functions, processes, and databases that reflect, contain, or are based upon such data and may prevent use of such data. In addition, this could interfere with or prevent creation or use </w:t>
      </w:r>
      <w:r>
        <w:rPr>
          <w:sz w:val="20"/>
          <w:szCs w:val="20"/>
        </w:rPr>
        <w:t>of rules, and analyses or limit other data-driven activities that benefit us. Moreover, we may be subject to claims or liability for use or disclosure of information by reason of lack of valid notice, permission, or waiver. These claims or liabilities coul</w:t>
      </w:r>
      <w:r>
        <w:rPr>
          <w:sz w:val="20"/>
          <w:szCs w:val="20"/>
        </w:rPr>
        <w:t>d subject us to unexpected costs and adversely affect our operating results.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Any deficiencies in our financial reporting or internal controls could adversely affect our business and the trading price of our securities.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As a public company, we are requi</w:t>
      </w:r>
      <w:r>
        <w:rPr>
          <w:sz w:val="20"/>
          <w:szCs w:val="20"/>
        </w:rPr>
        <w:t>red to maintain internal control over financial reporting and to report any material weaknesses in such internal controls. Section 404 of the Sarbanes-Oxley Act requires that we evaluate and determine the effectiveness of our internal control over financia</w:t>
      </w:r>
      <w:r>
        <w:rPr>
          <w:sz w:val="20"/>
          <w:szCs w:val="20"/>
        </w:rPr>
        <w:t>l reporting. Additionally, this year the Company is required to comply with the auditor attestation requirements of Section 404 of the Sarbanes-Oxley Act of 2002, as amended and has engaged its independent registered public accounting firm to perform an ev</w:t>
      </w:r>
      <w:r>
        <w:rPr>
          <w:sz w:val="20"/>
          <w:szCs w:val="20"/>
        </w:rPr>
        <w:t>aluation of its internal controls over financial reporting.</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In the future, if we have a material weakness in our internal control over financial reporting, we may not detect errors on a timely basis and our financial statements may be materially misstate</w:t>
      </w:r>
      <w:r>
        <w:rPr>
          <w:sz w:val="20"/>
          <w:szCs w:val="20"/>
        </w:rPr>
        <w:t>d. In addition, our internal control over financial reporting would not prevent or detect all errors and fraud. Because of the inherent limitations in all control systems, no evaluation of controls can provide absolute assurance that misstatements due to e</w:t>
      </w:r>
      <w:r>
        <w:rPr>
          <w:sz w:val="20"/>
          <w:szCs w:val="20"/>
        </w:rPr>
        <w:t>rror or fraud will not occur or that all control issues and instances of fraud will be detected.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If there are material weaknesses or failures in our ability to meet any of the requirements related to the maintenance and reporting of our internal controls</w:t>
      </w:r>
      <w:r>
        <w:rPr>
          <w:sz w:val="20"/>
          <w:szCs w:val="20"/>
        </w:rPr>
        <w:t>, investors may lose confidence in the accuracy and completeness of our financial reports, which in turn could cause the price of our common stock and preferred stock to decline. Moreover, effective internal controls are necessary to produce reliable finan</w:t>
      </w:r>
      <w:r>
        <w:rPr>
          <w:sz w:val="20"/>
          <w:szCs w:val="20"/>
        </w:rPr>
        <w:t xml:space="preserve">cial reports and to prevent fraud. If we have deficiencies in our internal controls, it may negatively impact our business, results of operations and reputation. In addition, we could become subject to investigations by Nasdaq, the SEC or other regulatory </w:t>
      </w:r>
      <w:r>
        <w:rPr>
          <w:sz w:val="20"/>
          <w:szCs w:val="20"/>
        </w:rPr>
        <w:t>authorities, which could require additional management attention and which could adversely affect our business.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We identified a material weakness in our internal controls over financial reporting related to a non-routine transaction.</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 material weaknes</w:t>
      </w:r>
      <w:r>
        <w:rPr>
          <w:sz w:val="20"/>
          <w:szCs w:val="20"/>
        </w:rPr>
        <w:t>s is a deficiency, or a combination of deficiencies, in internal control over financial reporting such that there is a reasonable possibility that a material misstatement of a company’s annual or interim consolidated financial statements will not be preven</w:t>
      </w:r>
      <w:r>
        <w:rPr>
          <w:sz w:val="20"/>
          <w:szCs w:val="20"/>
        </w:rPr>
        <w:t>ted or detected on a timely basis. We identified a material weakness in our internal control over financial reporting related to lack of controls over the completeness and accuracy of key inputs related to the measurement of a non-routine transaction. We d</w:t>
      </w:r>
      <w:r>
        <w:rPr>
          <w:sz w:val="20"/>
          <w:szCs w:val="20"/>
        </w:rPr>
        <w:t>id not properly implement controls over the precision of management’s review of certain key inputs relating to this transaction.We will be implementing remediation steps to improve our internal control over financial reporting. We cannot be certain that th</w:t>
      </w:r>
      <w:r>
        <w:rPr>
          <w:sz w:val="20"/>
          <w:szCs w:val="20"/>
        </w:rPr>
        <w:t>e measures we have taken, and will take in the future, to remediate this material weakness will be sufficient to control deficiencies with respect to non-routine transactions. In the event we are unable to sufficiently remediate this existing, or any futur</w:t>
      </w:r>
      <w:r>
        <w:rPr>
          <w:sz w:val="20"/>
          <w:szCs w:val="20"/>
        </w:rPr>
        <w:t>e, material weakness in our internal controls over financial reporting, the accuracy and timing of our financial reporting may be negatively impacted, and as a result we may be unable to maintain compliance with securities laws and investors may lose confi</w:t>
      </w:r>
      <w:r>
        <w:rPr>
          <w:sz w:val="20"/>
          <w:szCs w:val="20"/>
        </w:rPr>
        <w:t>dence in the accuracy and completeness of our financial reports, leading to a decline in the market value of our securities.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We are a party to several related-party agreements with our founder and Executive Chairman, Mahmud Haq, which have significant co</w:t>
      </w:r>
      <w:r>
        <w:rPr>
          <w:b/>
          <w:bCs/>
          <w:i/>
          <w:iCs/>
          <w:sz w:val="20"/>
          <w:szCs w:val="20"/>
        </w:rPr>
        <w:t>ntractual obligations. These agreements are reviewed by our Audit Committee on an annual basis.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Since inception, we have entered into several related-party transactions with our founder and Executive Chairman, Mahmud Haq, which subject us to significant </w:t>
      </w:r>
      <w:r>
        <w:rPr>
          <w:sz w:val="20"/>
          <w:szCs w:val="20"/>
        </w:rPr>
        <w:t>contractual obligations. We believe these transactions reflect terms comparable to those that would be available from third parties. Our independent audit committee has reviewed these arrangements and continues to do so on an annual basis.</w:t>
      </w:r>
    </w:p>
    <w:p w:rsidR="00000000" w:rsidRDefault="00B30BA7">
      <w:pPr>
        <w:pStyle w:val="a3"/>
        <w:spacing w:before="0" w:beforeAutospacing="0" w:after="0" w:afterAutospacing="0"/>
        <w:rPr>
          <w:sz w:val="20"/>
          <w:szCs w:val="20"/>
        </w:rPr>
      </w:pPr>
      <w:r>
        <w:rPr>
          <w:b/>
          <w:bCs/>
          <w:i/>
          <w:iCs/>
          <w:sz w:val="20"/>
          <w:szCs w:val="20"/>
        </w:rPr>
        <w:t> </w:t>
      </w:r>
    </w:p>
    <w:p w:rsidR="00000000" w:rsidRDefault="00B30BA7">
      <w:pPr>
        <w:pStyle w:val="a3"/>
        <w:spacing w:before="0" w:beforeAutospacing="0" w:after="0" w:afterAutospacing="0"/>
        <w:rPr>
          <w:sz w:val="20"/>
          <w:szCs w:val="20"/>
        </w:rPr>
      </w:pPr>
      <w:r>
        <w:rPr>
          <w:b/>
          <w:bCs/>
          <w:i/>
          <w:iCs/>
          <w:sz w:val="20"/>
          <w:szCs w:val="20"/>
        </w:rPr>
        <w:t>We depend on k</w:t>
      </w:r>
      <w:r>
        <w:rPr>
          <w:b/>
          <w:bCs/>
          <w:i/>
          <w:iCs/>
          <w:sz w:val="20"/>
          <w:szCs w:val="20"/>
        </w:rPr>
        <w:t>ey information systems and third-party service providers.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depend on key information systems to accurately and efficiently transact our business, provide information to management and prepare financial reports. These systems and services are vulnerable</w:t>
      </w:r>
      <w:r>
        <w:rPr>
          <w:sz w:val="20"/>
          <w:szCs w:val="20"/>
        </w:rPr>
        <w:t xml:space="preserve"> to interruptions or other failures resulting from, among other things, natural disasters, terrorist attacks, software, equipment or telecommunications failures, processing errors, computer viruses, other security issues or supplier defaults. Security, bac</w:t>
      </w:r>
      <w:r>
        <w:rPr>
          <w:sz w:val="20"/>
          <w:szCs w:val="20"/>
        </w:rPr>
        <w:t>kup and disaster recovery measures may not be adequate or implemented properly to avoid such disruptions or failures. Any disruption or failure of these systems or services could cause substantial errors, processing inefficiencies, security breaches, inabi</w:t>
      </w:r>
      <w:r>
        <w:rPr>
          <w:sz w:val="20"/>
          <w:szCs w:val="20"/>
        </w:rPr>
        <w:t>lity to use the systems or process transactions, loss of customers or other business disruptions, all of which could negatively affect our business and financial performance.</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94645817"/>
        </w:trPr>
        <w:tc>
          <w:tcPr>
            <w:tcW w:w="5000" w:type="pct"/>
            <w:hideMark/>
          </w:tcPr>
          <w:p w:rsidR="00000000" w:rsidRDefault="00B30BA7">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 xml:space="preserve">Systems </w:t>
      </w:r>
      <w:r>
        <w:rPr>
          <w:b/>
          <w:bCs/>
          <w:i/>
          <w:iCs/>
          <w:sz w:val="20"/>
          <w:szCs w:val="20"/>
        </w:rPr>
        <w:t>failures or cyberattacks and resulting interruptions in the availability of or degradation in the performance of our websites, applications, products or services could harm our business.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As cybersecurity attacks continue to evolve and increase, our infor</w:t>
      </w:r>
      <w:r>
        <w:rPr>
          <w:sz w:val="20"/>
          <w:szCs w:val="20"/>
        </w:rPr>
        <w:t>mation systems could also be penetrated or compromised by internal and external parties’ intent on extracting confidential information, disrupting business processes or corrupting information. Our systems may experience service interruptions or degradation</w:t>
      </w:r>
      <w:r>
        <w:rPr>
          <w:sz w:val="20"/>
          <w:szCs w:val="20"/>
        </w:rPr>
        <w:t xml:space="preserve"> due to hardware and software defects or malfunctions, computer denial-of-service and other cyberattacks, human error, earthquakes, hurricanes, floods, fires, natural disasters, power losses, disruptions in telecommunications services, fraud, military or p</w:t>
      </w:r>
      <w:r>
        <w:rPr>
          <w:sz w:val="20"/>
          <w:szCs w:val="20"/>
        </w:rPr>
        <w:t>olitical conflicts, terrorist attacks, computer viruses, or other events. Our systems are also subject to break-ins, sabotage and intentional acts of vandalism. Some of our systems are not fully redundant and our disaster recovery planning is not sufficien</w:t>
      </w:r>
      <w:r>
        <w:rPr>
          <w:sz w:val="20"/>
          <w:szCs w:val="20"/>
        </w:rPr>
        <w:t>t for all eventualities. We have experienced and will likely continue to experience system failures, denial of service attacks and other events or conditions from time to time that interrupt the availability or reduce the speed or functionality of our webs</w:t>
      </w:r>
      <w:r>
        <w:rPr>
          <w:sz w:val="20"/>
          <w:szCs w:val="20"/>
        </w:rPr>
        <w:t>ites and mobile applications. These events likely will result in loss of revenue. A prolonged interruption in the availability or reduction in the speed or other functionality of our websites and mobile applications could materially harm our business. Freq</w:t>
      </w:r>
      <w:r>
        <w:rPr>
          <w:sz w:val="20"/>
          <w:szCs w:val="20"/>
        </w:rPr>
        <w:t>uent or persistent interruptions in our services could cause current or potential users to believe that our systems are unreliable, leading them to switch to our competitors or to avoid our sites, and could permanently harm our reputation and brands. Moreo</w:t>
      </w:r>
      <w:r>
        <w:rPr>
          <w:sz w:val="20"/>
          <w:szCs w:val="20"/>
        </w:rPr>
        <w:t>ver, to the extent that any system failure or similar event results in damages to our customers or their businesses, these customers could seek significant compensation from us for their losses and those claims, even if unsuccessful, would likely be time-c</w:t>
      </w:r>
      <w:r>
        <w:rPr>
          <w:sz w:val="20"/>
          <w:szCs w:val="20"/>
        </w:rPr>
        <w:t>onsuming and costly for us to address. These risks could arise from external parties or from acts or omissions of internal or service provider personnel. Such unauthorized access could disrupt our business and could result in the loss of assets, litigation</w:t>
      </w:r>
      <w:r>
        <w:rPr>
          <w:sz w:val="20"/>
          <w:szCs w:val="20"/>
        </w:rPr>
        <w:t>, remediation costs, damage to our reputation and failure to retain or attract customers following such an event, which could adversely affect our business.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color w:val="000000"/>
          <w:sz w:val="20"/>
          <w:szCs w:val="20"/>
        </w:rPr>
        <w:t>Rapid technological change in the telehealth industry presents us with significant risks and chal</w:t>
      </w:r>
      <w:r>
        <w:rPr>
          <w:b/>
          <w:bCs/>
          <w:i/>
          <w:iCs/>
          <w:color w:val="000000"/>
          <w:sz w:val="20"/>
          <w:szCs w:val="20"/>
        </w:rPr>
        <w:t>lenges</w:t>
      </w:r>
      <w:r>
        <w:rPr>
          <w:sz w:val="20"/>
          <w:szCs w:val="20"/>
        </w:rPr>
        <w: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telehealth market is characterized by rapid technological change, changing consumer requirements, short product lifecycles and evolving industry standards. Our success will depend on our ability to enhance our solution with next-generation te</w:t>
      </w:r>
      <w:r>
        <w:rPr>
          <w:sz w:val="20"/>
          <w:szCs w:val="20"/>
        </w:rPr>
        <w:t>chnologies and to develop or to acquire and market new services to access new consumer populations. There is no guarantee that we will possess the resources, either financial or personnel, for the research, design and development of new applications or ser</w:t>
      </w:r>
      <w:r>
        <w:rPr>
          <w:sz w:val="20"/>
          <w:szCs w:val="20"/>
        </w:rPr>
        <w:t>vices, or that we will be able to utilize these resources successfully and avoid technological or market obsolescence. Further, there can be no assurance that technological advances by one or more of our competitors or future competitors will not result in</w:t>
      </w:r>
      <w:r>
        <w:rPr>
          <w:sz w:val="20"/>
          <w:szCs w:val="20"/>
        </w:rPr>
        <w:t xml:space="preserve"> our present or future applications and services becoming uncompetitive or obsolete.</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rPr>
          <w:sz w:val="20"/>
          <w:szCs w:val="20"/>
        </w:rPr>
      </w:pPr>
      <w:r>
        <w:rPr>
          <w:b/>
          <w:bCs/>
          <w:sz w:val="20"/>
          <w:szCs w:val="20"/>
        </w:rPr>
        <w:t>Regulatory Risks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The healthcare industry is heavily regulated. Our failure to comply with regulatory requirements could create liability for us, result in adverse publ</w:t>
      </w:r>
      <w:r>
        <w:rPr>
          <w:b/>
          <w:bCs/>
          <w:i/>
          <w:iCs/>
          <w:sz w:val="20"/>
          <w:szCs w:val="20"/>
        </w:rPr>
        <w:t>icity and negatively affect our business.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healthcare industry is heavily regulated and is constantly evolving due to the changing political, legislative, regulatory landscape and other factors. Many healthcare laws are complex, and their application </w:t>
      </w:r>
      <w:r>
        <w:rPr>
          <w:sz w:val="20"/>
          <w:szCs w:val="20"/>
        </w:rPr>
        <w:t>to specific services and relationships may not be clear. In particular, many existing healthcare laws and regulations, when enacted, did not anticipate or address the services that we provide. Further, healthcare laws differ from state to state and it is d</w:t>
      </w:r>
      <w:r>
        <w:rPr>
          <w:sz w:val="20"/>
          <w:szCs w:val="20"/>
        </w:rPr>
        <w:t>ifficult to ensure that our business, products and services comply with evolving laws in all states. By way of example, certain federal and state laws forbid billing based on referrals between individuals or entities that have various financial, ownership,</w:t>
      </w:r>
      <w:r>
        <w:rPr>
          <w:sz w:val="20"/>
          <w:szCs w:val="20"/>
        </w:rPr>
        <w:t xml:space="preserve"> or other business relationships with healthcare providers. These laws vary widely from state to state, and one of the federal laws governing these relationships, known as the Stark Law, is very complex in its application. Similarly, many states have laws </w:t>
      </w:r>
      <w:r>
        <w:rPr>
          <w:sz w:val="20"/>
          <w:szCs w:val="20"/>
        </w:rPr>
        <w:t>forbidding physicians from practicing medicine in partnership with non-physicians, such as business corporations, as well as laws or regulations forbidding splitting of physician fees with non-physicians or others. Other federal and state laws restrict ass</w:t>
      </w:r>
      <w:r>
        <w:rPr>
          <w:sz w:val="20"/>
          <w:szCs w:val="20"/>
        </w:rPr>
        <w:t>ignment of claims for reimbursement from government-funded programs, the manner in which business service companies may handle payments for such claims and the methodology under which business services companies may be compensated for such services.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Office of Inspector General (“OIG”) of the Department of Health and Human Services (“HHS”) has a longstanding concern that percentage-based billing arrangements may increase the risk of improper billing practices. In addition, certain states have adopted l</w:t>
      </w:r>
      <w:r>
        <w:rPr>
          <w:sz w:val="20"/>
          <w:szCs w:val="20"/>
        </w:rPr>
        <w:t>aws or regulations forbidding splitting of fees with non-physicians which may be interpreted to prevent business service providers, including medical billing providers, from using a percentage-based billing arrangement. The OIG and HHS recommend that medic</w:t>
      </w:r>
      <w:r>
        <w:rPr>
          <w:sz w:val="20"/>
          <w:szCs w:val="20"/>
        </w:rPr>
        <w:t xml:space="preserve">al billing companies develop and implement comprehensive compliance programs to mitigate this risk. While we have developed and implemented a comprehensive billing compliance program that we believe is consistent with these recommendations, our failure to </w:t>
      </w:r>
      <w:r>
        <w:rPr>
          <w:sz w:val="20"/>
          <w:szCs w:val="20"/>
        </w:rPr>
        <w:t>ensure compliance with controlling legal requirements, accurately anticipate the application of these laws and regulations to our business and contracting model, or other failure to comply with regulatory requirements, could create liability for us, result</w:t>
      </w:r>
      <w:r>
        <w:rPr>
          <w:sz w:val="20"/>
          <w:szCs w:val="20"/>
        </w:rPr>
        <w:t xml:space="preserve"> in adverse publicity and negatively affect our business.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47946016"/>
        </w:trPr>
        <w:tc>
          <w:tcPr>
            <w:tcW w:w="5000" w:type="pct"/>
            <w:hideMark/>
          </w:tcPr>
          <w:p w:rsidR="00000000" w:rsidRDefault="00B30BA7">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federal Anti-Kickback Statute (“AKS”</w:t>
      </w:r>
      <w:r>
        <w:rPr>
          <w:sz w:val="20"/>
          <w:szCs w:val="20"/>
        </w:rPr>
        <w:t>) prohibits us from knowingly and willfully soliciting, receiving, offering or providing remuneration in exchange for referrals or recommendations for purposes of selling products or services which are paid for by federal healthcare programs such as Medica</w:t>
      </w:r>
      <w:r>
        <w:rPr>
          <w:sz w:val="20"/>
          <w:szCs w:val="20"/>
        </w:rPr>
        <w:t>re and Medicaid. In addition, a claim including products or services resulting from a violation of AKS constitutes a violation of the federal False Claims Act (“FCA”). If we are determined to have violated the FCA, we may be required to pay up to three tim</w:t>
      </w:r>
      <w:r>
        <w:rPr>
          <w:sz w:val="20"/>
          <w:szCs w:val="20"/>
        </w:rPr>
        <w:t>es the actual damages sustained by the government, plus mandatory civil penalties for each separate false claim. If we are found to be in violation of the FCA, AKS, ACA, or any other applicable state or any federal fraud and abuse laws, whether by our curr</w:t>
      </w:r>
      <w:r>
        <w:rPr>
          <w:sz w:val="20"/>
          <w:szCs w:val="20"/>
        </w:rPr>
        <w:t>ent practices or for the past practices of a company we acquire, we may be subject to substantial civil damages and criminal penalties and fines that could have a material adverse impact on our business.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 addition, federal and state legislatures and ag</w:t>
      </w:r>
      <w:r>
        <w:rPr>
          <w:sz w:val="20"/>
          <w:szCs w:val="20"/>
        </w:rPr>
        <w:t>encies periodically consider proposals to revise aspects of the healthcare industry or to revise or create additional statutory and regulatory requirements. For instance, the current administration may make changes to the ACA, the nature and scope of which</w:t>
      </w:r>
      <w:r>
        <w:rPr>
          <w:sz w:val="20"/>
          <w:szCs w:val="20"/>
        </w:rPr>
        <w:t xml:space="preserve"> are presently unknown. Similarly, certain computer software products are regulated as medical devices under the Federal Food, Drug, and Cosmetic Act. While the Food and Drug Administration (“FDA”) has sometimes chosen to disclaim authority to, or to refra</w:t>
      </w:r>
      <w:r>
        <w:rPr>
          <w:sz w:val="20"/>
          <w:szCs w:val="20"/>
        </w:rPr>
        <w:t>in from actively regulating certain software products which are similar to our products, this area of medical device regulation remains in flux. We expect that the FDA will continue to be active in exploring legal regimes for regulating computer software i</w:t>
      </w:r>
      <w:r>
        <w:rPr>
          <w:sz w:val="20"/>
          <w:szCs w:val="20"/>
        </w:rPr>
        <w:t>ntended for use in healthcare settings. Any additional regulation can be expected to impose additional overhead costs on us and should we fail to adequately meet these legal obligations, we could face potential regulatory action. Regulatory authorities suc</w:t>
      </w:r>
      <w:r>
        <w:rPr>
          <w:sz w:val="20"/>
          <w:szCs w:val="20"/>
        </w:rPr>
        <w:t>h as the Centers for Medicare and Medicaid Services may also impose functionality standards with regard to electronic prescribing technologies. If implemented, proposals like these could impact our operations, the use of our services and our ability to mar</w:t>
      </w:r>
      <w:r>
        <w:rPr>
          <w:sz w:val="20"/>
          <w:szCs w:val="20"/>
        </w:rPr>
        <w:t>ket new services, or could create unexpected liabilities for us. We cannot predict what changes to laws or regulations might be made in the future or how those changes could affect our business or our operating costs.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Further, our ability to provide our </w:t>
      </w:r>
      <w:r>
        <w:rPr>
          <w:sz w:val="20"/>
          <w:szCs w:val="20"/>
        </w:rPr>
        <w:t>telehealth services in each state is dependent upon a state’s treatment of telehealth and emerging technologies (such as digital health services), which are subject to changing political, regulatory and other influences. Many states have laws that limit or</w:t>
      </w:r>
      <w:r>
        <w:rPr>
          <w:sz w:val="20"/>
          <w:szCs w:val="20"/>
        </w:rPr>
        <w:t xml:space="preserve"> restrict the practice of telehealth, such as laws that require a provider to be licensed and/or physically located in the same state where the patient is located. For example, California, Massachusetts, and Oregon, among others, are not members of the Int</w:t>
      </w:r>
      <w:r>
        <w:rPr>
          <w:sz w:val="20"/>
          <w:szCs w:val="20"/>
        </w:rPr>
        <w:t>erstate Medical Licensure Compact, which streamlines the process by which physicians licensed in one state are able to practice in other participating states. Failure to comply with these laws could result in denials of reimbursement for services (to the e</w:t>
      </w:r>
      <w:r>
        <w:rPr>
          <w:sz w:val="20"/>
          <w:szCs w:val="20"/>
        </w:rPr>
        <w:t>xtent such services are billed), recoupments of prior payments, professional discipline for providers or civil or criminal penalties.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If we do not maintain the certification of our EHR solutions pursuant to the HITECH Act, our business, financial conditi</w:t>
      </w:r>
      <w:r>
        <w:rPr>
          <w:b/>
          <w:bCs/>
          <w:i/>
          <w:iCs/>
          <w:sz w:val="20"/>
          <w:szCs w:val="20"/>
        </w:rPr>
        <w:t>on and results of operations will be adversely affected.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HITECH Act provides financial incentives for healthcare providers that demonstrate “meaningful use” of EHR and mandates use of health information technology systems that are certified according</w:t>
      </w:r>
      <w:r>
        <w:rPr>
          <w:sz w:val="20"/>
          <w:szCs w:val="20"/>
        </w:rPr>
        <w:t xml:space="preserve"> to technical standards developed under the supervision of the U.S. Department of Health and Human Services (“HHS”). The HITECH Act also imposes certain requirements upon governmental agencies to use, and requires healthcare providers, health plans, and in</w:t>
      </w:r>
      <w:r>
        <w:rPr>
          <w:sz w:val="20"/>
          <w:szCs w:val="20"/>
        </w:rPr>
        <w:t>surers contracting with such agencies to use, systems that are certified according to such standards. Such standards and implementation specifications that are being developed under the HITECH Act includes named standards, architectures, and software schem</w:t>
      </w:r>
      <w:r>
        <w:rPr>
          <w:sz w:val="20"/>
          <w:szCs w:val="20"/>
        </w:rPr>
        <w:t>es for the authentication and security of individually identifiable health information and the creation of common solutions across disparate entities.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HITECH Act’s certification requirements affect our business because we have invested and continue t</w:t>
      </w:r>
      <w:r>
        <w:rPr>
          <w:sz w:val="20"/>
          <w:szCs w:val="20"/>
        </w:rPr>
        <w:t>o invest in conforming our products and services to these standards. HHS has developed certification programs for electronic health records and health information exchanges. Our web-based EHR solution has been certified as a complete EHR by ICSA Labs, a no</w:t>
      </w:r>
      <w:r>
        <w:rPr>
          <w:sz w:val="20"/>
          <w:szCs w:val="20"/>
        </w:rPr>
        <w:t>n-governmental, independent certifying body. We must ensure that our EHR solutions continue to be certified according to applicable HITECH Act technical standards so that our customers qualify for any “meaningful use” incentive payments and are not subject</w:t>
      </w:r>
      <w:r>
        <w:rPr>
          <w:sz w:val="20"/>
          <w:szCs w:val="20"/>
        </w:rPr>
        <w:t xml:space="preserve"> to penalties for non-compliance. Failure to maintain this certification under the HITECH Act could jeopardize our relationships with customers who are relying upon us to provide certified software, and will make our products and services less attractive t</w:t>
      </w:r>
      <w:r>
        <w:rPr>
          <w:sz w:val="20"/>
          <w:szCs w:val="20"/>
        </w:rPr>
        <w:t>o customers than the offerings of other EHR vendors who maintain certification of their products.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8907101"/>
        </w:trPr>
        <w:tc>
          <w:tcPr>
            <w:tcW w:w="5000" w:type="pct"/>
            <w:hideMark/>
          </w:tcPr>
          <w:p w:rsidR="00000000" w:rsidRDefault="00B30BA7">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 xml:space="preserve">If </w:t>
      </w:r>
      <w:r>
        <w:rPr>
          <w:b/>
          <w:bCs/>
          <w:i/>
          <w:iCs/>
          <w:sz w:val="20"/>
          <w:szCs w:val="20"/>
        </w:rPr>
        <w:t>a breach of our measures protecting personal data covered by HIPAA or the HITECH Act occurs, we may incur significant liabilities.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Health Insurance Portability and Accountability Act of 1996, as amended (“HIPAA”), and the regulations that have been i</w:t>
      </w:r>
      <w:r>
        <w:rPr>
          <w:sz w:val="20"/>
          <w:szCs w:val="20"/>
        </w:rPr>
        <w:t>ssued under it contain substantial restrictions and requirements with respect to the use, collection, storage and disclosure of individuals’ protected health information. Under HIPAA, covered entities must establish administrative, physical and technical s</w:t>
      </w:r>
      <w:r>
        <w:rPr>
          <w:sz w:val="20"/>
          <w:szCs w:val="20"/>
        </w:rPr>
        <w:t>afeguards to protect the confidentiality, integrity and availability of electronic protected health information maintained or transmitted by them or by others on their behalf. In February 2009, HIPAA was amended by the HITECH Act to add provisions that imp</w:t>
      </w:r>
      <w:r>
        <w:rPr>
          <w:sz w:val="20"/>
          <w:szCs w:val="20"/>
        </w:rPr>
        <w:t>ose certain of HIPAA’s privacy and security requirements directly upon business associates of covered entities. Under HIPAA and the HITECH Act, our customers are covered entities and we are a business associate of our customers as a result of our contractu</w:t>
      </w:r>
      <w:r>
        <w:rPr>
          <w:sz w:val="20"/>
          <w:szCs w:val="20"/>
        </w:rPr>
        <w:t xml:space="preserve">al obligations to perform certain services for those customers. The HITECH Act transferred enforcement authority of the security rule from CMS to the Office for Civil Rights of HHS, thereby consolidating authority over the privacy and security rules under </w:t>
      </w:r>
      <w:r>
        <w:rPr>
          <w:sz w:val="20"/>
          <w:szCs w:val="20"/>
        </w:rPr>
        <w:t>a single office within HHS. Further, HITECH empowered state attorneys’ general to enforce HIPAA.</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HITECH Act heightened enforcement of privacy and security rules, indicating that the imposition of penalties will be more common in the future and such p</w:t>
      </w:r>
      <w:r>
        <w:rPr>
          <w:sz w:val="20"/>
          <w:szCs w:val="20"/>
        </w:rPr>
        <w:t>enalties will be more severe. For example, the HITECH Act requires that the HHS fully investigate all complaints if a preliminary investigation of the facts indicates a possible violation due to “willful neglect” and imposes penalties if such neglect is fo</w:t>
      </w:r>
      <w:r>
        <w:rPr>
          <w:sz w:val="20"/>
          <w:szCs w:val="20"/>
        </w:rPr>
        <w:t>und. Further, where our liability as a business associate to our customers was previously merely contractual in nature, the HITECH Act now treats the breach of duty under an agreement by a business associate to carry the same liability as if the covered en</w:t>
      </w:r>
      <w:r>
        <w:rPr>
          <w:sz w:val="20"/>
          <w:szCs w:val="20"/>
        </w:rPr>
        <w:t>tity engaged in the breach. In other words, as a business associate, we are now directly responsible for complying with HIPAA. We may find ourselves subject to increased liability as a possible liable party and we may incur increased costs as we perform ou</w:t>
      </w:r>
      <w:r>
        <w:rPr>
          <w:sz w:val="20"/>
          <w:szCs w:val="20"/>
        </w:rPr>
        <w:t>r obligations to our customers under our agreements with them.</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Finally, regulations also require business associates to notify covered entities, who in turn must notify affected individuals and government authorities of data security breaches involving u</w:t>
      </w:r>
      <w:r>
        <w:rPr>
          <w:sz w:val="20"/>
          <w:szCs w:val="20"/>
        </w:rPr>
        <w:t>nsecured protected health information. We have performed an assessment of the potential risks and vulnerabilities to the confidentiality, integrity and availability of electronic health information. In response to this risk analysis, we implemented and mai</w:t>
      </w:r>
      <w:r>
        <w:rPr>
          <w:sz w:val="20"/>
          <w:szCs w:val="20"/>
        </w:rPr>
        <w:t>ntain physical, technical and administrative safeguards intended to protect all personal data and have processes in place to assist us in complying with applicable laws and regulations regarding the protection of this data and properly responding to any se</w:t>
      </w:r>
      <w:r>
        <w:rPr>
          <w:sz w:val="20"/>
          <w:szCs w:val="20"/>
        </w:rPr>
        <w:t>curity incidents. If we knowingly breach the HITECH Act’s requirements, we could be exposed to criminal liability. A breach of our safeguards and processes could expose us to civil penalties of up to $1.5 million for each incident and the possibility of ci</w:t>
      </w:r>
      <w:r>
        <w:rPr>
          <w:sz w:val="20"/>
          <w:szCs w:val="20"/>
        </w:rPr>
        <w:t>vil litigation.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If we or our customers fail to comply with federal and state laws governing submission of false or fraudulent claims to government healthcare programs and financial relationships among healthcare providers, we or our customers may be subj</w:t>
      </w:r>
      <w:r>
        <w:rPr>
          <w:b/>
          <w:bCs/>
          <w:i/>
          <w:iCs/>
          <w:sz w:val="20"/>
          <w:szCs w:val="20"/>
        </w:rPr>
        <w:t>ect to civil and criminal penalties or loss of eligibility to participate in government healthcare programs.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As a participant in the healthcare industry, our operations and relationships, and those of our customers, are regulated by a number of federal, </w:t>
      </w:r>
      <w:r>
        <w:rPr>
          <w:sz w:val="20"/>
          <w:szCs w:val="20"/>
        </w:rPr>
        <w:t>state and local governmental entities. The impact of these regulations can adversely affect us even though we may not be directly regulated by specific healthcare laws and regulations. We must ensure that our products and services can be used by our custom</w:t>
      </w:r>
      <w:r>
        <w:rPr>
          <w:sz w:val="20"/>
          <w:szCs w:val="20"/>
        </w:rPr>
        <w:t>ers in a manner that complies with those laws and regulations. Inability of our customers to do so could affect the marketability of our products and services or our compliance with our customer contracts, or even expose us to direct liability under the th</w:t>
      </w:r>
      <w:r>
        <w:rPr>
          <w:sz w:val="20"/>
          <w:szCs w:val="20"/>
        </w:rPr>
        <w:t>eory that we had assisted our customers in a violation of healthcare laws or regulations. A number of federal and state laws, including anti-kickback restrictions and laws prohibiting the submission of false or fraudulent claims, apply to healthcare provid</w:t>
      </w:r>
      <w:r>
        <w:rPr>
          <w:sz w:val="20"/>
          <w:szCs w:val="20"/>
        </w:rPr>
        <w:t>ers and others that make, offer, seek or receive referrals or payments for products or services that may be paid for through any federal or state healthcare program and, in some instances, any private program. These laws are complex and their application t</w:t>
      </w:r>
      <w:r>
        <w:rPr>
          <w:sz w:val="20"/>
          <w:szCs w:val="20"/>
        </w:rPr>
        <w:t>o our specific services and relationships may not be clear and may be applied to our business in ways that we do not anticipate. Federal and state regulatory and law enforcement authorities have recently increased enforcement activities with respect to Med</w:t>
      </w:r>
      <w:r>
        <w:rPr>
          <w:sz w:val="20"/>
          <w:szCs w:val="20"/>
        </w:rPr>
        <w:t>icare and Medicaid fraud and abuse regulations and other healthcare reimbursement laws and rules. From time to time, participants in the healthcare industry receive inquiries or subpoenas to produce documents in connection with government investigations. W</w:t>
      </w:r>
      <w:r>
        <w:rPr>
          <w:sz w:val="20"/>
          <w:szCs w:val="20"/>
        </w:rPr>
        <w:t>e could be required to expend significant time and resources to comply with these requests, and the attention of our management team could be diverted by these efforts. The occurrence of any of these events could give our customers the right to terminate o</w:t>
      </w:r>
      <w:r>
        <w:rPr>
          <w:sz w:val="20"/>
          <w:szCs w:val="20"/>
        </w:rPr>
        <w:t>ur contracts with us and result in significant harm to our business and financial condition.</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02186913"/>
        </w:trPr>
        <w:tc>
          <w:tcPr>
            <w:tcW w:w="5000" w:type="pct"/>
            <w:hideMark/>
          </w:tcPr>
          <w:p w:rsidR="00000000" w:rsidRDefault="00B30BA7">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These </w:t>
      </w:r>
      <w:r>
        <w:rPr>
          <w:sz w:val="20"/>
          <w:szCs w:val="20"/>
        </w:rPr>
        <w:t>laws and regulations may change rapidly, and it is frequently unclear how they apply to our business. Any failure of our products or services to comply with these laws and regulations could result in substantial civil or criminal liability and could, among</w:t>
      </w:r>
      <w:r>
        <w:rPr>
          <w:sz w:val="20"/>
          <w:szCs w:val="20"/>
        </w:rPr>
        <w:t xml:space="preserve"> other things, adversely affect demand for our services, invalidate all or portions of some of our contracts with our customers, require us to change or terminate some portions of our business, require us to refund portions of our revenue, cause us to be d</w:t>
      </w:r>
      <w:r>
        <w:rPr>
          <w:sz w:val="20"/>
          <w:szCs w:val="20"/>
        </w:rPr>
        <w:t>isqualified from serving customers doing business with government payers, and give our customers the right to terminate our contracts with them, any one of which could have an adverse effect on our business.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Potential healthcare reform and new regulatory</w:t>
      </w:r>
      <w:r>
        <w:rPr>
          <w:b/>
          <w:bCs/>
          <w:i/>
          <w:iCs/>
          <w:sz w:val="20"/>
          <w:szCs w:val="20"/>
        </w:rPr>
        <w:t xml:space="preserve"> requirements placed on our products and services could increase our costs, delay or prevent our introduction of new products or services, and impair the function or value of our existing products and services.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products and services may be significan</w:t>
      </w:r>
      <w:r>
        <w:rPr>
          <w:sz w:val="20"/>
          <w:szCs w:val="20"/>
        </w:rPr>
        <w:t>tly impacted by healthcare reform initiatives and will be subject to increasing regulatory requirements, either of which could negatively impact our business in a multitude of ways. If substantive healthcare reform or applicable regulatory requirements are</w:t>
      </w:r>
      <w:r>
        <w:rPr>
          <w:sz w:val="20"/>
          <w:szCs w:val="20"/>
        </w:rPr>
        <w:t xml:space="preserve"> adopted, we may have to change or adapt our products and services to comply. Reform or changing regulatory requirements may also render our products or services obsolete or may block us from accomplishing our work or from developing new products or servic</w:t>
      </w:r>
      <w:r>
        <w:rPr>
          <w:sz w:val="20"/>
          <w:szCs w:val="20"/>
        </w:rPr>
        <w:t>es. This may in turn impose additional costs upon us to adapt to the new operating environment or to further develop or modify our products and services. Such reforms may also make introduction of new products and service costlier or more time-consuming th</w:t>
      </w:r>
      <w:r>
        <w:rPr>
          <w:sz w:val="20"/>
          <w:szCs w:val="20"/>
        </w:rPr>
        <w:t>an we currently anticipate. These changes may also prevent our introduction of new products and services or make the continuation or maintenance of our existing products and services unprofitable or impossible.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 xml:space="preserve">Additional regulation of the disclosure of </w:t>
      </w:r>
      <w:r>
        <w:rPr>
          <w:b/>
          <w:bCs/>
          <w:i/>
          <w:iCs/>
          <w:sz w:val="20"/>
          <w:szCs w:val="20"/>
        </w:rPr>
        <w:t>medical information outside the United States may adversely affect our operations and may increase our costs.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Federal or state governmental authorities may impose additional data security standards or additional privacy or other restrictions on the colle</w:t>
      </w:r>
      <w:r>
        <w:rPr>
          <w:sz w:val="20"/>
          <w:szCs w:val="20"/>
        </w:rPr>
        <w:t>ction, use, transmission, and other disclosures of medical information. Legislation has been proposed at various times at both the federal and the state level that would limit, forbid, or regulate the use or transmission of medical information outside of t</w:t>
      </w:r>
      <w:r>
        <w:rPr>
          <w:sz w:val="20"/>
          <w:szCs w:val="20"/>
        </w:rPr>
        <w:t>he United States. Such legislation, if adopted, may render our use of our servers in offshore offices for work related to such data impracticable or substantially more expensive. Alternative processing of such information within the United States may invol</w:t>
      </w:r>
      <w:r>
        <w:rPr>
          <w:sz w:val="20"/>
          <w:szCs w:val="20"/>
        </w:rPr>
        <w:t>ve substantial delay in implementation and increased cost.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Our services present the potential for embezzlement, identity theft, or other similar illegal behavior by our employees.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Among other things, our services from time to time involve handling mail</w:t>
      </w:r>
      <w:r>
        <w:rPr>
          <w:sz w:val="20"/>
          <w:szCs w:val="20"/>
        </w:rPr>
        <w:t xml:space="preserve"> from payers and payments from patients for our customers, and this mail frequently includes original checks and credit card information and occasionally includes currency. Where requested, we deposit payments and process credit card transactions from pati</w:t>
      </w:r>
      <w:r>
        <w:rPr>
          <w:sz w:val="20"/>
          <w:szCs w:val="20"/>
        </w:rPr>
        <w:t>ents on behalf of customers and then forward these payments to the customers. Even in those cases in which we do not handle original documents or mail, our services also involve the use and disclosure of personal and business information that could be used</w:t>
      </w:r>
      <w:r>
        <w:rPr>
          <w:sz w:val="20"/>
          <w:szCs w:val="20"/>
        </w:rPr>
        <w:t xml:space="preserve"> to impersonate third parties or otherwise gain access to their data or funds. The manner in which we store and use certain financial information is governed by various federal and state laws. If any of our employees takes, converts, or misuses such funds,</w:t>
      </w:r>
      <w:r>
        <w:rPr>
          <w:sz w:val="20"/>
          <w:szCs w:val="20"/>
        </w:rPr>
        <w:t xml:space="preserve"> documents, or data, we could be liable for damages, subject to regulatory actions and penalties, and our business reputation could be damaged or destroyed. In addition, we could be perceived to have facilitated or participated in illegal misappropriation </w:t>
      </w:r>
      <w:r>
        <w:rPr>
          <w:sz w:val="20"/>
          <w:szCs w:val="20"/>
        </w:rPr>
        <w:t>of funds, documents, or data and therefore be subject to civil or criminal liability.</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95101543"/>
        </w:trPr>
        <w:tc>
          <w:tcPr>
            <w:tcW w:w="5000" w:type="pct"/>
            <w:hideMark/>
          </w:tcPr>
          <w:p w:rsidR="00000000" w:rsidRDefault="00B30BA7">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Risks Related to Ownership of Shares of Our Common Stock</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i/>
          <w:iCs/>
          <w:sz w:val="20"/>
          <w:szCs w:val="20"/>
        </w:rPr>
        <w:t xml:space="preserve">Our </w:t>
      </w:r>
      <w:r>
        <w:rPr>
          <w:b/>
          <w:bCs/>
          <w:i/>
          <w:iCs/>
          <w:sz w:val="20"/>
          <w:szCs w:val="20"/>
        </w:rPr>
        <w:t>revenues, operating results and cash flows may fluctuate in future periods and we may fail to meet investor expectations, which may cause the price of our common stock to decline.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Variations in our quarterly and year-end operating results are difficult t</w:t>
      </w:r>
      <w:r>
        <w:rPr>
          <w:sz w:val="20"/>
          <w:szCs w:val="20"/>
        </w:rPr>
        <w:t>o predict and may fluctuate significantly from period to period. If our sales or operating results fall below the expectations of investors or securities analysts, the price of our common stock could decline substantially. Specific factors that may cause f</w:t>
      </w:r>
      <w:r>
        <w:rPr>
          <w:sz w:val="20"/>
          <w:szCs w:val="20"/>
        </w:rPr>
        <w:t>luctuations in our operating results include:</w:t>
      </w:r>
    </w:p>
    <w:p w:rsidR="00000000" w:rsidRDefault="00B30BA7">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demand and pricing for our products and services;</w:t>
            </w:r>
          </w:p>
        </w:tc>
      </w:tr>
      <w:tr w:rsidR="00000000">
        <w:trPr>
          <w:tblCellSpacing w:w="0" w:type="dxa"/>
        </w:trPr>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the encounter volumes of our customer base;</w:t>
            </w:r>
          </w:p>
        </w:tc>
      </w:tr>
      <w:tr w:rsidR="00000000">
        <w:trPr>
          <w:tblCellSpacing w:w="0" w:type="dxa"/>
        </w:trPr>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government or commercial healthcare reimbursement policies;</w:t>
            </w:r>
          </w:p>
        </w:tc>
      </w:tr>
      <w:tr w:rsidR="00000000">
        <w:trPr>
          <w:tblCellSpacing w:w="0" w:type="dxa"/>
        </w:trPr>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physician and patient acceptance of any of </w:t>
            </w:r>
            <w:r>
              <w:rPr>
                <w:rFonts w:eastAsia="Times New Roman"/>
                <w:sz w:val="20"/>
                <w:szCs w:val="20"/>
              </w:rPr>
              <w:t>our current or future products;</w:t>
            </w:r>
          </w:p>
        </w:tc>
      </w:tr>
      <w:tr w:rsidR="00000000">
        <w:trPr>
          <w:tblCellSpacing w:w="0" w:type="dxa"/>
        </w:trPr>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introduction of competing products;</w:t>
            </w:r>
          </w:p>
        </w:tc>
      </w:tr>
      <w:tr w:rsidR="00000000">
        <w:trPr>
          <w:tblCellSpacing w:w="0" w:type="dxa"/>
        </w:trPr>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operating expenses which fluctuate due to growth of our business;</w:t>
            </w:r>
          </w:p>
        </w:tc>
      </w:tr>
      <w:tr w:rsidR="00000000">
        <w:trPr>
          <w:tblCellSpacing w:w="0" w:type="dxa"/>
        </w:trPr>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timing </w:t>
            </w:r>
            <w:r>
              <w:rPr>
                <w:rFonts w:eastAsia="Times New Roman"/>
                <w:sz w:val="20"/>
                <w:szCs w:val="20"/>
              </w:rPr>
              <w:t>and size of any new product or technology acquisitions we may complete; and</w:t>
            </w:r>
          </w:p>
        </w:tc>
      </w:tr>
      <w:tr w:rsidR="00000000">
        <w:trPr>
          <w:tblCellSpacing w:w="0" w:type="dxa"/>
        </w:trPr>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variable sales cycle and implementation periods for our products and services.</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Future sales of shares of our common stock could depress the market price of our common stock.</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Sales of a substantial number of shares of our common stock in the public market could occur at any time. If our stockholders sell, or the market perceives that our stockholders intend to sell substantial amounts of our common stock in the public market,</w:t>
      </w:r>
      <w:r>
        <w:rPr>
          <w:sz w:val="20"/>
          <w:szCs w:val="20"/>
        </w:rPr>
        <w:t xml:space="preserve"> the market price of our common stock could decline significantly.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Mahmud Haq currently controls 30.1% of our outstanding shares of common stock, which will prevent investors from influencing significant corporate decisions.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Mahmud Haq, our founder and</w:t>
      </w:r>
      <w:r>
        <w:rPr>
          <w:sz w:val="20"/>
          <w:szCs w:val="20"/>
        </w:rPr>
        <w:t xml:space="preserve"> Executive Chairman, beneficially owns 30.1% of our outstanding shares of common stock. As a result, Mr. Haq exercises a significant level of control over all matters requiring stockholder approval, including the election of directors, amendment of our cer</w:t>
      </w:r>
      <w:r>
        <w:rPr>
          <w:sz w:val="20"/>
          <w:szCs w:val="20"/>
        </w:rPr>
        <w:t>tificate of incorporation, and approval of significant corporate transactions. This control could have the effect of delaying or preventing a change of control of our company or changes in management, and will make the approval of certain transactions diff</w:t>
      </w:r>
      <w:r>
        <w:rPr>
          <w:sz w:val="20"/>
          <w:szCs w:val="20"/>
        </w:rPr>
        <w:t>icult or impossible without his support, which in turn could reduce the price of our common stock.</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Provisions of Delaware law, of our amended and restated charter and amended and restated bylaws may make a takeover more difficult, which could cause our c</w:t>
      </w:r>
      <w:r>
        <w:rPr>
          <w:b/>
          <w:bCs/>
          <w:i/>
          <w:iCs/>
          <w:sz w:val="20"/>
          <w:szCs w:val="20"/>
        </w:rPr>
        <w:t>ommon stock price to decline.</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Provisions in our amended and restated certificate of incorporation and amended and restated bylaws and in the Delaware General Corporation Law (“DGCL”) may make it difficult and expensive for a third party to pursue a tende</w:t>
      </w:r>
      <w:r>
        <w:rPr>
          <w:sz w:val="20"/>
          <w:szCs w:val="20"/>
        </w:rPr>
        <w:t>r offer, change in control or takeover attempt, which is opposed by management and the Board of Directors. Public stockholders who might desire to participate in such a transaction may not have an opportunity to do so. We have a staggered Board of Director</w:t>
      </w:r>
      <w:r>
        <w:rPr>
          <w:sz w:val="20"/>
          <w:szCs w:val="20"/>
        </w:rPr>
        <w:t>s that makes it difficult for stockholders to change the composition of the Board of Directors in any one year. Further, our amended and restated certificate of incorporation provides for the removal of a director only for cause upon the affirmative vote o</w:t>
      </w:r>
      <w:r>
        <w:rPr>
          <w:sz w:val="20"/>
          <w:szCs w:val="20"/>
        </w:rPr>
        <w:t>f the holders of at least 50.1% of the outstanding shares entitled to cast their vote for the election of directors, which may discourage a third party from making a tender offer or otherwise attempting to obtain control of us. These and other anti-takeove</w:t>
      </w:r>
      <w:r>
        <w:rPr>
          <w:sz w:val="20"/>
          <w:szCs w:val="20"/>
        </w:rPr>
        <w:t>r provisions could substantially impede the ability of public stockholders to change our management and Board of Directors. Such provisions may also limit the price that investors might be willing to pay for shares of our Preferred Stock in the future.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sz w:val="20"/>
          <w:szCs w:val="20"/>
        </w:rPr>
      </w:pPr>
      <w:r>
        <w:rPr>
          <w:b/>
          <w:bCs/>
          <w:i/>
          <w:iCs/>
          <w:sz w:val="20"/>
          <w:szCs w:val="20"/>
        </w:rPr>
        <w:t>Any issuance of additional preferred stock in the future may dilute the rights of our existing stockholders.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Board of Directors has the authority to issue up to 7,000,000 shares of preferred stock and to determine the price, privileges and other term</w:t>
      </w:r>
      <w:r>
        <w:rPr>
          <w:sz w:val="20"/>
          <w:szCs w:val="20"/>
        </w:rPr>
        <w:t>s of these shares, of which 5,299,227 shares have been issued as of December 31, 2021. Our Board of Directors may exercise its authority with respect to the remaining shares of preferred stock without any further approval of common stockholders. The rights</w:t>
      </w:r>
      <w:r>
        <w:rPr>
          <w:sz w:val="20"/>
          <w:szCs w:val="20"/>
        </w:rPr>
        <w:t xml:space="preserve"> of the holders of common stock may be adversely affected by the rights of future holders of preferred stock.</w:t>
      </w:r>
    </w:p>
    <w:p w:rsidR="00000000" w:rsidRDefault="00B30BA7">
      <w:pPr>
        <w:pStyle w:val="a3"/>
        <w:spacing w:before="0" w:beforeAutospacing="0" w:after="0" w:afterAutospacing="0"/>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37663284"/>
        </w:trPr>
        <w:tc>
          <w:tcPr>
            <w:tcW w:w="5000" w:type="pct"/>
            <w:hideMark/>
          </w:tcPr>
          <w:p w:rsidR="00000000" w:rsidRDefault="00B30BA7">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b/>
          <w:bCs/>
          <w:i/>
          <w:iCs/>
          <w:sz w:val="20"/>
          <w:szCs w:val="20"/>
        </w:rPr>
        <w:t> </w:t>
      </w:r>
    </w:p>
    <w:p w:rsidR="00000000" w:rsidRDefault="00B30BA7">
      <w:pPr>
        <w:pStyle w:val="a3"/>
        <w:spacing w:before="0" w:beforeAutospacing="0" w:after="0" w:afterAutospacing="0"/>
        <w:rPr>
          <w:sz w:val="20"/>
          <w:szCs w:val="20"/>
        </w:rPr>
      </w:pPr>
      <w:r>
        <w:rPr>
          <w:b/>
          <w:bCs/>
          <w:i/>
          <w:iCs/>
          <w:sz w:val="20"/>
          <w:szCs w:val="20"/>
        </w:rPr>
        <w:t>We do not intend to pay cash dividends on our common stock.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Currently, we do not anticipate paying any cash dividends to holders of </w:t>
      </w:r>
      <w:r>
        <w:rPr>
          <w:sz w:val="20"/>
          <w:szCs w:val="20"/>
        </w:rPr>
        <w:t>our common stock. As a result, capital appreciation, if any, of our common stock will be a stockholder’s sole source of gain.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Complying with the laws and regulations affecting public companies will increase our costs and the demands on management and cou</w:t>
      </w:r>
      <w:r>
        <w:rPr>
          <w:b/>
          <w:bCs/>
          <w:i/>
          <w:iCs/>
          <w:sz w:val="20"/>
          <w:szCs w:val="20"/>
        </w:rPr>
        <w:t>ld harm our operating results.</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As a public company, we continue to incur significant legal, accounting, and other expenses. In addition, the Sarbanes-Oxley Act and rules subsequently implemented by the SEC and the Nasdaq Stock Market impose various requi</w:t>
      </w:r>
      <w:r>
        <w:rPr>
          <w:sz w:val="20"/>
          <w:szCs w:val="20"/>
        </w:rPr>
        <w:t>rements on public companies, including requiring changes in corporate governance practices. Our management and other personnel devote a substantial amount of time to these compliance initiatives. Moreover, these rules and regulations have increased and wil</w:t>
      </w:r>
      <w:r>
        <w:rPr>
          <w:sz w:val="20"/>
          <w:szCs w:val="20"/>
        </w:rPr>
        <w:t>l continue to increase our legal, accounting, and financial compliance costs and have made and will continue to make some activities more time-consuming and costlier. For example, these rules and regulations make it more difficult and more expensive for us</w:t>
      </w:r>
      <w:r>
        <w:rPr>
          <w:sz w:val="20"/>
          <w:szCs w:val="20"/>
        </w:rPr>
        <w:t xml:space="preserve"> to obtain director and officer liability insurance, and we may be required to accept reduced policy limits and coverage or to incur substantial costs to maintain the same or similar coverage. These rules and regulations could also make it more difficult f</w:t>
      </w:r>
      <w:r>
        <w:rPr>
          <w:sz w:val="20"/>
          <w:szCs w:val="20"/>
        </w:rPr>
        <w:t>or us to attract and retain qualified persons to serve on our Board of Directors or our board committees or as executive officers.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addition, the Sarbanes-Oxley Act requires, among other things, that we assess the effectiveness of our internal control over financial reporting annually and the effectiveness of our disclosure controls and procedures quarterly. As a “smaller reporting com</w:t>
      </w:r>
      <w:r>
        <w:rPr>
          <w:sz w:val="20"/>
          <w:szCs w:val="20"/>
        </w:rPr>
        <w:t>pany” in 2021 and previous years, we elected to avail ourselves of the exemption from the requirement that our independent registered public accounting firm attest to the effectiveness of our internal control over financial reporting under Section 404 of t</w:t>
      </w:r>
      <w:r>
        <w:rPr>
          <w:sz w:val="20"/>
          <w:szCs w:val="20"/>
        </w:rPr>
        <w:t>he Sarbanes-Oxley Act. For the year ended December 31, 2021, we are required to have our independent registered public accounting firm attest the effectiveness of our internal control over financial reporting, and the cost of our compliance with Section 40</w:t>
      </w:r>
      <w:r>
        <w:rPr>
          <w:sz w:val="20"/>
          <w:szCs w:val="20"/>
        </w:rPr>
        <w:t>4 will correspondingly increase. Our compliance with applicable provisions of Section 404 requires that we incur substantial accounting expense and expend significant management time on compliance-related issues and stay in compliance with reporting requir</w:t>
      </w:r>
      <w:r>
        <w:rPr>
          <w:sz w:val="20"/>
          <w:szCs w:val="20"/>
        </w:rPr>
        <w:t>ements. Moreover, if we are not able to stay in compliance with the requirements of Section 404 applicable to us in a timely manner, or if we or our independent registered public accounting firm identifies any deficiencies in our internal control over fina</w:t>
      </w:r>
      <w:r>
        <w:rPr>
          <w:sz w:val="20"/>
          <w:szCs w:val="20"/>
        </w:rPr>
        <w:t>ncial reporting that are deemed to be material weaknesses, the market price of our stock could decline and we could be subject to sanctions or investigations by the SEC or other regulatory authorities, which would require additional financial and managemen</w:t>
      </w:r>
      <w:r>
        <w:rPr>
          <w:sz w:val="20"/>
          <w:szCs w:val="20"/>
        </w:rPr>
        <w:t>t resources.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Furthermore, investor perceptions of our Company may suffer if deficiencies are found, and this could cause a decline in the market price of our common and preferred stock. Irrespective of compliance with Section 404, any failure of our inte</w:t>
      </w:r>
      <w:r>
        <w:rPr>
          <w:sz w:val="20"/>
          <w:szCs w:val="20"/>
        </w:rPr>
        <w:t>rnal control over financial reporting could have a material adverse effect on our stated operating results and harm our reputation. If we are unable to implement these changes effectively or efficiently, it could harm our operations, financial reporting, o</w:t>
      </w:r>
      <w:r>
        <w:rPr>
          <w:sz w:val="20"/>
          <w:szCs w:val="20"/>
        </w:rPr>
        <w:t>r financial results and could result in an adverse opinion on internal control from our independent registered public accounting firm.</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We are a smaller reporting company and we cannot be certain if the reduced disclosure requirements applicable to smalle</w:t>
      </w:r>
      <w:r>
        <w:rPr>
          <w:b/>
          <w:bCs/>
          <w:i/>
          <w:iCs/>
          <w:sz w:val="20"/>
          <w:szCs w:val="20"/>
        </w:rPr>
        <w:t>r reporting companies will make our common stock less attractive to investors.</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While we have ceased being an emerging growth company as of December 31, 2019, many of the exemptions available for emerging growth companies are also available to smaller rep</w:t>
      </w:r>
      <w:r>
        <w:rPr>
          <w:sz w:val="20"/>
          <w:szCs w:val="20"/>
        </w:rPr>
        <w:t>orting companies like us that have less than $250 million of worldwide common equity held by non-affiliates. The disclosures we will be required to provide in our SEC filings are still less than they would be if we were not considered a smaller reporting c</w:t>
      </w:r>
      <w:r>
        <w:rPr>
          <w:sz w:val="20"/>
          <w:szCs w:val="20"/>
        </w:rPr>
        <w:t>ompany. Specifically, similar to emerging growth companies, smaller reporting companies are able to provide simplified executive compensation disclosures in their fillings and have certain other decreased disclosure obligations in their SEC filings. Our st</w:t>
      </w:r>
      <w:r>
        <w:rPr>
          <w:sz w:val="20"/>
          <w:szCs w:val="20"/>
        </w:rPr>
        <w:t xml:space="preserve">atus as a smaller reporting company may make it harder for investors to analyze our results of operations and financial prospects. We cannot predict if investors will find our common stock less attractive because we will rely on the exemption available to </w:t>
      </w:r>
      <w:r>
        <w:rPr>
          <w:sz w:val="20"/>
          <w:szCs w:val="20"/>
        </w:rPr>
        <w:t>smaller reporting companies. If some investors find our common stock less attractive as a result, there may be a less active trading market for our common stock and our stock price may be more volatile.</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53115601"/>
        </w:trPr>
        <w:tc>
          <w:tcPr>
            <w:tcW w:w="5000" w:type="pct"/>
            <w:hideMark/>
          </w:tcPr>
          <w:p w:rsidR="00000000" w:rsidRDefault="00B30BA7">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 xml:space="preserve">Risks </w:t>
      </w:r>
      <w:r>
        <w:rPr>
          <w:b/>
          <w:bCs/>
          <w:sz w:val="20"/>
          <w:szCs w:val="20"/>
        </w:rPr>
        <w:t>Related to Ownership of Shares of Our Preferred Stock</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i/>
          <w:iCs/>
          <w:sz w:val="20"/>
          <w:szCs w:val="20"/>
        </w:rPr>
        <w:t>Our Series A and Series B preferred stock (“Preferred Stock”) ranks junior to all of our indebtedness and other liabilities.</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Our Series A Preferred Stock ranks pari passu to our Series B Preferred S</w:t>
      </w:r>
      <w:r>
        <w:rPr>
          <w:sz w:val="20"/>
          <w:szCs w:val="20"/>
        </w:rPr>
        <w:t>tock with respect to the distribution of assets upon our liquidation, dissolution or winding-up of our affairs. In the event of our bankruptcy, liquidation, dissolution or winding-up of our affairs, our assets will be available to pay obligations on the Pr</w:t>
      </w:r>
      <w:r>
        <w:rPr>
          <w:sz w:val="20"/>
          <w:szCs w:val="20"/>
        </w:rPr>
        <w:t>eferred Stock only after all of our indebtedness and other liabilities have been paid. The rights of holders of the Preferred Stock to participate in the distribution of our assets will rank junior to the prior claims of our current and future creditors an</w:t>
      </w:r>
      <w:r>
        <w:rPr>
          <w:sz w:val="20"/>
          <w:szCs w:val="20"/>
        </w:rPr>
        <w:t xml:space="preserve">d any future series or class of preferred stock we may issue that ranks senior to the Preferred Stock. Also, the Preferred Stock effectively ranks junior to all existing and future indebtedness and to the indebtedness and other liabilities of our existing </w:t>
      </w:r>
      <w:r>
        <w:rPr>
          <w:sz w:val="20"/>
          <w:szCs w:val="20"/>
        </w:rPr>
        <w:t>subsidiaries and any future subsidiaries. Our existing subsidiaries are, and future subsidiaries would be, separate legal entities and have no legal obligation to pay any amounts to us in respect of dividends due on the Preferred Stock. If we are forced to</w:t>
      </w:r>
      <w:r>
        <w:rPr>
          <w:sz w:val="20"/>
          <w:szCs w:val="20"/>
        </w:rPr>
        <w:t xml:space="preserve"> liquidate our assets to pay our creditors, we may not have sufficient assets to pay amounts due on any or all of the Preferred Stock then outstanding. We may in the future incur debt and other obligations that will rank senior to the Preferred Stock. At D</w:t>
      </w:r>
      <w:r>
        <w:rPr>
          <w:sz w:val="20"/>
          <w:szCs w:val="20"/>
        </w:rPr>
        <w:t>ecember 31, 2021, our total liabilities (excluding contingent consideration) equaled approximately $39.8 million.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Certain </w:t>
      </w:r>
      <w:r>
        <w:rPr>
          <w:sz w:val="20"/>
          <w:szCs w:val="20"/>
        </w:rPr>
        <w:t>of our existing or future debt instruments may restrict the authorization, payment or setting apart of dividends on the Preferred Stock. Our Credit Agreement with Silicon Valley Bank (“SVB”) restricts the payment of dividends in the event of any event of d</w:t>
      </w:r>
      <w:r>
        <w:rPr>
          <w:sz w:val="20"/>
          <w:szCs w:val="20"/>
        </w:rPr>
        <w:t>efault, including failure to meet certain financial covenants. There can be no assurance that we will remain in compliance with the SVB Credit Agreement, and if we default, we may be contractually prohibited from paying dividends on the Preferred Stock. Al</w:t>
      </w:r>
      <w:r>
        <w:rPr>
          <w:sz w:val="20"/>
          <w:szCs w:val="20"/>
        </w:rPr>
        <w:t>so, future offerings of debt or senior equity securities may adversely affect the market price of the Preferred Stock. If we decide to issue debt or senior equity securities in the future, it is possible that these securities will be governed by an indentu</w:t>
      </w:r>
      <w:r>
        <w:rPr>
          <w:sz w:val="20"/>
          <w:szCs w:val="20"/>
        </w:rPr>
        <w:t xml:space="preserve">re or other instruments containing covenants restricting our operating flexibility. Additionally, any convertible or exchangeable securities that we issue in the future may have rights, preferences and privileges more favorable than those of the Preferred </w:t>
      </w:r>
      <w:r>
        <w:rPr>
          <w:sz w:val="20"/>
          <w:szCs w:val="20"/>
        </w:rPr>
        <w:t>Stock and may result in dilution to owners of the Preferred Stock. We and, indirectly, our shareholders, will bear the cost of issuing and servicing such securities. Because our decision to issue debt or equity securities in any future offering will depend</w:t>
      </w:r>
      <w:r>
        <w:rPr>
          <w:sz w:val="20"/>
          <w:szCs w:val="20"/>
        </w:rPr>
        <w:t xml:space="preserve"> on market conditions and other factors beyond our control, we cannot predict or estimate the amount, timing or nature of our future offerings. The holders of the Preferred Stock will bear the risk of our future offerings, which may reduce the market price</w:t>
      </w:r>
      <w:r>
        <w:rPr>
          <w:sz w:val="20"/>
          <w:szCs w:val="20"/>
        </w:rPr>
        <w:t xml:space="preserve"> of the Preferred Stock and will dilute the value of their holdings.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We may not be able to pay dividends on the Preferred Stock if we fall out of compliance with our loan covenants and are prohibited by our bank lender from paying dividends or if we have</w:t>
      </w:r>
      <w:r>
        <w:rPr>
          <w:b/>
          <w:bCs/>
          <w:i/>
          <w:iCs/>
          <w:sz w:val="20"/>
          <w:szCs w:val="20"/>
        </w:rPr>
        <w:t xml:space="preserve"> insufficient cash to make dividend payments.</w:t>
      </w:r>
    </w:p>
    <w:p w:rsidR="00000000" w:rsidRDefault="00B30BA7">
      <w:pPr>
        <w:pStyle w:val="a3"/>
        <w:spacing w:before="0" w:beforeAutospacing="0" w:after="0" w:afterAutospacing="0"/>
        <w:jc w:val="both"/>
        <w:rPr>
          <w:sz w:val="20"/>
          <w:szCs w:val="20"/>
        </w:rPr>
      </w:pPr>
      <w:r>
        <w:rPr>
          <w:i/>
          <w:iCs/>
          <w:sz w:val="20"/>
          <w:szCs w:val="20"/>
        </w:rPr>
        <w:t> </w:t>
      </w:r>
    </w:p>
    <w:p w:rsidR="00000000" w:rsidRDefault="00B30BA7">
      <w:pPr>
        <w:pStyle w:val="a3"/>
        <w:spacing w:before="0" w:beforeAutospacing="0" w:after="0" w:afterAutospacing="0"/>
        <w:jc w:val="both"/>
        <w:rPr>
          <w:sz w:val="20"/>
          <w:szCs w:val="20"/>
        </w:rPr>
      </w:pPr>
      <w:r>
        <w:rPr>
          <w:sz w:val="20"/>
          <w:szCs w:val="20"/>
        </w:rPr>
        <w:t>Our ability to pay cash dividends on the Preferred Stock requires us to have either net profits or positive net assets (total assets less total liabilities), and to be able to pay our debts as they become due</w:t>
      </w:r>
      <w:r>
        <w:rPr>
          <w:sz w:val="20"/>
          <w:szCs w:val="20"/>
        </w:rPr>
        <w:t xml:space="preserve"> in the usual course of business. We cannot predict with certainty whether we will remain in compliance with the covenants of our senior secured lender, SVB, which include, among other things, generating adjusted EBITDA or complying with a minimum liquidit</w:t>
      </w:r>
      <w:r>
        <w:rPr>
          <w:sz w:val="20"/>
          <w:szCs w:val="20"/>
        </w:rPr>
        <w:t>y ratio at times when we are utilizing our line of credit. If we fall out of compliance, our lender may exercise any of its rights and remedies under the loan agreement, including restricting us from making dividend payments.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Further, notwithstanding the</w:t>
      </w:r>
      <w:r>
        <w:rPr>
          <w:sz w:val="20"/>
          <w:szCs w:val="20"/>
        </w:rPr>
        <w:t>se factors, we may not have sufficient cash to pay dividends on the Preferred Stock. Our ability to pay dividends may be impaired if any of the risks described in this document, including the documents incorporated by reference herein, were to occur. Also,</w:t>
      </w:r>
      <w:r>
        <w:rPr>
          <w:sz w:val="20"/>
          <w:szCs w:val="20"/>
        </w:rPr>
        <w:t xml:space="preserve"> payment of our dividends depends upon our financial condition, remaining in compliance with our affirmative and negative loan covenants with SVB, which we may be unable to do in the future, and other factors as our Board of Directors may deem relevant fro</w:t>
      </w:r>
      <w:r>
        <w:rPr>
          <w:sz w:val="20"/>
          <w:szCs w:val="20"/>
        </w:rPr>
        <w:t>m time to time. We cannot assure you that our businesses will generate sufficient cash flow from operations or that future borrowings will be available to us in an amount sufficient to enable us to make distributions on our common stock, if any, and prefer</w:t>
      </w:r>
      <w:r>
        <w:rPr>
          <w:sz w:val="20"/>
          <w:szCs w:val="20"/>
        </w:rPr>
        <w:t>red stock, including the Preferred Stock to pay our indebtedness or to fund our other liquidity needs.</w:t>
      </w:r>
    </w:p>
    <w:p w:rsidR="00000000" w:rsidRDefault="00B30BA7">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69419554"/>
        </w:trPr>
        <w:tc>
          <w:tcPr>
            <w:tcW w:w="5000" w:type="pct"/>
            <w:hideMark/>
          </w:tcPr>
          <w:p w:rsidR="00000000" w:rsidRDefault="00B30BA7">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b/>
          <w:bCs/>
          <w:i/>
          <w:iCs/>
          <w:sz w:val="20"/>
          <w:szCs w:val="20"/>
        </w:rPr>
        <w:t>We may issue additional shares of Preferred Stock and additional series of preferred stock that rank on parity with the Preferred Stock as to</w:t>
      </w:r>
      <w:r>
        <w:rPr>
          <w:b/>
          <w:bCs/>
          <w:i/>
          <w:iCs/>
          <w:sz w:val="20"/>
          <w:szCs w:val="20"/>
        </w:rPr>
        <w:t xml:space="preserve"> dividend rights, rights upon liquidation or voting rights.</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We are allowed to issue additional shares of Preferred Stock and additional series of preferred stock that would rank equal to or below the Preferred Stock as to dividend payments and rights upo</w:t>
      </w:r>
      <w:r>
        <w:rPr>
          <w:sz w:val="20"/>
          <w:szCs w:val="20"/>
        </w:rPr>
        <w:t>n our liquidation, dissolution or winding up of our affairs pursuant to our amended and restated certificate of incorporation and the certificate of designations relating to the Preferred Stock without any vote of the holders of the Preferred Stock. Upon t</w:t>
      </w:r>
      <w:r>
        <w:rPr>
          <w:sz w:val="20"/>
          <w:szCs w:val="20"/>
        </w:rPr>
        <w:t>he affirmative vote of the holders of at least two-thirds of the outstanding shares of Preferred Stock (voting together as a class with all other series of parity preferred stock we may issue upon which like voting rights have been conferred and are exerci</w:t>
      </w:r>
      <w:r>
        <w:rPr>
          <w:sz w:val="20"/>
          <w:szCs w:val="20"/>
        </w:rPr>
        <w:t>sable), we are allowed to issue additional series of preferred stock that would rank above the Preferred Stock as to dividend payments and rights upon our liquidation, dissolution or the winding up of our affairs pursuant to our amended and restated certif</w:t>
      </w:r>
      <w:r>
        <w:rPr>
          <w:sz w:val="20"/>
          <w:szCs w:val="20"/>
        </w:rPr>
        <w:t>icate of incorporation and the certificate of designations relating to the Preferred Stock. The issuance of additional shares of Preferred Stock and additional series of preferred stock could have the effect of reducing the amounts available to the Preferr</w:t>
      </w:r>
      <w:r>
        <w:rPr>
          <w:sz w:val="20"/>
          <w:szCs w:val="20"/>
        </w:rPr>
        <w:t>ed Stock upon our liquidation or dissolution or the winding up of our affairs. It also may reduce dividend payments on the Preferred Stock if we do not have sufficient funds to pay dividends on all Preferred Stock outstanding and other classes or series of</w:t>
      </w:r>
      <w:r>
        <w:rPr>
          <w:sz w:val="20"/>
          <w:szCs w:val="20"/>
        </w:rPr>
        <w:t xml:space="preserve"> stock with equal priority with respect to dividends.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Also, although holders of Preferred Stock are entitled to limited voting rights with respect to the circumstances under which the holders of Preferred Stock are entitled to vote, the Preferred Stock v</w:t>
      </w:r>
      <w:r>
        <w:rPr>
          <w:sz w:val="20"/>
          <w:szCs w:val="20"/>
        </w:rPr>
        <w:t>otes separately as a class along with all other series of our preferred stock that we may issue upon which like voting rights have been conferred and are exercisable. As a result, the voting rights of holders of Preferred Stock may be significantly diluted</w:t>
      </w:r>
      <w:r>
        <w:rPr>
          <w:sz w:val="20"/>
          <w:szCs w:val="20"/>
        </w:rPr>
        <w:t>, and the holders of such other series of preferred stock that we may issue may be able to control or significantly influence the outcome of any vote.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Future issuances and sales of senior or pari passu preferred stock, or the perception that such issuanc</w:t>
      </w:r>
      <w:r>
        <w:rPr>
          <w:sz w:val="20"/>
          <w:szCs w:val="20"/>
        </w:rPr>
        <w:t>es and sales could occur, may cause prevailing market prices for the Preferred Stock and our common stock to decline and may adversely affect our ability to raise additional capital in the financial markets at times and prices favorable to us.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Market interest rates may materially and adversely affect the value of the Preferred Stock.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One of the factors that influences the price of the Preferred Stock is the dividend yield on the Preferred Stock (as a percentage of the market price of each clas</w:t>
      </w:r>
      <w:r>
        <w:rPr>
          <w:sz w:val="20"/>
          <w:szCs w:val="20"/>
        </w:rPr>
        <w:t xml:space="preserve">s of the Preferred Stock) relative to market interest rates. An increase in market interest rates may lead prospective purchasers of the Preferred Stock to expect a higher dividend yield (and higher interest rates would likely increase our borrowing costs </w:t>
      </w:r>
      <w:r>
        <w:rPr>
          <w:sz w:val="20"/>
          <w:szCs w:val="20"/>
        </w:rPr>
        <w:t>and potentially decrease funds available for dividend payments). Thus, higher market interest rates could cause the market price of the Preferred Stock to materially decrease.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Holders of the Preferred Stock may be unable to use the dividends-received ded</w:t>
      </w:r>
      <w:r>
        <w:rPr>
          <w:b/>
          <w:bCs/>
          <w:i/>
          <w:iCs/>
          <w:sz w:val="20"/>
          <w:szCs w:val="20"/>
        </w:rPr>
        <w:t>uction and may not be eligible for the preferential tax rates applicable to “qualified dividend income”.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Distributions paid to corporate U.S. holders of the Preferred Stock may be eligible for the dividends-received deduction, and distributions paid to n</w:t>
      </w:r>
      <w:r>
        <w:rPr>
          <w:sz w:val="20"/>
          <w:szCs w:val="20"/>
        </w:rPr>
        <w:t>on-corporate U.S. holders of the Preferred Stock may be subject to tax at the preferential tax rates applicable to “qualified dividend income,” if we have current or accumulated earnings and profits, as determined for U.S. federal income tax purposes. We d</w:t>
      </w:r>
      <w:r>
        <w:rPr>
          <w:sz w:val="20"/>
          <w:szCs w:val="20"/>
        </w:rPr>
        <w:t>o not currently have such accumulated earnings and profits. Additionally, we may not have sufficient current earnings and profits during future fiscal years for the distributions on the Preferred Stock to qualify as dividends for U.S. federal income tax pu</w:t>
      </w:r>
      <w:r>
        <w:rPr>
          <w:sz w:val="20"/>
          <w:szCs w:val="20"/>
        </w:rPr>
        <w:t>rposes. If the distributions fail to qualify as dividends, U.S. holders would be unable to use the dividends-received deduction and may not be eligible for the preferential tax rates applicable to “qualified dividend income.” If any distributions on the Pr</w:t>
      </w:r>
      <w:r>
        <w:rPr>
          <w:sz w:val="20"/>
          <w:szCs w:val="20"/>
        </w:rPr>
        <w:t>eferred Stock with respect to any fiscal year are not eligible for the dividends-received deduction or preferential tax rates applicable to “qualified dividend income” because of insufficient current or accumulated earnings and profits, it is possible that</w:t>
      </w:r>
      <w:r>
        <w:rPr>
          <w:sz w:val="20"/>
          <w:szCs w:val="20"/>
        </w:rPr>
        <w:t xml:space="preserve"> the market value of the Preferred Stock might decline.</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b/>
          <w:bCs/>
          <w:i/>
          <w:iCs/>
          <w:sz w:val="20"/>
          <w:szCs w:val="20"/>
        </w:rPr>
        <w:t>Our Preferred Stock has not been rated.</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 xml:space="preserve">We have not sought to obtain a rating for the Preferred Stock. No assurance can be given, however, that one or more rating agencies might not independently </w:t>
      </w:r>
      <w:r>
        <w:rPr>
          <w:sz w:val="20"/>
          <w:szCs w:val="20"/>
        </w:rPr>
        <w:t>determine to issue such a rating or that such a rating, if issued, would not adversely affect the market price of the Preferred Stock. Also, we may elect in the future to obtain a rating for the Preferred Stock, which could adversely affect the market pric</w:t>
      </w:r>
      <w:r>
        <w:rPr>
          <w:sz w:val="20"/>
          <w:szCs w:val="20"/>
        </w:rPr>
        <w:t xml:space="preserve">e of the Preferred Stock. Ratings only reflect the views of the rating agency or agencies issuing the ratings and such ratings could be revised downward, placed on a watch list or withdrawn entirely at the discretion of the issuing rating agency if in its </w:t>
      </w:r>
      <w:r>
        <w:rPr>
          <w:sz w:val="20"/>
          <w:szCs w:val="20"/>
        </w:rPr>
        <w:t>judgment circumstances so warrant. Any such downward revision, placing on a watch list or withdrawal of a rating could have an adverse effect on the market price of the Preferred Stock.</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21215703"/>
        </w:trPr>
        <w:tc>
          <w:tcPr>
            <w:tcW w:w="5000" w:type="pct"/>
            <w:hideMark/>
          </w:tcPr>
          <w:p w:rsidR="00000000" w:rsidRDefault="00B30BA7">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We may redeem the Series A Preferred Stock at any time, in</w:t>
      </w:r>
      <w:r>
        <w:rPr>
          <w:b/>
          <w:bCs/>
          <w:i/>
          <w:iCs/>
          <w:sz w:val="20"/>
          <w:szCs w:val="20"/>
        </w:rPr>
        <w:t>cluding 800,000 shares of Series A Preferred Stock that we intend to redeem on March 18, 2022, and may redeem the Series B Preferred Stock after February 15, 2024.</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Since November 4, 2020, we may, at our option, redeem the Series A Preferred Stock, in who</w:t>
      </w:r>
      <w:r>
        <w:rPr>
          <w:sz w:val="20"/>
          <w:szCs w:val="20"/>
        </w:rPr>
        <w:t>le or in part, at any time or from time to time. On February 15, 2022, we gave notice of our intention to redeem 800,000 shares of the Series A Preferred Stock on March 18, 2022 in accordance with our amended and restated certificate of designations for th</w:t>
      </w:r>
      <w:r>
        <w:rPr>
          <w:sz w:val="20"/>
          <w:szCs w:val="20"/>
        </w:rPr>
        <w:t>e Series A Preferred Stock. Starting February 15, 2024, we may at our option, redeem the Series B Preferred Stock, in whole or in part, at any time or from time to time, paying a small premium if we choose to redeem any Series B Preferred Stock prior to Fe</w:t>
      </w:r>
      <w:r>
        <w:rPr>
          <w:sz w:val="20"/>
          <w:szCs w:val="20"/>
        </w:rPr>
        <w:t>bruary 15, 2027. Also, upon the occurrence of a change of control, we may, at our option, redeem the Preferred Stock, in whole or in part, within 120 days after the first date on which such change of control occurred. We may have an incentive to redeem the</w:t>
      </w:r>
      <w:r>
        <w:rPr>
          <w:sz w:val="20"/>
          <w:szCs w:val="20"/>
        </w:rPr>
        <w:t xml:space="preserve"> Preferred Stock voluntarily if market conditions allow us to issue other preferred stock or debt securities at a rate that is lower than the dividend on the Preferred Stock. If we redeem the Preferred Stock, then from and after the redemption date, divide</w:t>
      </w:r>
      <w:r>
        <w:rPr>
          <w:sz w:val="20"/>
          <w:szCs w:val="20"/>
        </w:rPr>
        <w:t>nds will cease to accrue on shares of Preferred Stock, the shares of Preferred Stock shall no longer be deemed outstanding and all rights as a holder of those shares will terminate, except the right to receive the redemption price plus accumulated and unpa</w:t>
      </w:r>
      <w:r>
        <w:rPr>
          <w:sz w:val="20"/>
          <w:szCs w:val="20"/>
        </w:rPr>
        <w:t>id dividends, if any, payable upon redemption. The Company also intends to allow holders of the Series A Preferred Stock in the future to exchange their shares of the Series A Preferred Stock into an equivalent number of shares of the Series B Preferred St</w:t>
      </w:r>
      <w:r>
        <w:rPr>
          <w:sz w:val="20"/>
          <w:szCs w:val="20"/>
        </w:rPr>
        <w:t>ock.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The market price of our Preferred Stock is variable and could be substantially affected by various factors.</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market price of our Preferred Stock could be subject to wide fluctuations in response to numerous factors. These factors include, but are not limited to, the following:</w:t>
      </w:r>
    </w:p>
    <w:p w:rsidR="00000000" w:rsidRDefault="00B30BA7">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prevailing interest rates, increases in which may have an adverse effect on the mar</w:t>
            </w:r>
            <w:r>
              <w:rPr>
                <w:rFonts w:eastAsia="Times New Roman"/>
                <w:sz w:val="20"/>
                <w:szCs w:val="20"/>
              </w:rPr>
              <w:t>ket price of the Preferred Stock;</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trading prices of similar securities;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history of timely dividend payments;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the annual yield from dividends on the Preferred Stock as compared to yields on other financial instruments;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general </w:t>
            </w:r>
            <w:r>
              <w:rPr>
                <w:rFonts w:eastAsia="Times New Roman"/>
                <w:sz w:val="20"/>
                <w:szCs w:val="20"/>
              </w:rPr>
              <w:t>economic and financial market conditions;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government action or regulation;</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financial condition, performance and prospects of our competitors;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changes in financial estimates or recommendations by securities analysts with respect to us or our</w:t>
            </w:r>
            <w:r>
              <w:rPr>
                <w:rFonts w:eastAsia="Times New Roman"/>
                <w:sz w:val="20"/>
                <w:szCs w:val="20"/>
              </w:rPr>
              <w:t xml:space="preserve"> competitors in our industry;</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our issuance of additional preferred equity or debt securities; and</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actual or anticipated variations in quarterly operating results of us and our competitors.</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A holder o</w:t>
      </w:r>
      <w:r>
        <w:rPr>
          <w:b/>
          <w:bCs/>
          <w:i/>
          <w:iCs/>
          <w:sz w:val="20"/>
          <w:szCs w:val="20"/>
        </w:rPr>
        <w:t>f Preferred Stock has extremely limited voting rights.</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The voting rights for a holder of Preferred Stock are limited. Our shares of common stock are the only class of our securities that carry full voting rights, and Mahmud Haq, our Executive Chairman, b</w:t>
      </w:r>
      <w:r>
        <w:rPr>
          <w:sz w:val="20"/>
          <w:szCs w:val="20"/>
        </w:rPr>
        <w:t>eneficially owns approximately 30.1% of our outstanding shares of common stock. As a result, Mr. Haq exercises a significant level of control over all matters requiring stockholder approval, including the election of directors, amendment of our certificate</w:t>
      </w:r>
      <w:r>
        <w:rPr>
          <w:sz w:val="20"/>
          <w:szCs w:val="20"/>
        </w:rPr>
        <w:t xml:space="preserve"> of incorporation, and approval of significant corporate transactions. This control could have the effect of delaying or preventing a change of control of our Company or changes in management, and will make the approval of certain transactions difficult or</w:t>
      </w:r>
      <w:r>
        <w:rPr>
          <w:sz w:val="20"/>
          <w:szCs w:val="20"/>
        </w:rPr>
        <w:t xml:space="preserve"> impossible without his support, which in turn could reduce the price of our Preferred Stock.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Voting rights for holders of the Preferred Stock exist primarily with respect to the ability to elect, voting together with the holders of any other series of o</w:t>
      </w:r>
      <w:r>
        <w:rPr>
          <w:sz w:val="20"/>
          <w:szCs w:val="20"/>
        </w:rPr>
        <w:t>ur preferred stock having similar voting rights, two additional directors to our Board of Directors, subject to limitations, in the event that eighteen monthly dividends (whether or not consecutive) payable on the Preferred Stock are in arrears, and with r</w:t>
      </w:r>
      <w:r>
        <w:rPr>
          <w:sz w:val="20"/>
          <w:szCs w:val="20"/>
        </w:rPr>
        <w:t>espect to voting on amendments to our articles of incorporation or articles of amendment relating to the Preferred Stock that materially and adversely affect the rights of the holders of Preferred Stock or authorize, increase or create additional classes o</w:t>
      </w:r>
      <w:r>
        <w:rPr>
          <w:sz w:val="20"/>
          <w:szCs w:val="20"/>
        </w:rPr>
        <w:t>r series of our capital stock that are senior to the Preferred Stock. Other than the limited circumstances and except to the extent required by law, holders of Preferred Stock do not have any voting rights.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24161106"/>
        </w:trPr>
        <w:tc>
          <w:tcPr>
            <w:tcW w:w="5000" w:type="pct"/>
            <w:hideMark/>
          </w:tcPr>
          <w:p w:rsidR="00000000" w:rsidRDefault="00B30BA7">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The Preferred Stock is not convertibl</w:t>
      </w:r>
      <w:r>
        <w:rPr>
          <w:b/>
          <w:bCs/>
          <w:i/>
          <w:iCs/>
          <w:sz w:val="20"/>
          <w:szCs w:val="20"/>
        </w:rPr>
        <w:t>e, and investors will not realize a corresponding upside if the price of the common stock increases.</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 xml:space="preserve">The Preferred Stock is not convertible into the common stock and earns dividends at a fixed rate. Accordingly, an increase in market price of our common </w:t>
      </w:r>
      <w:r>
        <w:rPr>
          <w:sz w:val="20"/>
          <w:szCs w:val="20"/>
        </w:rPr>
        <w:t>stock will not necessarily result in an increase in the market price of our Preferred Stock. The market value of the Preferred Stock may depend more on dividend and interest rates for other preferred stock, commercial paper and other investment alternative</w:t>
      </w:r>
      <w:r>
        <w:rPr>
          <w:sz w:val="20"/>
          <w:szCs w:val="20"/>
        </w:rPr>
        <w:t>s and our actual and perceived ability to pay dividends on, and in the event of dissolution satisfy the liquidation preference with respect to, the Preferred Stock.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1B. Unresolved Staff Comments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None.</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2. Properties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Our </w:t>
      </w:r>
      <w:r>
        <w:rPr>
          <w:sz w:val="20"/>
          <w:szCs w:val="20"/>
        </w:rPr>
        <w:t>corporate headquarters are located at 7 Clyde Road, Somerset, New Jersey 08873 where we occupy approximately 2,400 square feet of space under a month-to-month lease. Additionally, at December 31, 2021 we lease approximately 152,000 square feet of office sp</w:t>
      </w:r>
      <w:r>
        <w:rPr>
          <w:sz w:val="20"/>
          <w:szCs w:val="20"/>
        </w:rPr>
        <w:t>ace in approximately 16 locations throughout the U.S., with lease terms that are typically five years or less. We also lease approximately 47,000 square feet for five pediatric offices in the Midwest, with leases that will expire between January 2022 and A</w:t>
      </w:r>
      <w:r>
        <w:rPr>
          <w:sz w:val="20"/>
          <w:szCs w:val="20"/>
        </w:rPr>
        <w:t>pril 2036. The Company entered into a lease in Ohio for a newly built 8,000 square feet pediatric office space in February 2021 with a lease term of 15 years.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leased approximately 48,000 square feet of office space and computer server facilities in Is</w:t>
      </w:r>
      <w:r>
        <w:rPr>
          <w:sz w:val="20"/>
          <w:szCs w:val="20"/>
        </w:rPr>
        <w:t>lamabad, Pakistan, which expired in December 2021. We lease approximately 18,000 square feet of land where we constructed modular buildings used for office space and computer server facilities in Islamabad, Pakistan for three years expiring on September 30</w:t>
      </w:r>
      <w:r>
        <w:rPr>
          <w:sz w:val="20"/>
          <w:szCs w:val="20"/>
        </w:rPr>
        <w:t>, 2024, with the first two years under a non-cancellable lease. The Company also leases office space in Bagh and Karachi, Pakistan, and in Sri Lanka, which lease expires in March 2022. This lease will be renewed for an additional year at expiration.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b</w:t>
      </w:r>
      <w:r>
        <w:rPr>
          <w:sz w:val="20"/>
          <w:szCs w:val="20"/>
        </w:rPr>
        <w:t>elieve our current facilities are adequate for our current needs and that suitable additional space will be available as and when needed.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3. Legal Proceedings</w:t>
      </w:r>
    </w:p>
    <w:p w:rsidR="00000000" w:rsidRDefault="00B30BA7">
      <w:pPr>
        <w:pStyle w:val="a3"/>
        <w:spacing w:before="0" w:beforeAutospacing="0" w:after="0" w:afterAutospacing="0"/>
        <w:rPr>
          <w:b/>
          <w:bCs/>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 xml:space="preserve">On </w:t>
      </w:r>
      <w:r>
        <w:rPr>
          <w:sz w:val="20"/>
          <w:szCs w:val="20"/>
        </w:rPr>
        <w:t>May 30, 2018, the Superior Court of New Jersey, Chancery Division, Somerset County (the “Chancery Court”) denied the Company’s and MTBC Acquisition Corp.’s (“MAC”) request to enjoin an arbitration proceeding demanded by Randolph Pain Relief and Wellness Ce</w:t>
      </w:r>
      <w:r>
        <w:rPr>
          <w:sz w:val="20"/>
          <w:szCs w:val="20"/>
        </w:rPr>
        <w:t>nter (“RPRWC”) related to RCM services provided by parties unaffiliated with the Company and MAC. On June 15, 2018, the Company and MAC filed an appeal of the Chancery Court’s decision with the New Jersey Superior Court, Appellate Division. On July 19, 201</w:t>
      </w:r>
      <w:r>
        <w:rPr>
          <w:sz w:val="20"/>
          <w:szCs w:val="20"/>
        </w:rPr>
        <w:t>8, the Chancery Court ordered that the arbitration be stayed pending the Company’s and MAC’s appeal. On appeal, the Company and MAC contended they were never party to the billing services agreement giving rise to the arbitration claim, did not assume the o</w:t>
      </w:r>
      <w:r>
        <w:rPr>
          <w:sz w:val="20"/>
          <w:szCs w:val="20"/>
        </w:rPr>
        <w:t>bligations of Millennium Practice Management Associates, Inc. (“MPMA”) under such agreement, and any agreement to arbitrate disputes arising under such agreement did not apply to the Company or MAC as RPRWC terminated the agreement before the APA took effe</w:t>
      </w:r>
      <w:r>
        <w:rPr>
          <w:sz w:val="20"/>
          <w:szCs w:val="20"/>
        </w:rPr>
        <w:t>ct. On January 30, 2019, the parties conducted oral arguments before the Appellate Court.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On April 23, 2019, the Appellate Division affirmed in part and reversed in part the trial court’s order. The Appellate Division upheld the portion of the trial cour</w:t>
      </w:r>
      <w:r>
        <w:rPr>
          <w:sz w:val="20"/>
          <w:szCs w:val="20"/>
        </w:rPr>
        <w:t>t’s order requiring MAC to participate in the arbitration based on the trial court’s finding that MAC had assumed MPMA’s contractual responsibilities. The Appellate Division reversed the trial court’s order requiring the Company to participate in the arbit</w:t>
      </w:r>
      <w:r>
        <w:rPr>
          <w:sz w:val="20"/>
          <w:szCs w:val="20"/>
        </w:rPr>
        <w:t>ration on the grounds that insufficient facts had been provided by Randolph Pain from which the court could conclude the Company was required to participate in the arbitration. As a result, the Appellate Division remanded the issue of whether Company is re</w:t>
      </w:r>
      <w:r>
        <w:rPr>
          <w:sz w:val="20"/>
          <w:szCs w:val="20"/>
        </w:rPr>
        <w:t>quired to participate in the arbitration back to the trial court for further proceedings.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8039318"/>
        </w:trPr>
        <w:tc>
          <w:tcPr>
            <w:tcW w:w="5000" w:type="pct"/>
            <w:hideMark/>
          </w:tcPr>
          <w:p w:rsidR="00000000" w:rsidRDefault="00B30BA7">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parties completed discovery in the remanded matter on November 29, 2019, and thereafter both the Company and RPRWC filed cross-motions for summary jud</w:t>
      </w:r>
      <w:r>
        <w:rPr>
          <w:sz w:val="20"/>
          <w:szCs w:val="20"/>
        </w:rPr>
        <w:t>gment in their favor. On February 6, 2020, the Chancery Court denied RPRWC’s motion for summary judgment and granted the Company’s cross-motion for summary judgment. The Chancery Court held that the Company cannot be compelled to participate in the Arbitra</w:t>
      </w:r>
      <w:r>
        <w:rPr>
          <w:sz w:val="20"/>
          <w:szCs w:val="20"/>
        </w:rPr>
        <w:t>tion. RPRWC has informed the Company that it does not intend to appeal the Chancery Court’s ruling and that it intends to move forward solely against MAC. On March 25, 2020, the Chancery Court lifted the stay of arbitration relative to RPWC and MAC. In its</w:t>
      </w:r>
      <w:r>
        <w:rPr>
          <w:sz w:val="20"/>
          <w:szCs w:val="20"/>
        </w:rPr>
        <w:t xml:space="preserve"> arbitration demand RPRWC alleges that MPMA, a subsidiary of MediGain, LLC, breached the terms of the billing services agreement the parties had entered into and sought compensatory damages of $6.6 million and costs.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On </w:t>
      </w:r>
      <w:r>
        <w:rPr>
          <w:sz w:val="20"/>
          <w:szCs w:val="20"/>
        </w:rPr>
        <w:t>May 28, 2020, the arbitrator handling the matter conducted a scheduling conference with the parties in order to establish deadlines for the parties to exchange discovery requests and responses. During the conference the arbitrator directed RPRWC to produce</w:t>
      </w:r>
      <w:r>
        <w:rPr>
          <w:sz w:val="20"/>
          <w:szCs w:val="20"/>
        </w:rPr>
        <w:t xml:space="preserve"> statement of damages on which it bases its claim. RPRWC disclosed its statement of damages to MAC on June 12, 2020. RPRWC’s June 12, 2020 statement of damages increased its alleged damages from $6.6 million and costs to $20 million and costs. On July 24, </w:t>
      </w:r>
      <w:r>
        <w:rPr>
          <w:sz w:val="20"/>
          <w:szCs w:val="20"/>
        </w:rPr>
        <w:t xml:space="preserve">2020, RPRWC disclosed a declaration to MAC, in which RPRWC estimates its damages to be approximately $11 million plus costs. At this time, RPRWC has not provided any evidence to support its increased claim for damages. RPRWC recently served expert reports </w:t>
      </w:r>
      <w:r>
        <w:rPr>
          <w:sz w:val="20"/>
          <w:szCs w:val="20"/>
        </w:rPr>
        <w:t xml:space="preserve">in this matter. Plaintiff’s expert analyzed only a minute portion of the claims alleged to have been mishandled and then extrapolated damages to be in the range of $9.8 million to $10.8 million; however, this is unrealistically based on an alleged 90-100% </w:t>
      </w:r>
      <w:r>
        <w:rPr>
          <w:sz w:val="20"/>
          <w:szCs w:val="20"/>
        </w:rPr>
        <w:t>collection rate on charges. MAC is preparing rebuttal expert reports to be submitted shortly. Currently, the arbitration hearing is scheduled for April 2022.</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While the allegations of breach of contract made by RPRWC are the subject of the ongoing legal p</w:t>
      </w:r>
      <w:r>
        <w:rPr>
          <w:sz w:val="20"/>
          <w:szCs w:val="20"/>
        </w:rPr>
        <w:t>roceedings, MAC believes RPRWC’s allegations lack merit on numerous grounds. The Company and MAC plan to vigorously defend against RPRWC’s claim and in the event of a loss, if any, they anticipate the loss to be substantially less than the amount claimed.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Please see </w:t>
      </w:r>
      <w:r>
        <w:rPr>
          <w:i/>
          <w:iCs/>
          <w:sz w:val="20"/>
          <w:szCs w:val="20"/>
        </w:rPr>
        <w:t>“Risk Factor - Acquisitions may subject us to liability with regard to the creditors, customers, and shareholders of the sellers.”</w:t>
      </w:r>
      <w:r>
        <w:rPr>
          <w:sz w:val="20"/>
          <w:szCs w:val="20"/>
        </w:rPr>
        <w:t xml:space="preserve"> in Part 1, Item 1A of this Annual Report on Form 10-K.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From time to time, we may become involved in other lega</w:t>
      </w:r>
      <w:r>
        <w:rPr>
          <w:sz w:val="20"/>
          <w:szCs w:val="20"/>
        </w:rPr>
        <w:t>l proceedings arising in the ordinary course of our business. Including the proceedings described above, we are not presently a party to any legal proceedings that, in the opinion of our management, would individually or taken together have a material adve</w:t>
      </w:r>
      <w:r>
        <w:rPr>
          <w:sz w:val="20"/>
          <w:szCs w:val="20"/>
        </w:rPr>
        <w:t>rse effect on our business, consolidated results of operations, financial position or cash flows of the Company.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4. Mine Safety Disclosures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None.</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PART II</w:t>
      </w:r>
    </w:p>
    <w:p w:rsidR="00000000" w:rsidRDefault="00B30BA7">
      <w:pPr>
        <w:pStyle w:val="a3"/>
        <w:spacing w:before="0" w:beforeAutospacing="0" w:after="0" w:afterAutospacing="0"/>
        <w:rPr>
          <w:b/>
          <w:bCs/>
          <w:sz w:val="20"/>
          <w:szCs w:val="20"/>
        </w:rPr>
      </w:pPr>
      <w:r>
        <w:rPr>
          <w:b/>
          <w:bCs/>
          <w:sz w:val="20"/>
          <w:szCs w:val="20"/>
        </w:rPr>
        <w:t> </w:t>
      </w:r>
    </w:p>
    <w:p w:rsidR="00000000" w:rsidRDefault="00B30BA7">
      <w:pPr>
        <w:pStyle w:val="a3"/>
        <w:spacing w:before="0" w:beforeAutospacing="0" w:after="0" w:afterAutospacing="0"/>
        <w:jc w:val="both"/>
        <w:rPr>
          <w:b/>
          <w:bCs/>
          <w:sz w:val="20"/>
          <w:szCs w:val="20"/>
        </w:rPr>
      </w:pPr>
      <w:r>
        <w:rPr>
          <w:b/>
          <w:bCs/>
          <w:sz w:val="20"/>
          <w:szCs w:val="20"/>
        </w:rPr>
        <w:t>Item 5. Market for Registrant’s Common Equity, Related Stockholder Matters and Issuer Pur</w:t>
      </w:r>
      <w:r>
        <w:rPr>
          <w:b/>
          <w:bCs/>
          <w:sz w:val="20"/>
          <w:szCs w:val="20"/>
        </w:rPr>
        <w:t>chases of Equity Securities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common stock has been listed since July 23, 2014 and is trading on the Nasdaq Global Market under the symbol “MTBC”.</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5233248"/>
        </w:trPr>
        <w:tc>
          <w:tcPr>
            <w:tcW w:w="5000" w:type="pct"/>
            <w:hideMark/>
          </w:tcPr>
          <w:p w:rsidR="00000000" w:rsidRDefault="00B30BA7">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Common Stockholders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 xml:space="preserve">As of February 28, 2022, there were </w:t>
      </w:r>
      <w:r>
        <w:rPr>
          <w:color w:val="000000"/>
          <w:sz w:val="20"/>
          <w:szCs w:val="20"/>
        </w:rPr>
        <w:t xml:space="preserve">approximately 7,800 holders </w:t>
      </w:r>
      <w:r>
        <w:rPr>
          <w:sz w:val="20"/>
          <w:szCs w:val="20"/>
        </w:rPr>
        <w:t>of record of our common stock.</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Dividends on Common Stock</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We have not declared a cash dividend on our common stock since we became public on July 23, 2014, and currently we do not anticipate paying any cash dividends to holde</w:t>
      </w:r>
      <w:r>
        <w:rPr>
          <w:sz w:val="20"/>
          <w:szCs w:val="20"/>
        </w:rPr>
        <w:t>rs of our common stock in the foreseeable future. The Company is prohibited from paying any dividends on common stock without the prior written consent of its senior lender, SVB.</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Sales of Unregistered Securities</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There was no sale of unregistered equity</w:t>
      </w:r>
      <w:r>
        <w:rPr>
          <w:sz w:val="20"/>
          <w:szCs w:val="20"/>
        </w:rPr>
        <w:t xml:space="preserve"> securities during the year ended December 31, 2021.</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rPr>
          <w:sz w:val="20"/>
          <w:szCs w:val="20"/>
        </w:rPr>
      </w:pPr>
      <w:r>
        <w:rPr>
          <w:b/>
          <w:bCs/>
          <w:sz w:val="20"/>
          <w:szCs w:val="20"/>
        </w:rPr>
        <w:t>Purchases of Equity Securities by the Issuer and Affiliated Purchasers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There was no share repurchase activity during the three months ended December 31, 2021.</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Securities Authorized for Issuance und</w:t>
      </w:r>
      <w:r>
        <w:rPr>
          <w:b/>
          <w:bCs/>
          <w:sz w:val="20"/>
          <w:szCs w:val="20"/>
        </w:rPr>
        <w:t>er the Equity Compensation Plan</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As of December 31, 2021, the following table shows the number of securities to be issued upon vesting under the equity compensation plan approved by the Company’s Board of Directors.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20"/>
        <w:gridCol w:w="166"/>
        <w:gridCol w:w="83"/>
        <w:gridCol w:w="1661"/>
        <w:gridCol w:w="83"/>
        <w:gridCol w:w="166"/>
        <w:gridCol w:w="83"/>
        <w:gridCol w:w="1661"/>
        <w:gridCol w:w="83"/>
      </w:tblGrid>
      <w:tr w:rsidR="00000000">
        <w:tc>
          <w:tcPr>
            <w:tcW w:w="0" w:type="auto"/>
            <w:vAlign w:val="bottom"/>
            <w:hideMark/>
          </w:tcPr>
          <w:p w:rsidR="00000000" w:rsidRDefault="00B30BA7">
            <w:pPr>
              <w:rPr>
                <w:rFonts w:eastAsia="Times New Roman"/>
                <w:b/>
                <w:bCs/>
                <w:sz w:val="20"/>
                <w:szCs w:val="20"/>
              </w:rPr>
            </w:pPr>
            <w:r>
              <w:rPr>
                <w:rFonts w:eastAsia="Times New Roman"/>
                <w:b/>
                <w:bCs/>
                <w:sz w:val="20"/>
                <w:szCs w:val="20"/>
              </w:rPr>
              <w:t xml:space="preserve">Equity </w:t>
            </w:r>
            <w:r>
              <w:rPr>
                <w:rFonts w:eastAsia="Times New Roman"/>
                <w:b/>
                <w:bCs/>
                <w:sz w:val="20"/>
                <w:szCs w:val="20"/>
              </w:rPr>
              <w:t>Compensation Plan Information</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vAlign w:val="bottom"/>
            <w:hideMark/>
          </w:tcPr>
          <w:p w:rsidR="00000000" w:rsidRDefault="00B30BA7">
            <w:pPr>
              <w:rPr>
                <w:rFonts w:eastAsia="Times New Roman"/>
                <w:b/>
                <w:bCs/>
                <w:sz w:val="20"/>
                <w:szCs w:val="20"/>
              </w:rPr>
            </w:pPr>
            <w:r>
              <w:rPr>
                <w:rFonts w:eastAsia="Times New Roman"/>
                <w:b/>
                <w:bCs/>
                <w:sz w:val="20"/>
                <w:szCs w:val="20"/>
              </w:rPr>
              <w:t>Plan Category</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Number of securities to be issued upon vesting</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Number of securities remaining available for future issuance under equity incentive plan (excluding securities to be issued upon vesting)</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B30BA7">
            <w:pPr>
              <w:rPr>
                <w:rFonts w:eastAsia="Times New Roman"/>
                <w:sz w:val="20"/>
                <w:szCs w:val="20"/>
              </w:rPr>
            </w:pPr>
            <w:r>
              <w:rPr>
                <w:rFonts w:eastAsia="Times New Roman"/>
                <w:sz w:val="20"/>
                <w:szCs w:val="20"/>
              </w:rPr>
              <w:t>Equity compensation plan approved by security holders - common shares</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331,039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1,191,383</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Equity compensation plan approved by security holders - preferred shares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34,000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320,065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b/>
                <w:bCs/>
                <w:sz w:val="20"/>
                <w:szCs w:val="20"/>
              </w:rPr>
            </w:pPr>
            <w:r>
              <w:rPr>
                <w:rFonts w:eastAsia="Times New Roman"/>
                <w:b/>
                <w:bCs/>
                <w:sz w:val="20"/>
                <w:szCs w:val="20"/>
              </w:rPr>
              <w:t>365,039</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b/>
                <w:bCs/>
                <w:sz w:val="20"/>
                <w:szCs w:val="20"/>
              </w:rPr>
            </w:pPr>
            <w:r>
              <w:rPr>
                <w:rFonts w:eastAsia="Times New Roman"/>
                <w:b/>
                <w:bCs/>
                <w:sz w:val="20"/>
                <w:szCs w:val="20"/>
              </w:rPr>
              <w:t>1,511,448</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r>
    </w:tbl>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rPr>
          <w:b/>
          <w:bCs/>
          <w:sz w:val="20"/>
          <w:szCs w:val="20"/>
        </w:rPr>
      </w:pPr>
      <w:r>
        <w:rPr>
          <w:b/>
          <w:bCs/>
          <w:sz w:val="20"/>
          <w:szCs w:val="20"/>
        </w:rPr>
        <w:t xml:space="preserve">Item </w:t>
      </w:r>
      <w:r>
        <w:rPr>
          <w:b/>
          <w:bCs/>
          <w:sz w:val="20"/>
          <w:szCs w:val="20"/>
        </w:rPr>
        <w:t>6. [Reserved]</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03845977"/>
        </w:trPr>
        <w:tc>
          <w:tcPr>
            <w:tcW w:w="5000" w:type="pct"/>
            <w:hideMark/>
          </w:tcPr>
          <w:p w:rsidR="00000000" w:rsidRDefault="00B30BA7">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jc w:val="both"/>
        <w:rPr>
          <w:b/>
          <w:bCs/>
          <w:sz w:val="20"/>
          <w:szCs w:val="20"/>
        </w:rPr>
      </w:pPr>
      <w:r>
        <w:rPr>
          <w:b/>
          <w:bCs/>
          <w:sz w:val="20"/>
          <w:szCs w:val="20"/>
        </w:rPr>
        <w:t>Item 7. Management’s Discussion and Analysis of Financial Condition and Results of Operations</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 xml:space="preserve">The following is a discussion of our consolidated financial condition and results of operations for the years ended December 31, 2021 </w:t>
      </w:r>
      <w:r>
        <w:rPr>
          <w:sz w:val="20"/>
          <w:szCs w:val="20"/>
        </w:rPr>
        <w:t>and 2020 and other factors that are expected to affect our prospective financial condition. The following discussion and analysis should be read together with our Consolidated Financial Statements and related notes beginning on page F-1 of this Annual Repo</w:t>
      </w:r>
      <w:r>
        <w:rPr>
          <w:sz w:val="20"/>
          <w:szCs w:val="20"/>
        </w:rPr>
        <w:t>rt on Form 10-K.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Some of the statements set forth in this section are forward-looking statements relating to our future results of operations. Our actual results may vary from the results anticipated by these statements. Please see “</w:t>
      </w:r>
      <w:r>
        <w:rPr>
          <w:i/>
          <w:iCs/>
          <w:sz w:val="20"/>
          <w:szCs w:val="20"/>
        </w:rPr>
        <w:t>Forward-Looking State</w:t>
      </w:r>
      <w:r>
        <w:rPr>
          <w:i/>
          <w:iCs/>
          <w:sz w:val="20"/>
          <w:szCs w:val="20"/>
        </w:rPr>
        <w:t>ments</w:t>
      </w:r>
      <w:r>
        <w:rPr>
          <w:sz w:val="20"/>
          <w:szCs w:val="20"/>
        </w:rPr>
        <w:t>” on page 2 of this Annual Report on Form 10-K.</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rPr>
          <w:sz w:val="20"/>
          <w:szCs w:val="20"/>
        </w:rPr>
      </w:pPr>
      <w:r>
        <w:rPr>
          <w:b/>
          <w:bCs/>
          <w:sz w:val="20"/>
          <w:szCs w:val="20"/>
        </w:rPr>
        <w:t>Overview</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 xml:space="preserve">The Company is a healthcare information technology company that provides Software-as-a-Service offerings (“SaaS”) and technology-enabled business solutions, which are often bundled, but are </w:t>
      </w:r>
      <w:r>
        <w:rPr>
          <w:sz w:val="20"/>
          <w:szCs w:val="20"/>
        </w:rPr>
        <w:t>occasionally provided individually, together with related business services to healthcare providers and hospitals throughout the United States. Our integrated SaaS platform includes revenue cycle management (“RCM”), practice management (“PM”), electronic h</w:t>
      </w:r>
      <w:r>
        <w:rPr>
          <w:sz w:val="20"/>
          <w:szCs w:val="20"/>
        </w:rPr>
        <w:t>ealth record (“EHR”), business intelligence, telehealth, patient experience management (“PXM”) solutions and complementary software tools and business services for high-performance medical groups and health systems.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At a high level, these solutions can b</w:t>
      </w:r>
      <w:r>
        <w:rPr>
          <w:sz w:val="20"/>
          <w:szCs w:val="20"/>
        </w:rPr>
        <w:t>e categorized as follows:</w:t>
      </w:r>
    </w:p>
    <w:p w:rsidR="00000000" w:rsidRDefault="00B30BA7">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B30BA7">
            <w:pPr>
              <w:rPr>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Technology-enabled business solutions, which are often bundled but are occasionally provided individually, including:</w:t>
            </w:r>
          </w:p>
        </w:tc>
      </w:tr>
      <w:tr w:rsidR="00000000">
        <w:trPr>
          <w:tblCellSpacing w:w="0" w:type="dxa"/>
        </w:trPr>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EHRs, </w:t>
            </w:r>
            <w:r>
              <w:rPr>
                <w:rFonts w:eastAsia="Times New Roman"/>
                <w:sz w:val="20"/>
                <w:szCs w:val="20"/>
              </w:rPr>
              <w:t>which are easy to use, integrated with our business services or offered as Software-as-a-Service (“SaaS”) solutions, and allow our healthcare provider clients to deliver better patient care, document their clinical visits effectively and thus potentially q</w:t>
            </w:r>
            <w:r>
              <w:rPr>
                <w:rFonts w:eastAsia="Times New Roman"/>
                <w:sz w:val="20"/>
                <w:szCs w:val="20"/>
              </w:rPr>
              <w:t>ualify for government incentives, reduce documentation errors and reduce paperwork;</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PM software and related tools, which support our clients’ day-to-day business operations and workflows;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Mobile Health (“mHealth”</w:t>
            </w:r>
            <w:r>
              <w:rPr>
                <w:rFonts w:eastAsia="Times New Roman"/>
                <w:sz w:val="20"/>
                <w:szCs w:val="20"/>
              </w:rPr>
              <w:t>) solutions, including smartphone applications that assist patients and healthcare providers in the provision of healthcare services;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Telehealth solutions, which allow healthcare providers to conduct remote patient visits;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Healthcare claims clear</w:t>
            </w:r>
            <w:r>
              <w:rPr>
                <w:rFonts w:eastAsia="Times New Roman"/>
                <w:sz w:val="20"/>
                <w:szCs w:val="20"/>
              </w:rPr>
              <w:t>inghouse, which enables our clients to electronically scrub and submit claims to, and process payments from, insurance companies;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Business intelligence, customized applications, interfaces and a variety of other technology solutions that support our h</w:t>
            </w:r>
            <w:r>
              <w:rPr>
                <w:rFonts w:eastAsia="Times New Roman"/>
                <w:sz w:val="20"/>
                <w:szCs w:val="20"/>
              </w:rPr>
              <w:t>ealthcare clients;</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RCM services, which include end-to-end medical billing, eligibility, analytics, and related services, all of which can often be provided either with our technology platform or through a third-party system; and</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Professional services consisting of application and advisory services, revenue cycle services, data analytic services and educational training services.</w:t>
            </w:r>
          </w:p>
        </w:tc>
      </w:tr>
      <w:tr w:rsidR="00000000">
        <w:trPr>
          <w:tblCellSpacing w:w="0" w:type="dxa"/>
        </w:trPr>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bl>
    <w:p w:rsidR="00000000" w:rsidRDefault="00B30BA7">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B30BA7">
            <w:pPr>
              <w:rPr>
                <w:rFonts w:eastAsia="Times New Roman"/>
                <w:sz w:val="20"/>
                <w:szCs w:val="20"/>
              </w:rPr>
            </w:pP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Medical </w:t>
            </w:r>
            <w:r>
              <w:rPr>
                <w:rFonts w:eastAsia="Times New Roman"/>
                <w:sz w:val="20"/>
                <w:szCs w:val="20"/>
              </w:rPr>
              <w:t xml:space="preserve">practice management services are provided to medical practices. In this service model, we provide the medical practice with appropriate facilities, equipment, supplies, support services, nurses and administrative support staff. We also provide management, </w:t>
            </w:r>
            <w:r>
              <w:rPr>
                <w:rFonts w:eastAsia="Times New Roman"/>
                <w:sz w:val="20"/>
                <w:szCs w:val="20"/>
              </w:rPr>
              <w:t>bill-paying and financial advisory services.</w:t>
            </w:r>
          </w:p>
        </w:tc>
      </w:tr>
    </w:tbl>
    <w:p w:rsidR="00000000" w:rsidRDefault="00B30BA7">
      <w:pPr>
        <w:pStyle w:val="a3"/>
        <w:spacing w:before="0" w:beforeAutospacing="0" w:after="0" w:afterAutospacing="0"/>
        <w:ind w:left="72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offshore operations in Pakistan and Sri Lanka together accounted for approximately 11% and 10% of total expenses for the years ended December 31, 2021 and 2020, respectively. A significant portion of thos</w:t>
      </w:r>
      <w:r>
        <w:rPr>
          <w:sz w:val="20"/>
          <w:szCs w:val="20"/>
        </w:rPr>
        <w:t>e expenses were personnel-related costs (approximately 80% and 79% of foreign costs for the years ended December 31, 2021 and 2020, respectively). Because personnel-related costs are significantly lower in Pakistan and Sri Lanka than in the U.S. and many o</w:t>
      </w:r>
      <w:r>
        <w:rPr>
          <w:sz w:val="20"/>
          <w:szCs w:val="20"/>
        </w:rPr>
        <w:t>ther offshore locations, we believe our offshore operations give us a competitive advantage over many industry participants. All of the medical billing companies that we have acquired used domestic labor or subcontractors from higher cost locations to prov</w:t>
      </w:r>
      <w:r>
        <w:rPr>
          <w:sz w:val="20"/>
          <w:szCs w:val="20"/>
        </w:rPr>
        <w:t>ide all or a substantial portion of their services. We are able to achieve significant cost reductions as we shift these labor costs to our offshore operations.</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48595102"/>
        </w:trPr>
        <w:tc>
          <w:tcPr>
            <w:tcW w:w="5000" w:type="pct"/>
            <w:hideMark/>
          </w:tcPr>
          <w:p w:rsidR="00000000" w:rsidRDefault="00B30BA7">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rPr>
          <w:sz w:val="20"/>
          <w:szCs w:val="20"/>
        </w:rPr>
      </w:pPr>
      <w:r>
        <w:rPr>
          <w:b/>
          <w:bCs/>
          <w:sz w:val="20"/>
          <w:szCs w:val="20"/>
        </w:rPr>
        <w:t> </w:t>
      </w:r>
    </w:p>
    <w:p w:rsidR="00000000" w:rsidRDefault="00B30BA7">
      <w:pPr>
        <w:pStyle w:val="a3"/>
        <w:shd w:val="clear" w:color="auto" w:fill="FFFFFF"/>
        <w:spacing w:before="0" w:beforeAutospacing="0" w:after="0" w:afterAutospacing="0"/>
        <w:rPr>
          <w:sz w:val="20"/>
          <w:szCs w:val="20"/>
        </w:rPr>
      </w:pPr>
      <w:r>
        <w:rPr>
          <w:b/>
          <w:bCs/>
          <w:sz w:val="20"/>
          <w:szCs w:val="20"/>
        </w:rPr>
        <w:t>Key Performance Measures</w:t>
      </w:r>
    </w:p>
    <w:p w:rsidR="00000000" w:rsidRDefault="00B30BA7">
      <w:pPr>
        <w:pStyle w:val="a3"/>
        <w:shd w:val="clear" w:color="auto" w:fill="FFFFFF"/>
        <w:spacing w:before="0" w:beforeAutospacing="0" w:after="0" w:afterAutospacing="0"/>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 xml:space="preserve">consider numerous factors in assessing our performance. Key performance measures used by management include adjusted EBITDA, adjusted operating income, adjusted operating margin, adjusted net income and adjusted net income per share. These key performance </w:t>
      </w:r>
      <w:r>
        <w:rPr>
          <w:sz w:val="20"/>
          <w:szCs w:val="20"/>
        </w:rPr>
        <w:t>measures are non-GAAP financial measures, which we believe better enable management and investors to analyze and compare the underlying business results from period to period.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These non-GAAP financial measures should not be considered in isolation, or as</w:t>
      </w:r>
      <w:r>
        <w:rPr>
          <w:sz w:val="20"/>
          <w:szCs w:val="20"/>
        </w:rPr>
        <w:t xml:space="preserve"> a substitute for or superior to, financial measures calculated in accordance with accounting principles generally accepted in the United States of America (“GAAP”). Moreover, these non-GAAP financial measures have limitations in that they do not reflect a</w:t>
      </w:r>
      <w:r>
        <w:rPr>
          <w:sz w:val="20"/>
          <w:szCs w:val="20"/>
        </w:rPr>
        <w:t>ll the items associated with the operations of our business as determined in accordance with GAAP. We compensate for these limitations by analyzing current and future results on a GAAP basis, as well as a non-GAAP basis, and we provide reconciliations from</w:t>
      </w:r>
      <w:r>
        <w:rPr>
          <w:sz w:val="20"/>
          <w:szCs w:val="20"/>
        </w:rPr>
        <w:t xml:space="preserve"> the most directly comparable GAAP financial measures to the non-GAAP financial measures. Our non-GAAP financial measures may not be comparable to similarly titled measures of other companies. Other companies, including companies in our industry, may calcu</w:t>
      </w:r>
      <w:r>
        <w:rPr>
          <w:sz w:val="20"/>
          <w:szCs w:val="20"/>
        </w:rPr>
        <w:t>late similarly titled non-GAAP financial measures differently than we do, limiting the usefulness of those measures for comparative purposes.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Adjusted EBITDA, adjusted operating income, adjusted operating margin, adjusted net income and adjusted net inco</w:t>
      </w:r>
      <w:r>
        <w:rPr>
          <w:sz w:val="20"/>
          <w:szCs w:val="20"/>
        </w:rPr>
        <w:t>me per share provide an alternative view of performance used by management and we believe that an investor’s understanding of our performance is enhanced by disclosing these adjusted performance measures.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Adjusted EBITDA excludes the following elements w</w:t>
      </w:r>
      <w:r>
        <w:rPr>
          <w:sz w:val="20"/>
          <w:szCs w:val="20"/>
        </w:rPr>
        <w:t>hich are included in GAAP net income (loss):</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Income tax provision (benefit) or the cash requirements to pay our taxes;</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 xml:space="preserve">Interest </w:t>
            </w:r>
            <w:r>
              <w:rPr>
                <w:rFonts w:eastAsia="Times New Roman"/>
                <w:sz w:val="20"/>
                <w:szCs w:val="20"/>
              </w:rPr>
              <w:t>expense or the cash requirements necessary to service interest on principal payments on our debt;</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Foreign exchange (gains) and losses and other non-operating expenses;</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 xml:space="preserve">Stock-based compensation expense and cash-settled awards, based on changes in </w:t>
            </w:r>
            <w:r>
              <w:rPr>
                <w:rFonts w:eastAsia="Times New Roman"/>
                <w:sz w:val="20"/>
                <w:szCs w:val="20"/>
              </w:rPr>
              <w:t>the stock price;</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Depreciation and amortization charges;</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and transaction costs, such as brokerage fees, pre-acquisition accounting costs and legal fees, exit costs related to contractual agreements;</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Loss on lease termination, impair</w:t>
            </w:r>
            <w:r>
              <w:rPr>
                <w:rFonts w:eastAsia="Times New Roman"/>
                <w:sz w:val="20"/>
                <w:szCs w:val="20"/>
              </w:rPr>
              <w:t>ment and unoccupied lease charges; and</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Changes in contingent consideration.</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Set forth below is a presentation of our adjusted EBITDA for the years ended December 31, 2021 and 2020:</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xml:space="preserve">($ </w:t>
            </w:r>
            <w:r>
              <w:rPr>
                <w:rFonts w:eastAsia="Times New Roman"/>
                <w:sz w:val="20"/>
                <w:szCs w:val="20"/>
              </w:rPr>
              <w:t>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139,599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105,122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GAAP net income (loss)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2,836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(8,813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Provision for income taxes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157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Foreign </w:t>
            </w:r>
            <w:r>
              <w:rPr>
                <w:rFonts w:eastAsia="Times New Roman"/>
                <w:sz w:val="20"/>
                <w:szCs w:val="20"/>
              </w:rPr>
              <w:t>exchange loss / other expense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71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5,396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6,502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12,195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9,905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1,364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2,694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Loss </w:t>
            </w:r>
            <w:r>
              <w:rPr>
                <w:rFonts w:eastAsia="Times New Roman"/>
                <w:sz w:val="20"/>
                <w:szCs w:val="20"/>
              </w:rPr>
              <w:t>on lease termination, 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Adjusted EBITDA</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b/>
                <w:bCs/>
                <w:sz w:val="20"/>
                <w:szCs w:val="20"/>
              </w:rPr>
            </w:pPr>
            <w:r>
              <w:rPr>
                <w:rFonts w:eastAsia="Times New Roman"/>
                <w:b/>
                <w:bCs/>
                <w:sz w:val="20"/>
                <w:szCs w:val="20"/>
              </w:rPr>
              <w:t>22,119</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b/>
                <w:bCs/>
                <w:sz w:val="20"/>
                <w:szCs w:val="20"/>
              </w:rPr>
            </w:pPr>
            <w:r>
              <w:rPr>
                <w:rFonts w:eastAsia="Times New Roman"/>
                <w:b/>
                <w:bCs/>
                <w:sz w:val="20"/>
                <w:szCs w:val="20"/>
              </w:rPr>
              <w:t>10,871</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07975526"/>
        </w:trPr>
        <w:tc>
          <w:tcPr>
            <w:tcW w:w="5000" w:type="pct"/>
            <w:hideMark/>
          </w:tcPr>
          <w:p w:rsidR="00000000" w:rsidRDefault="00B30BA7">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which are included in GAAP operating income (loss):</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Stock-based compensation expense and cash-settled awards, based on changes in the stock price;</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Amortization of purch</w:t>
            </w:r>
            <w:r>
              <w:rPr>
                <w:rFonts w:eastAsia="Times New Roman"/>
                <w:sz w:val="20"/>
                <w:szCs w:val="20"/>
              </w:rPr>
              <w:t>ased intangible assets;</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Integration costs, such as severance amounts paid to employees from acquired businesses and transaction costs, such as brokerage fees, pre-acquisition accounting costs and legal fees, exit costs related to contractual agreement</w:t>
            </w:r>
            <w:r>
              <w:rPr>
                <w:rFonts w:eastAsia="Times New Roman"/>
                <w:sz w:val="20"/>
                <w:szCs w:val="20"/>
              </w:rPr>
              <w:t>s;</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Loss on lease termination, impairment and unoccupied lease charges; and</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Changes in contingent consideration.</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presentation of our adjusted operating income and adjusted operating margin, which represents adjusted operating income as a percentage of net revenue, for the years ended December 31, 2021 and 2020:</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20"/>
        <w:gridCol w:w="66"/>
        <w:gridCol w:w="100"/>
        <w:gridCol w:w="996"/>
        <w:gridCol w:w="167"/>
        <w:gridCol w:w="66"/>
        <w:gridCol w:w="100"/>
        <w:gridCol w:w="996"/>
        <w:gridCol w:w="234"/>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139,599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105,122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GAAP net income (loss)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2,836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(8,813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Provision for income taxes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440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446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Other </w:t>
            </w:r>
            <w:r>
              <w:rPr>
                <w:rFonts w:eastAsia="Times New Roman"/>
                <w:sz w:val="20"/>
                <w:szCs w:val="20"/>
              </w:rPr>
              <w:t>expense (income) - net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GAAP operating income (loss)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3,529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(8,271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5,396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6,502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Amortization </w:t>
            </w:r>
            <w:r>
              <w:rPr>
                <w:rFonts w:eastAsia="Times New Roman"/>
                <w:sz w:val="20"/>
                <w:szCs w:val="20"/>
              </w:rPr>
              <w:t>of purchased intangible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8,880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8,127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1,364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2,694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Change </w:t>
            </w:r>
            <w:r>
              <w:rPr>
                <w:rFonts w:eastAsia="Times New Roman"/>
                <w:sz w:val="20"/>
                <w:szCs w:val="20"/>
              </w:rPr>
              <w:t>in contingent consideration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Non-GAAP adjusted operating income</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b/>
                <w:bCs/>
                <w:sz w:val="20"/>
                <w:szCs w:val="20"/>
              </w:rPr>
            </w:pPr>
            <w:r>
              <w:rPr>
                <w:rFonts w:eastAsia="Times New Roman"/>
                <w:b/>
                <w:bCs/>
                <w:sz w:val="20"/>
                <w:szCs w:val="20"/>
              </w:rPr>
              <w:t>18,659</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b/>
                <w:bCs/>
                <w:sz w:val="20"/>
                <w:szCs w:val="20"/>
              </w:rPr>
            </w:pPr>
            <w:r>
              <w:rPr>
                <w:rFonts w:eastAsia="Times New Roman"/>
                <w:b/>
                <w:bCs/>
                <w:sz w:val="20"/>
                <w:szCs w:val="20"/>
              </w:rPr>
              <w:t>9,015</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Foreign exchange (gains) and losses and other non-operating expenses;</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Stock-based compensation expense and cash-settled awar</w:t>
            </w:r>
            <w:r>
              <w:rPr>
                <w:rFonts w:eastAsia="Times New Roman"/>
                <w:sz w:val="20"/>
                <w:szCs w:val="20"/>
              </w:rPr>
              <w:t>ds, based on changes in the stock price;</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Amortization of purchased intangible assets;</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and transaction costs, such as brokerage fees, pre-acquisition accounting costs and legal fees, exit costs related to contractual agreements;</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Loss on lease termination, impair</w:t>
            </w:r>
            <w:r>
              <w:rPr>
                <w:rFonts w:eastAsia="Times New Roman"/>
                <w:sz w:val="20"/>
                <w:szCs w:val="20"/>
              </w:rPr>
              <w:t>ment and unoccupied lease charges;</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Changes in contingent consideration; and</w:t>
            </w:r>
          </w:p>
        </w:tc>
      </w:tr>
    </w:tbl>
    <w:p w:rsidR="00000000" w:rsidRDefault="00B30BA7">
      <w:pPr>
        <w:rPr>
          <w:rFonts w:eastAsia="Times New Roman"/>
          <w:vanish/>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shd w:val="clear" w:color="auto" w:fill="FFFFFF"/>
            <w:hideMark/>
          </w:tcPr>
          <w:p w:rsidR="00000000" w:rsidRDefault="00B30BA7">
            <w:pPr>
              <w:rPr>
                <w:rFonts w:eastAsia="Times New Roman"/>
                <w:sz w:val="20"/>
                <w:szCs w:val="20"/>
              </w:rPr>
            </w:pPr>
          </w:p>
        </w:tc>
        <w:tc>
          <w:tcPr>
            <w:tcW w:w="360" w:type="dxa"/>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hideMark/>
          </w:tcPr>
          <w:p w:rsidR="00000000" w:rsidRDefault="00B30BA7">
            <w:pPr>
              <w:jc w:val="both"/>
              <w:rPr>
                <w:rFonts w:eastAsia="Times New Roman"/>
                <w:sz w:val="20"/>
                <w:szCs w:val="20"/>
              </w:rPr>
            </w:pPr>
            <w:r>
              <w:rPr>
                <w:rFonts w:eastAsia="Times New Roman"/>
                <w:sz w:val="20"/>
                <w:szCs w:val="20"/>
              </w:rPr>
              <w:t>Income tax expense (benefit) resulting from the amortization of goodwill related to our acquisitions.</w:t>
            </w:r>
          </w:p>
        </w:tc>
      </w:tr>
    </w:tbl>
    <w:p w:rsidR="00000000" w:rsidRDefault="00B30BA7">
      <w:pPr>
        <w:pStyle w:val="a3"/>
        <w:shd w:val="clear" w:color="auto" w:fill="FFFFFF"/>
        <w:spacing w:before="0" w:beforeAutospacing="0" w:after="0" w:afterAutospacing="0"/>
        <w:ind w:left="72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color w:val="000000"/>
          <w:sz w:val="20"/>
          <w:szCs w:val="20"/>
          <w:shd w:val="clear" w:color="auto" w:fill="FFFFFF"/>
        </w:rPr>
        <w:t xml:space="preserve">No </w:t>
      </w:r>
      <w:r>
        <w:rPr>
          <w:color w:val="000000"/>
          <w:sz w:val="20"/>
          <w:szCs w:val="20"/>
          <w:shd w:val="clear" w:color="auto" w:fill="FFFFFF"/>
        </w:rPr>
        <w:t xml:space="preserve">tax effect has been provided in computing non-GAAP adjusted net income and non-GAAP adjusted net income per share as the Company has sufficient carry forward losses to offset the applicable income taxes. </w:t>
      </w:r>
      <w:r>
        <w:rPr>
          <w:sz w:val="20"/>
          <w:szCs w:val="20"/>
        </w:rPr>
        <w:t xml:space="preserve">The </w:t>
      </w:r>
      <w:r>
        <w:rPr>
          <w:sz w:val="20"/>
          <w:szCs w:val="20"/>
        </w:rPr>
        <w:t>following table shows our reconciliation of GAAP net income (loss) to non-GAAP adjusted net income for the years ended December 31, 2021 and 2020:</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71907220"/>
        </w:trPr>
        <w:tc>
          <w:tcPr>
            <w:tcW w:w="5000" w:type="pct"/>
            <w:hideMark/>
          </w:tcPr>
          <w:p w:rsidR="00000000" w:rsidRDefault="00B30BA7">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477"/>
        <w:gridCol w:w="142"/>
        <w:gridCol w:w="100"/>
        <w:gridCol w:w="1188"/>
        <w:gridCol w:w="68"/>
        <w:gridCol w:w="143"/>
        <w:gridCol w:w="100"/>
        <w:gridCol w:w="1189"/>
        <w:gridCol w:w="68"/>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xml:space="preserve">($ </w:t>
            </w:r>
            <w:r>
              <w:rPr>
                <w:rFonts w:eastAsia="Times New Roman"/>
                <w:sz w:val="20"/>
                <w:szCs w:val="20"/>
              </w:rPr>
              <w:t>in thousands except for per share amounts)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GAAP net income (loss)</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2,836</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(8,813</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71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5,396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6,502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8,880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8,127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1,364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2,694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Change </w:t>
            </w:r>
            <w:r>
              <w:rPr>
                <w:rFonts w:eastAsia="Times New Roman"/>
                <w:sz w:val="20"/>
                <w:szCs w:val="20"/>
              </w:rPr>
              <w:t>in contingent consideration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Income tax expense (benefit) related to goodwill</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290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Non-GAAP adjusted net income</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b/>
                <w:bCs/>
                <w:sz w:val="20"/>
                <w:szCs w:val="20"/>
              </w:rPr>
            </w:pPr>
            <w:r>
              <w:rPr>
                <w:rFonts w:eastAsia="Times New Roman"/>
                <w:b/>
                <w:bCs/>
                <w:sz w:val="20"/>
                <w:szCs w:val="20"/>
              </w:rPr>
              <w:t>18,497</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b/>
                <w:bCs/>
                <w:sz w:val="20"/>
                <w:szCs w:val="20"/>
              </w:rPr>
            </w:pPr>
            <w:r>
              <w:rPr>
                <w:rFonts w:eastAsia="Times New Roman"/>
                <w:b/>
                <w:bCs/>
                <w:sz w:val="20"/>
                <w:szCs w:val="20"/>
              </w:rPr>
              <w:t>8,459</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r>
    </w:tbl>
    <w:p w:rsidR="00000000" w:rsidRDefault="00B30BA7">
      <w:pPr>
        <w:pStyle w:val="a3"/>
        <w:shd w:val="clear" w:color="auto" w:fill="FFFFFF"/>
        <w:spacing w:before="0" w:beforeAutospacing="0" w:after="0" w:afterAutospacing="0"/>
        <w:rPr>
          <w:sz w:val="20"/>
          <w:szCs w:val="20"/>
        </w:rPr>
      </w:pPr>
      <w:r>
        <w:rPr>
          <w:b/>
          <w:bCs/>
          <w:sz w:val="20"/>
          <w:szCs w:val="20"/>
        </w:rPr>
        <w:t> </w:t>
      </w:r>
    </w:p>
    <w:tbl>
      <w:tblPr>
        <w:tblW w:w="4500" w:type="pct"/>
        <w:tblCellMar>
          <w:left w:w="0" w:type="dxa"/>
          <w:right w:w="0" w:type="dxa"/>
        </w:tblCellMar>
        <w:tblLook w:val="04A0" w:firstRow="1" w:lastRow="0" w:firstColumn="1" w:lastColumn="0" w:noHBand="0" w:noVBand="1"/>
      </w:tblPr>
      <w:tblGrid>
        <w:gridCol w:w="4477"/>
        <w:gridCol w:w="142"/>
        <w:gridCol w:w="100"/>
        <w:gridCol w:w="1188"/>
        <w:gridCol w:w="68"/>
        <w:gridCol w:w="143"/>
        <w:gridCol w:w="100"/>
        <w:gridCol w:w="1189"/>
        <w:gridCol w:w="68"/>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GAAP </w:t>
            </w:r>
            <w:r>
              <w:rPr>
                <w:rFonts w:eastAsia="Times New Roman"/>
                <w:sz w:val="20"/>
                <w:szCs w:val="20"/>
              </w:rPr>
              <w:t>net loss attributable to common shareholders, per share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(0.77</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(1.79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Impact of preferred stock dividend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0.96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Net income (loss) per end-of-period share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0.19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(0.66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Foreign </w:t>
            </w:r>
            <w:r>
              <w:rPr>
                <w:rFonts w:eastAsia="Times New Roman"/>
                <w:sz w:val="20"/>
                <w:szCs w:val="20"/>
              </w:rPr>
              <w:t>exchange loss / other expense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0.36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0.49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0.60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0.60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0.09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0.20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Loss </w:t>
            </w:r>
            <w:r>
              <w:rPr>
                <w:rFonts w:eastAsia="Times New Roman"/>
                <w:sz w:val="20"/>
                <w:szCs w:val="20"/>
              </w:rPr>
              <w:t>on lease termination, 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(0.17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(0.07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Income tax expense (benefit) related to goodwill</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Non-GAAP </w:t>
            </w:r>
            <w:r>
              <w:rPr>
                <w:rFonts w:eastAsia="Times New Roman"/>
                <w:sz w:val="20"/>
                <w:szCs w:val="20"/>
              </w:rPr>
              <w:t>adjusted earnings per share</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b/>
                <w:bCs/>
                <w:sz w:val="20"/>
                <w:szCs w:val="20"/>
              </w:rPr>
            </w:pPr>
            <w:r>
              <w:rPr>
                <w:rFonts w:eastAsia="Times New Roman"/>
                <w:b/>
                <w:bCs/>
                <w:sz w:val="20"/>
                <w:szCs w:val="20"/>
              </w:rPr>
              <w:t>1.24</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b/>
                <w:bCs/>
                <w:sz w:val="20"/>
                <w:szCs w:val="20"/>
              </w:rPr>
            </w:pPr>
            <w:r>
              <w:rPr>
                <w:rFonts w:eastAsia="Times New Roman"/>
                <w:b/>
                <w:bCs/>
                <w:sz w:val="20"/>
                <w:szCs w:val="20"/>
              </w:rPr>
              <w:t>0.63</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End-of-period common shares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14,916,842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13,380,245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In-the-money warrants and outstanding unvested RSUs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684,528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3,392,575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Total </w:t>
            </w:r>
            <w:r>
              <w:rPr>
                <w:rFonts w:eastAsia="Times New Roman"/>
                <w:sz w:val="20"/>
                <w:szCs w:val="20"/>
              </w:rPr>
              <w:t>fully diluted shares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15,601,370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16,772,820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Non-GAAP adjusted diluted earnings per share</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b/>
                <w:bCs/>
                <w:sz w:val="20"/>
                <w:szCs w:val="20"/>
              </w:rPr>
            </w:pPr>
            <w:r>
              <w:rPr>
                <w:rFonts w:eastAsia="Times New Roman"/>
                <w:b/>
                <w:bCs/>
                <w:sz w:val="20"/>
                <w:szCs w:val="20"/>
              </w:rPr>
              <w:t>1.19</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b/>
                <w:bCs/>
                <w:sz w:val="20"/>
                <w:szCs w:val="20"/>
              </w:rPr>
            </w:pPr>
            <w:r>
              <w:rPr>
                <w:rFonts w:eastAsia="Times New Roman"/>
                <w:b/>
                <w:bCs/>
                <w:sz w:val="20"/>
                <w:szCs w:val="20"/>
              </w:rPr>
              <w:t>0.50</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r>
    </w:tbl>
    <w:p w:rsidR="00000000" w:rsidRDefault="00B30BA7">
      <w:pPr>
        <w:pStyle w:val="a3"/>
        <w:shd w:val="clear" w:color="auto" w:fill="FFFFFF"/>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earnings per share, the Company used the number of common shares outstanding at the end of December 31, 2021 and 2020. Non-GAAP adjusted diluted earnings per share was computed using an as-converted method and incl</w:t>
      </w:r>
      <w:r>
        <w:rPr>
          <w:sz w:val="20"/>
          <w:szCs w:val="20"/>
          <w:shd w:val="clear" w:color="auto" w:fill="FFFFFF"/>
        </w:rPr>
        <w:t>udes warrants that are in-the-money as of that date as well as outstanding unvested RSUs. Non-GAAP adjusted earnings per share and non-GAAP adjusted diluted earnings per share do not take into account dividends paid on Preferred Stock. No tax effect has be</w:t>
      </w:r>
      <w:r>
        <w:rPr>
          <w:sz w:val="20"/>
          <w:szCs w:val="20"/>
          <w:shd w:val="clear" w:color="auto" w:fill="FFFFFF"/>
        </w:rPr>
        <w:t>en provided in computing non-GAAP adjusted earnings per share and non-GAAP adjusted diluted earnings per share as the Company has sufficient carry forward net operating losses to offset the applicable income taxes.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6169093"/>
        </w:trPr>
        <w:tc>
          <w:tcPr>
            <w:tcW w:w="5000" w:type="pct"/>
            <w:hideMark/>
          </w:tcPr>
          <w:p w:rsidR="00000000" w:rsidRDefault="00B30BA7">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shd w:val="clear" w:color="auto" w:fill="FFFFFF"/>
        </w:rPr>
        <w:t xml:space="preserve">Consolidated </w:t>
      </w:r>
      <w:r>
        <w:rPr>
          <w:b/>
          <w:bCs/>
          <w:sz w:val="20"/>
          <w:szCs w:val="20"/>
          <w:shd w:val="clear" w:color="auto" w:fill="FFFFFF"/>
        </w:rPr>
        <w:t>Statements of Operations Data</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21"/>
        <w:gridCol w:w="50"/>
        <w:gridCol w:w="100"/>
        <w:gridCol w:w="900"/>
        <w:gridCol w:w="67"/>
        <w:gridCol w:w="50"/>
        <w:gridCol w:w="100"/>
        <w:gridCol w:w="900"/>
        <w:gridCol w:w="67"/>
        <w:gridCol w:w="50"/>
        <w:gridCol w:w="100"/>
        <w:gridCol w:w="900"/>
        <w:gridCol w:w="67"/>
        <w:gridCol w:w="50"/>
        <w:gridCol w:w="100"/>
        <w:gridCol w:w="900"/>
        <w:gridCol w:w="67"/>
        <w:gridCol w:w="50"/>
        <w:gridCol w:w="100"/>
        <w:gridCol w:w="900"/>
        <w:gridCol w:w="67"/>
      </w:tblGrid>
      <w:tr w:rsidR="00000000">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Years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2019</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2018</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2017</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18"/>
            <w:vAlign w:val="bottom"/>
            <w:hideMark/>
          </w:tcPr>
          <w:p w:rsidR="00000000" w:rsidRDefault="00B30BA7">
            <w:pPr>
              <w:jc w:val="center"/>
              <w:rPr>
                <w:rFonts w:eastAsia="Times New Roman"/>
                <w:sz w:val="20"/>
                <w:szCs w:val="20"/>
              </w:rPr>
            </w:pPr>
            <w:r>
              <w:rPr>
                <w:rFonts w:eastAsia="Times New Roman"/>
                <w:sz w:val="20"/>
                <w:szCs w:val="20"/>
              </w:rPr>
              <w:t>($ in thousands, except per share data)</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B30BA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139,599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105,122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64,439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50,546</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31,811</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86,918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64,821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41,186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31,253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17,679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8,786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6,582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1,522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1,612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1,106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24,273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22,811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17,912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16,264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11,738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4,408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9,311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871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1,029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1,082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73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152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12,195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9,905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3,006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2,854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4,300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219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276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Total </w:t>
            </w:r>
            <w:r>
              <w:rPr>
                <w:rFonts w:eastAsia="Times New Roman"/>
                <w:sz w:val="20"/>
                <w:szCs w:val="20"/>
              </w:rPr>
              <w:t>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136,070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113,393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64,372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53,085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36,333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3,529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(8,271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(2,539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(4,522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(121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(250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(1,307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(96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(625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494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332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Income (loss) before provision for income taxes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2,993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(8,710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(2,295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(5,497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Income tax provision (benefit)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157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193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(157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Net income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2,836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(8,813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(872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(2,138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(5,565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Preferred stock dividend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14,052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13,877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6,386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4,824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2,030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Net loss attributable to common shareholders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(11,216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(22,690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(7,258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(6,962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(7,595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Weighted average common shares outstanding basic and diluted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14,541,061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12,678,845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12,087,947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11,721,232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11,010,432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Net loss per common share: basic and diluted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(0.77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(0.60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(0.59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(0.69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Consolidated Balance Sheet Data</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1"/>
        <w:gridCol w:w="160"/>
        <w:gridCol w:w="100"/>
        <w:gridCol w:w="742"/>
        <w:gridCol w:w="77"/>
        <w:gridCol w:w="160"/>
        <w:gridCol w:w="100"/>
        <w:gridCol w:w="742"/>
        <w:gridCol w:w="78"/>
        <w:gridCol w:w="161"/>
        <w:gridCol w:w="100"/>
        <w:gridCol w:w="743"/>
        <w:gridCol w:w="78"/>
        <w:gridCol w:w="161"/>
        <w:gridCol w:w="100"/>
        <w:gridCol w:w="743"/>
        <w:gridCol w:w="78"/>
        <w:gridCol w:w="161"/>
        <w:gridCol w:w="100"/>
        <w:gridCol w:w="743"/>
        <w:gridCol w:w="78"/>
      </w:tblGrid>
      <w:tr w:rsidR="00000000">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As of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2019</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2018</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2017</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18"/>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B30BA7">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10,340</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20,925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19,994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14,472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4,362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Working capital - net (1)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5,997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15,795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19,823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17,916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4,608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Total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140,848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137,999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56,402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47,623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25,526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Long-term debt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222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121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97,931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101,245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42,837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38,870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20,250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 xml:space="preserve">(1) </w:t>
      </w:r>
      <w:r>
        <w:rPr>
          <w:sz w:val="20"/>
          <w:szCs w:val="20"/>
        </w:rPr>
        <w:t>Working capital-net is defined as current assets less current liabilities.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Other Financial Data</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To provide investors with additional insight and allow for a more comprehensive understanding of the information used by management in its financial and ope</w:t>
      </w:r>
      <w:r>
        <w:rPr>
          <w:sz w:val="20"/>
          <w:szCs w:val="20"/>
        </w:rPr>
        <w:t>rational decision-making, we supplement our consolidated financial statements presented on a basis consistent with U.S. generally accepted accounting principles, or GAAP, with adjusted EBITDA, (previously defined), a non-GAAP financial measure of earnings.</w:t>
      </w:r>
      <w:r>
        <w:rPr>
          <w:sz w:val="20"/>
          <w:szCs w:val="20"/>
        </w:rPr>
        <w:t xml:space="preserve"> </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1"/>
        <w:gridCol w:w="160"/>
        <w:gridCol w:w="100"/>
        <w:gridCol w:w="742"/>
        <w:gridCol w:w="77"/>
        <w:gridCol w:w="160"/>
        <w:gridCol w:w="100"/>
        <w:gridCol w:w="742"/>
        <w:gridCol w:w="78"/>
        <w:gridCol w:w="161"/>
        <w:gridCol w:w="100"/>
        <w:gridCol w:w="743"/>
        <w:gridCol w:w="78"/>
        <w:gridCol w:w="161"/>
        <w:gridCol w:w="100"/>
        <w:gridCol w:w="743"/>
        <w:gridCol w:w="78"/>
        <w:gridCol w:w="161"/>
        <w:gridCol w:w="100"/>
        <w:gridCol w:w="743"/>
        <w:gridCol w:w="78"/>
      </w:tblGrid>
      <w:tr w:rsidR="00000000">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Years ended December 31,</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2017</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18"/>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1750" w:type="pct"/>
            <w:shd w:val="clear" w:color="auto" w:fill="CCEEFF"/>
            <w:tcMar>
              <w:top w:w="0" w:type="dxa"/>
              <w:left w:w="108"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Adjusted EBITDA</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22,119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10,871</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8,101</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4,802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2,291</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33781969"/>
        </w:trPr>
        <w:tc>
          <w:tcPr>
            <w:tcW w:w="5000" w:type="pct"/>
            <w:hideMark/>
          </w:tcPr>
          <w:p w:rsidR="00000000" w:rsidRDefault="00B30BA7">
            <w:pPr>
              <w:jc w:val="center"/>
              <w:rPr>
                <w:rFonts w:eastAsia="Times New Roman"/>
                <w:sz w:val="20"/>
                <w:szCs w:val="20"/>
              </w:rPr>
            </w:pPr>
            <w:r>
              <w:rPr>
                <w:rFonts w:eastAsia="Times New Roman"/>
                <w:sz w:val="20"/>
                <w:szCs w:val="20"/>
              </w:rPr>
              <w:t>4</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Quarterly Results of Operations</w:t>
      </w:r>
    </w:p>
    <w:p w:rsidR="00000000" w:rsidRDefault="00B30BA7">
      <w:pPr>
        <w:pStyle w:val="a3"/>
        <w:shd w:val="clear" w:color="auto" w:fill="FFFFFF"/>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145"/>
        <w:gridCol w:w="50"/>
        <w:gridCol w:w="141"/>
        <w:gridCol w:w="981"/>
        <w:gridCol w:w="117"/>
        <w:gridCol w:w="50"/>
        <w:gridCol w:w="145"/>
        <w:gridCol w:w="1011"/>
        <w:gridCol w:w="67"/>
        <w:gridCol w:w="50"/>
        <w:gridCol w:w="101"/>
        <w:gridCol w:w="583"/>
        <w:gridCol w:w="67"/>
        <w:gridCol w:w="50"/>
        <w:gridCol w:w="103"/>
        <w:gridCol w:w="719"/>
        <w:gridCol w:w="67"/>
        <w:gridCol w:w="50"/>
        <w:gridCol w:w="141"/>
        <w:gridCol w:w="981"/>
        <w:gridCol w:w="67"/>
        <w:gridCol w:w="50"/>
        <w:gridCol w:w="145"/>
        <w:gridCol w:w="1011"/>
        <w:gridCol w:w="67"/>
        <w:gridCol w:w="50"/>
        <w:gridCol w:w="101"/>
        <w:gridCol w:w="583"/>
        <w:gridCol w:w="67"/>
        <w:gridCol w:w="50"/>
        <w:gridCol w:w="103"/>
        <w:gridCol w:w="719"/>
        <w:gridCol w:w="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December 31,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September 30,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March 31,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December 31,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September 30,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March 31,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30"/>
            <w:vAlign w:val="bottom"/>
            <w:hideMark/>
          </w:tcPr>
          <w:p w:rsidR="00000000" w:rsidRDefault="00B30BA7">
            <w:pPr>
              <w:jc w:val="center"/>
              <w:rPr>
                <w:rFonts w:eastAsia="Times New Roman"/>
                <w:sz w:val="20"/>
                <w:szCs w:val="20"/>
              </w:rPr>
            </w:pPr>
            <w:r>
              <w:rPr>
                <w:rFonts w:eastAsia="Times New Roman"/>
                <w:sz w:val="20"/>
                <w:szCs w:val="20"/>
              </w:rPr>
              <w:t>($ in thousands, except per share data)</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B30BA7">
        <w:tc>
          <w:tcPr>
            <w:tcW w:w="1000" w:type="pct"/>
            <w:shd w:val="clear" w:color="auto" w:fill="CCEEFF"/>
            <w:vAlign w:val="bottom"/>
            <w:hideMark/>
          </w:tcPr>
          <w:p w:rsidR="00000000" w:rsidRDefault="00B30BA7">
            <w:pPr>
              <w:rPr>
                <w:rFonts w:eastAsia="Times New Roman"/>
                <w:sz w:val="20"/>
                <w:szCs w:val="20"/>
              </w:rPr>
            </w:pPr>
            <w:r>
              <w:rPr>
                <w:rFonts w:eastAsia="Times New Roman"/>
                <w:sz w:val="20"/>
                <w:szCs w:val="20"/>
              </w:rPr>
              <w:t>Net revenue</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37,462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38,304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34,065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29,768</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32,037</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31,639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19,579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21,867</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24,200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24,124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20,534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18,060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18,979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19,719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12,556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13,567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2,317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2,375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2,204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1,890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1,805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1,625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1,581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6,459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5,921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6,269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5,624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5,634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6,191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5,393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5,593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1,813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2,026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2,465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2,367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2,146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2,333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2,689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3,547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3,128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2,831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2,961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3,206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1,333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Loss </w:t>
            </w:r>
            <w:r>
              <w:rPr>
                <w:rFonts w:eastAsia="Times New Roman"/>
                <w:sz w:val="20"/>
                <w:szCs w:val="20"/>
              </w:rPr>
              <w:t>on lease termination, 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340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223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1,018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282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298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33,571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36,879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34,171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31,449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31,626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32,874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24,188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24,705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3,891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1,425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(1,681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411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(1,235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(4,609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(2,838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(176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(113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(142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(77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(247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(114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445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Income (loss) before provision (benefit) for income taxes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3,699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1,273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(1,965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(1,612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(4,865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(2,473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Income tax provision (benefit)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177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(232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213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(74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Net income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3,522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1,505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(227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(1,964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155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(1,674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(4,791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(2,503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Preferred stock dividend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3,644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3,642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3,638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3,128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3,727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4,230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3,277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2,643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Net loss attributable to common shareholders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(122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(2,137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(3,865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(5,092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(3,572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(5,904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(8,068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(5,146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Net loss per common share: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(0.27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(0.36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(0.27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(0.47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(0.65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(0.42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Adjusted EBITDA</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6,098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6,674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5,656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3,691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5,702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4,213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191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765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16297636"/>
        </w:trPr>
        <w:tc>
          <w:tcPr>
            <w:tcW w:w="5000" w:type="pct"/>
            <w:hideMark/>
          </w:tcPr>
          <w:p w:rsidR="00000000" w:rsidRDefault="00B30BA7">
            <w:pPr>
              <w:jc w:val="center"/>
              <w:rPr>
                <w:rFonts w:eastAsia="Times New Roman"/>
                <w:sz w:val="20"/>
                <w:szCs w:val="20"/>
              </w:rPr>
            </w:pPr>
            <w:r>
              <w:rPr>
                <w:rFonts w:eastAsia="Times New Roman"/>
                <w:sz w:val="20"/>
                <w:szCs w:val="20"/>
              </w:rPr>
              <w:t>4</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hd w:val="clear" w:color="auto" w:fill="FFFFFF"/>
        <w:spacing w:before="0" w:beforeAutospacing="0" w:after="0" w:afterAutospacing="0"/>
        <w:rPr>
          <w:sz w:val="20"/>
          <w:szCs w:val="20"/>
        </w:rPr>
      </w:pPr>
      <w:r>
        <w:rPr>
          <w:b/>
          <w:bCs/>
          <w:sz w:val="20"/>
          <w:szCs w:val="20"/>
        </w:rPr>
        <w:t>Reconciliation of net income (loss) to adjusted EBITDA</w:t>
      </w:r>
    </w:p>
    <w:p w:rsidR="00000000" w:rsidRDefault="00B30BA7">
      <w:pPr>
        <w:pStyle w:val="a3"/>
        <w:shd w:val="clear" w:color="auto" w:fill="FFFFFF"/>
        <w:spacing w:before="0" w:beforeAutospacing="0" w:after="0" w:afterAutospacing="0"/>
        <w:rPr>
          <w:sz w:val="20"/>
          <w:szCs w:val="20"/>
        </w:rPr>
      </w:pPr>
      <w:r>
        <w:rPr>
          <w:b/>
          <w:bCs/>
          <w:sz w:val="20"/>
          <w:szCs w:val="20"/>
        </w:rPr>
        <w:t> </w:t>
      </w:r>
    </w:p>
    <w:p w:rsidR="00000000" w:rsidRDefault="00B30BA7">
      <w:pPr>
        <w:pStyle w:val="a3"/>
        <w:shd w:val="clear" w:color="auto" w:fill="FFFFFF"/>
        <w:spacing w:before="0" w:beforeAutospacing="0" w:after="0" w:afterAutospacing="0"/>
        <w:rPr>
          <w:sz w:val="20"/>
          <w:szCs w:val="20"/>
        </w:rPr>
      </w:pPr>
      <w:r>
        <w:rPr>
          <w:b/>
          <w:bCs/>
          <w:sz w:val="20"/>
          <w:szCs w:val="20"/>
        </w:rPr>
        <w:t xml:space="preserve">The </w:t>
      </w:r>
      <w:r>
        <w:rPr>
          <w:b/>
          <w:bCs/>
          <w:sz w:val="20"/>
          <w:szCs w:val="20"/>
        </w:rPr>
        <w:t>following table contains a reconciliation of net income (loss) to adjusted EBITDA by year.</w:t>
      </w:r>
    </w:p>
    <w:p w:rsidR="00000000" w:rsidRDefault="00B30BA7">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1"/>
        <w:gridCol w:w="160"/>
        <w:gridCol w:w="100"/>
        <w:gridCol w:w="742"/>
        <w:gridCol w:w="77"/>
        <w:gridCol w:w="160"/>
        <w:gridCol w:w="100"/>
        <w:gridCol w:w="742"/>
        <w:gridCol w:w="78"/>
        <w:gridCol w:w="161"/>
        <w:gridCol w:w="100"/>
        <w:gridCol w:w="743"/>
        <w:gridCol w:w="78"/>
        <w:gridCol w:w="161"/>
        <w:gridCol w:w="100"/>
        <w:gridCol w:w="743"/>
        <w:gridCol w:w="78"/>
        <w:gridCol w:w="161"/>
        <w:gridCol w:w="100"/>
        <w:gridCol w:w="743"/>
        <w:gridCol w:w="78"/>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Years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2019</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2018</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2017</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18"/>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Net </w:t>
            </w:r>
            <w:r>
              <w:rPr>
                <w:rFonts w:eastAsia="Times New Roman"/>
                <w:sz w:val="20"/>
                <w:szCs w:val="20"/>
              </w:rPr>
              <w:t>income (loss)</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2,836</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(8,813</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(872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(2,138</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(5,565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1,927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909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634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10,268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8,551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2,097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2,165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3,666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Foreign </w:t>
            </w:r>
            <w:r>
              <w:rPr>
                <w:rFonts w:eastAsia="Times New Roman"/>
                <w:sz w:val="20"/>
                <w:szCs w:val="20"/>
              </w:rPr>
              <w:t>exchange loss (gain) / other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827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(435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Interest expense -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440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446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1,307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Income tax provision (benefit)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193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5,396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6,502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3,216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2,464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1,487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1,364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2,694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1,891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515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Loss </w:t>
            </w:r>
            <w:r>
              <w:rPr>
                <w:rFonts w:eastAsia="Times New Roman"/>
                <w:sz w:val="20"/>
                <w:szCs w:val="20"/>
              </w:rPr>
              <w:t>on lease termination, 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219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276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(344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73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152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Adjusted EBITDA</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22,119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10,871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8,101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4,802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2,291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hd w:val="clear" w:color="auto" w:fill="FFFFFF"/>
        <w:spacing w:before="0" w:beforeAutospacing="0" w:after="0" w:afterAutospacing="0"/>
        <w:rPr>
          <w:sz w:val="20"/>
          <w:szCs w:val="20"/>
        </w:rPr>
      </w:pPr>
      <w:r>
        <w:rPr>
          <w:b/>
          <w:bCs/>
          <w:sz w:val="20"/>
          <w:szCs w:val="20"/>
        </w:rPr>
        <w:t>The following table contains a reconciliation of net income (loss) to adjusted EBITDA by quarter.</w:t>
      </w:r>
    </w:p>
    <w:p w:rsidR="00000000" w:rsidRDefault="00B30BA7">
      <w:pPr>
        <w:pStyle w:val="a3"/>
        <w:shd w:val="clear" w:color="auto" w:fill="FFFFFF"/>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111"/>
        <w:gridCol w:w="50"/>
        <w:gridCol w:w="141"/>
        <w:gridCol w:w="981"/>
        <w:gridCol w:w="67"/>
        <w:gridCol w:w="50"/>
        <w:gridCol w:w="145"/>
        <w:gridCol w:w="1011"/>
        <w:gridCol w:w="67"/>
        <w:gridCol w:w="50"/>
        <w:gridCol w:w="101"/>
        <w:gridCol w:w="583"/>
        <w:gridCol w:w="67"/>
        <w:gridCol w:w="50"/>
        <w:gridCol w:w="103"/>
        <w:gridCol w:w="719"/>
        <w:gridCol w:w="67"/>
        <w:gridCol w:w="50"/>
        <w:gridCol w:w="141"/>
        <w:gridCol w:w="981"/>
        <w:gridCol w:w="67"/>
        <w:gridCol w:w="50"/>
        <w:gridCol w:w="145"/>
        <w:gridCol w:w="1011"/>
        <w:gridCol w:w="67"/>
        <w:gridCol w:w="50"/>
        <w:gridCol w:w="101"/>
        <w:gridCol w:w="583"/>
        <w:gridCol w:w="67"/>
        <w:gridCol w:w="50"/>
        <w:gridCol w:w="103"/>
        <w:gridCol w:w="719"/>
        <w:gridCol w:w="67"/>
      </w:tblGrid>
      <w:tr w:rsidR="00000000">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December 31,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September 30,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March 31,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December 31,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September 30,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June 30,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March 31,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2020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30"/>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B30BA7">
        <w:tc>
          <w:tcPr>
            <w:tcW w:w="1000" w:type="pct"/>
            <w:shd w:val="clear" w:color="auto" w:fill="CCEEFF"/>
            <w:vAlign w:val="bottom"/>
            <w:hideMark/>
          </w:tcPr>
          <w:p w:rsidR="00000000" w:rsidRDefault="00B30BA7">
            <w:pPr>
              <w:rPr>
                <w:rFonts w:eastAsia="Times New Roman"/>
                <w:sz w:val="20"/>
                <w:szCs w:val="20"/>
              </w:rPr>
            </w:pPr>
            <w:r>
              <w:rPr>
                <w:rFonts w:eastAsia="Times New Roman"/>
                <w:sz w:val="20"/>
                <w:szCs w:val="20"/>
              </w:rPr>
              <w:t>Net income (loss)</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3,522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1,505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(227</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(1,964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155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(1,674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(4,791</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(2,503</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533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460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409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383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287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275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2,243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3,059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2,595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2,371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2,553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2,823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2,118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1,058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Foreign </w:t>
            </w:r>
            <w:r>
              <w:rPr>
                <w:rFonts w:eastAsia="Times New Roman"/>
                <w:sz w:val="20"/>
                <w:szCs w:val="20"/>
              </w:rPr>
              <w:t>exchange loss (gain) / other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(146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296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111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(424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Interest expense -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113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130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142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Income </w:t>
            </w:r>
            <w:r>
              <w:rPr>
                <w:rFonts w:eastAsia="Times New Roman"/>
                <w:sz w:val="20"/>
                <w:szCs w:val="20"/>
              </w:rPr>
              <w:t>tax provision (benefit)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177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213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1,390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1,735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1,267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1,551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1,881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1,307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Transaction </w:t>
            </w:r>
            <w:r>
              <w:rPr>
                <w:rFonts w:eastAsia="Times New Roman"/>
                <w:sz w:val="20"/>
                <w:szCs w:val="20"/>
              </w:rPr>
              <w:t>and integration costs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269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617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986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609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644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340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223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1,018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282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298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Adjusted EBITDA</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6,098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6,674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5,656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3,691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5,702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4,213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191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765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rPr>
          <w:sz w:val="20"/>
          <w:szCs w:val="20"/>
        </w:rPr>
      </w:pPr>
      <w:r>
        <w:rPr>
          <w:b/>
          <w:bCs/>
          <w:sz w:val="20"/>
          <w:szCs w:val="20"/>
        </w:rPr>
        <w:t>Key Metrics</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addition to the line items in our consolidated financial statements, we regularly review the following key metrics to evaluate our business, measure our performance, identify trends in our business, prepare financial projections, make strategic business de</w:t>
      </w:r>
      <w:r>
        <w:rPr>
          <w:sz w:val="20"/>
          <w:szCs w:val="20"/>
        </w:rPr>
        <w:t>cisions, and assess market share trends and working capital needs. We believe information on these metrics is useful for investors to understand the underlying trends in our business.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Providers and Practices Served:</w:t>
      </w:r>
      <w:r>
        <w:rPr>
          <w:sz w:val="20"/>
          <w:szCs w:val="20"/>
        </w:rPr>
        <w:t xml:space="preserve"> </w:t>
      </w:r>
      <w:r>
        <w:rPr>
          <w:sz w:val="20"/>
          <w:szCs w:val="20"/>
        </w:rPr>
        <w:t>As of December 31, 2021 and 2020, we provided services to approximately 40,000 providers (which we define as physicians, nurses, nurse practitioners, physician assistants and other clinical staff that render bills for their services), representing approxim</w:t>
      </w:r>
      <w:r>
        <w:rPr>
          <w:sz w:val="20"/>
          <w:szCs w:val="20"/>
        </w:rPr>
        <w:t>ately 2,600 practices. In addition, we served approximately 200 clients who were not medical practices, but are service organizations who serve the healthcare community.</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xml:space="preserve">Customer Renewal Rate: </w:t>
      </w:r>
      <w:r>
        <w:rPr>
          <w:sz w:val="20"/>
          <w:szCs w:val="20"/>
        </w:rPr>
        <w:t xml:space="preserve">Our customer renewal rate measures the percentage of our RCM </w:t>
      </w:r>
      <w:r>
        <w:rPr>
          <w:sz w:val="20"/>
          <w:szCs w:val="20"/>
        </w:rPr>
        <w:t>clients who utilize our technology platform who were a party to a services agreement with us on January 1 of a particular year and continued to operate and be a client on December 31 of the same year. It also includes acquired accounts, if they are a party</w:t>
      </w:r>
      <w:r>
        <w:rPr>
          <w:sz w:val="20"/>
          <w:szCs w:val="20"/>
        </w:rPr>
        <w:t xml:space="preserve"> to a services agreement with the company we acquired and are generating revenue for us, so long as the risk of client loss under the respective purchase agreement has fully shifted to us by January 1 of the particular year. Our renewal rates for 2021 and </w:t>
      </w:r>
      <w:r>
        <w:rPr>
          <w:sz w:val="20"/>
          <w:szCs w:val="20"/>
        </w:rPr>
        <w:t>2020 were 91% and 83%, respectively.</w:t>
      </w:r>
    </w:p>
    <w:p w:rsidR="00000000" w:rsidRDefault="00B30BA7">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09929340"/>
        </w:trPr>
        <w:tc>
          <w:tcPr>
            <w:tcW w:w="5000" w:type="pct"/>
            <w:hideMark/>
          </w:tcPr>
          <w:p w:rsidR="00000000" w:rsidRDefault="00B30BA7">
            <w:pPr>
              <w:jc w:val="center"/>
              <w:rPr>
                <w:rFonts w:eastAsia="Times New Roman"/>
                <w:sz w:val="20"/>
                <w:szCs w:val="20"/>
              </w:rPr>
            </w:pPr>
            <w:r>
              <w:rPr>
                <w:rFonts w:eastAsia="Times New Roman"/>
                <w:sz w:val="20"/>
                <w:szCs w:val="20"/>
              </w:rPr>
              <w:t>4</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b/>
          <w:bCs/>
          <w:sz w:val="20"/>
          <w:szCs w:val="20"/>
        </w:rPr>
        <w:t> </w:t>
      </w:r>
    </w:p>
    <w:p w:rsidR="00000000" w:rsidRDefault="00B30BA7">
      <w:pPr>
        <w:pStyle w:val="a3"/>
        <w:shd w:val="clear" w:color="auto" w:fill="FFFFFF"/>
        <w:spacing w:before="0" w:beforeAutospacing="0" w:after="0" w:afterAutospacing="0"/>
        <w:jc w:val="both"/>
        <w:rPr>
          <w:sz w:val="20"/>
          <w:szCs w:val="20"/>
        </w:rPr>
      </w:pPr>
      <w:r>
        <w:rPr>
          <w:b/>
          <w:bCs/>
          <w:sz w:val="20"/>
          <w:szCs w:val="20"/>
        </w:rPr>
        <w:t>Sources of Revenue</w:t>
      </w:r>
    </w:p>
    <w:p w:rsidR="00000000" w:rsidRDefault="00B30BA7">
      <w:pPr>
        <w:pStyle w:val="a3"/>
        <w:shd w:val="clear" w:color="auto" w:fill="FFFFFF"/>
        <w:spacing w:before="0" w:beforeAutospacing="0" w:after="0" w:afterAutospacing="0"/>
        <w:jc w:val="both"/>
        <w:rPr>
          <w:sz w:val="20"/>
          <w:szCs w:val="20"/>
        </w:rPr>
      </w:pPr>
      <w:r>
        <w:rPr>
          <w:i/>
          <w:iCs/>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Revenue: </w:t>
      </w:r>
      <w:r>
        <w:rPr>
          <w:sz w:val="20"/>
          <w:szCs w:val="20"/>
        </w:rPr>
        <w:t>We primarily derive our on-going revenues from technology-enabled business solutions, reported in our Healthcare IT segment, which is typically billed as a percentage of payment</w:t>
      </w:r>
      <w:r>
        <w:rPr>
          <w:sz w:val="20"/>
          <w:szCs w:val="20"/>
        </w:rPr>
        <w:t>s collected by our customers. The fee for our services includes the ability to use our EHR and practice management software as well as RCM as part of the bundled fee. These services accounted for approximately 76% and 84% of our revenues during the years e</w:t>
      </w:r>
      <w:r>
        <w:rPr>
          <w:sz w:val="20"/>
          <w:szCs w:val="20"/>
        </w:rPr>
        <w:t>nded December 31, 2021 and 2020, respectively. This includes customers utilizing our proprietary product suites, as well as customers from acquisitions of RCM companies which we are servicing utilizing third-party software. Key drivers of our revenue inclu</w:t>
      </w:r>
      <w:r>
        <w:rPr>
          <w:sz w:val="20"/>
          <w:szCs w:val="20"/>
        </w:rPr>
        <w:t xml:space="preserve">de growth in the number of providers we are servicing, the number of patients served by those providers, and collections by those providers. It also includes Software-as-a-Service (“SaaS”) fees, for clients not utilizing revenue cycle management services. </w:t>
      </w:r>
      <w:r>
        <w:rPr>
          <w:sz w:val="20"/>
          <w:szCs w:val="20"/>
        </w:rPr>
        <w:t>When clients utilize our revenue cycle management services, basic SaaS services are included at no additional charge. Revenue is also generated from coding, credentialing, indexing, transcription and other ancillary services.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Our professional services in</w:t>
      </w:r>
      <w:r>
        <w:rPr>
          <w:sz w:val="20"/>
          <w:szCs w:val="20"/>
        </w:rPr>
        <w:t>clude an extensive set of services including EHR vendor-agnostic optimization and activation, project management, IT transformation, consulting, process improvement, training, education and staffing for large healthcare organizations including health syste</w:t>
      </w:r>
      <w:r>
        <w:rPr>
          <w:sz w:val="20"/>
          <w:szCs w:val="20"/>
        </w:rPr>
        <w:t>ms and hospitals. Revenue is recorded monthly on either a time and materials or a fixed rate basis for each contract.</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We also generate revenue from our printing and mailing, group purchasing services and medical practice management services.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earned approximately 1% of our revenue from group purchasing services during the years ended December 31, 2021 and 2020. We earned approximately 8% and 11% of our revenue from medical practice management services, including reimbursement of certain costs p</w:t>
      </w:r>
      <w:r>
        <w:rPr>
          <w:sz w:val="20"/>
          <w:szCs w:val="20"/>
        </w:rPr>
        <w:t>lus a percentage of the operating profit, during the years ended December 31, 2021 and 2020, respectively. We began providing practice management services and group purchasing services on July 1, 2018.</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Operating Expenses</w:t>
      </w:r>
    </w:p>
    <w:p w:rsidR="00000000" w:rsidRDefault="00B30BA7">
      <w:pPr>
        <w:pStyle w:val="a3"/>
        <w:spacing w:before="0" w:beforeAutospacing="0" w:after="0" w:afterAutospacing="0"/>
        <w:jc w:val="both"/>
        <w:rPr>
          <w:sz w:val="20"/>
          <w:szCs w:val="20"/>
        </w:rPr>
      </w:pPr>
      <w:r>
        <w:rPr>
          <w:i/>
          <w:iCs/>
          <w:sz w:val="20"/>
          <w:szCs w:val="20"/>
        </w:rPr>
        <w:t> </w:t>
      </w:r>
    </w:p>
    <w:p w:rsidR="00000000" w:rsidRDefault="00B30BA7">
      <w:pPr>
        <w:pStyle w:val="a3"/>
        <w:spacing w:before="0" w:beforeAutospacing="0" w:after="0" w:afterAutospacing="0"/>
        <w:jc w:val="both"/>
        <w:rPr>
          <w:sz w:val="20"/>
          <w:szCs w:val="20"/>
        </w:rPr>
      </w:pPr>
      <w:r>
        <w:rPr>
          <w:i/>
          <w:iCs/>
          <w:sz w:val="20"/>
          <w:szCs w:val="20"/>
        </w:rPr>
        <w:t xml:space="preserve">Direct Operating Costs. </w:t>
      </w:r>
      <w:r>
        <w:rPr>
          <w:sz w:val="20"/>
          <w:szCs w:val="20"/>
        </w:rPr>
        <w:t xml:space="preserve">Direct </w:t>
      </w:r>
      <w:r>
        <w:rPr>
          <w:sz w:val="20"/>
          <w:szCs w:val="20"/>
        </w:rPr>
        <w:t>operating costs consist primarily of salaries and benefits related to personnel who provide services to our customers and the patients of the three managed medical practices, claims processing costs, and other direct costs related to our services. Costs as</w:t>
      </w:r>
      <w:r>
        <w:rPr>
          <w:sz w:val="20"/>
          <w:szCs w:val="20"/>
        </w:rPr>
        <w:t>sociated with the implementation of new customers are expensed as incurred. The reported amounts of direct operating costs do not include depreciation and amortization, which are broken out separately in the consolidated statements of operations. Operation</w:t>
      </w:r>
      <w:r>
        <w:rPr>
          <w:sz w:val="20"/>
          <w:szCs w:val="20"/>
        </w:rPr>
        <w:t>s in our Offshore Offices together accounted for approximately 11% and 10% of direct operating costs for the years ended December 31, 2021 and 2020, respectively. As we grow, we expect to achieve further economies of scale and to see our direct operating c</w:t>
      </w:r>
      <w:r>
        <w:rPr>
          <w:sz w:val="20"/>
          <w:szCs w:val="20"/>
        </w:rPr>
        <w:t xml:space="preserve">osts decrease as a percentage of revenue. </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 advertising expenses.</w:t>
      </w:r>
    </w:p>
    <w:p w:rsidR="00000000" w:rsidRDefault="00B30BA7">
      <w:pPr>
        <w:pStyle w:val="a3"/>
        <w:shd w:val="clear" w:color="auto" w:fill="FFFFFF"/>
        <w:spacing w:before="0" w:beforeAutospacing="0" w:after="0" w:afterAutospacing="0"/>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w:t>
      </w:r>
      <w:r>
        <w:rPr>
          <w:sz w:val="20"/>
          <w:szCs w:val="20"/>
        </w:rPr>
        <w:t>pment expense consists primarily of personnel-related costs and third-party contractor costs as well as hosting services used in development of software.</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consists primarily of personn</w:t>
      </w:r>
      <w:r>
        <w:rPr>
          <w:sz w:val="20"/>
          <w:szCs w:val="20"/>
        </w:rPr>
        <w:t>el-related expense for administrative employees, including compensation, benefits, travel, occupancy and insurance, software license fees and outside professional fees. Our Offshore Offices accounted for approximately 17% and 15% of general and administrat</w:t>
      </w:r>
      <w:r>
        <w:rPr>
          <w:sz w:val="20"/>
          <w:szCs w:val="20"/>
        </w:rPr>
        <w:t>ive expenses for the years ended December 31, 2021 and 2020, respectively.</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Change in Contingent Consideration. </w:t>
      </w:r>
      <w:r>
        <w:rPr>
          <w:sz w:val="20"/>
          <w:szCs w:val="20"/>
        </w:rPr>
        <w:t>Contingent consideration represents the portion of consideration payable to the sellers of some of our acquisitions, the amount of which is bas</w:t>
      </w:r>
      <w:r>
        <w:rPr>
          <w:sz w:val="20"/>
          <w:szCs w:val="20"/>
        </w:rPr>
        <w:t>ed on the achievement of defined performance measures contained in the purchase agreements. Contingent consideration is adjusted to fair value at the end of each reporting period.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Depreciation expense is charged usi</w:t>
      </w:r>
      <w:r>
        <w:rPr>
          <w:sz w:val="20"/>
          <w:szCs w:val="20"/>
        </w:rPr>
        <w:t>ng the straight-line method over the estimated lives of the assets ranging from three to five years. Amortization expense is charged on either an accelerated or on a straight-line basis over a period of three or four years for most intangible assets acquir</w:t>
      </w:r>
      <w:r>
        <w:rPr>
          <w:sz w:val="20"/>
          <w:szCs w:val="20"/>
        </w:rPr>
        <w:t>ed in connection with acquisitions including those intangibles related to the group purchasing services. Amortization expense related to the value of our practice management clients is amortized on a straight-line basis over a period of twelve years.</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99555823"/>
        </w:trPr>
        <w:tc>
          <w:tcPr>
            <w:tcW w:w="5000" w:type="pct"/>
            <w:hideMark/>
          </w:tcPr>
          <w:p w:rsidR="00000000" w:rsidRDefault="00B30BA7">
            <w:pPr>
              <w:jc w:val="center"/>
              <w:rPr>
                <w:rFonts w:eastAsia="Times New Roman"/>
                <w:sz w:val="20"/>
                <w:szCs w:val="20"/>
              </w:rPr>
            </w:pPr>
            <w:r>
              <w:rPr>
                <w:rFonts w:eastAsia="Times New Roman"/>
                <w:sz w:val="20"/>
                <w:szCs w:val="20"/>
              </w:rPr>
              <w:t>4</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Loss on lease termination, Impairment and Unoccupied Lease Charges. </w:t>
      </w:r>
      <w:r>
        <w:rPr>
          <w:sz w:val="20"/>
          <w:szCs w:val="20"/>
        </w:rPr>
        <w:t xml:space="preserve">Loss on lease termination represents the write-off of leasehold improvements </w:t>
      </w:r>
      <w:r>
        <w:rPr>
          <w:sz w:val="20"/>
          <w:szCs w:val="20"/>
        </w:rPr>
        <w:t>as the result of an early lease termination. Impairment charges represent charges recorded for a leased facility no longer being used by the Company and a non-cancellable vendor contract where the services are no longer being used. Unoccupied lease charges</w:t>
      </w:r>
      <w:r>
        <w:rPr>
          <w:sz w:val="20"/>
          <w:szCs w:val="20"/>
        </w:rPr>
        <w:t xml:space="preserve"> represent the portion of lease and related costs for that portion of the space that is vacant and not being utilized by the Company. The Company is marketing the unused space for sub-lease. The Company was able to turn back to the landlord one of the unus</w:t>
      </w:r>
      <w:r>
        <w:rPr>
          <w:sz w:val="20"/>
          <w:szCs w:val="20"/>
        </w:rPr>
        <w:t>ed facilities effective January 1, 2022.</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Interest and Other Income (Expense).</w:t>
      </w:r>
      <w:r>
        <w:rPr>
          <w:sz w:val="20"/>
          <w:szCs w:val="20"/>
        </w:rPr>
        <w:t xml:space="preserve"> Interest expense consists of interest costs and loan origination costs related to our working capital line of credit and amounts due in connection with acquisitions, offset by </w:t>
      </w:r>
      <w:r>
        <w:rPr>
          <w:sz w:val="20"/>
          <w:szCs w:val="20"/>
        </w:rPr>
        <w:t>interest income. Our other income (expense) results primarily from foreign currency transaction gains (losses). There were foreign exchange gains of $16,000 and $14,000 for the years ended December 31, 2021 and 2020, respectively.</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Income Taxes.</w:t>
      </w:r>
      <w:r>
        <w:rPr>
          <w:sz w:val="20"/>
          <w:szCs w:val="20"/>
        </w:rPr>
        <w:t xml:space="preserve"> In prepar</w:t>
      </w:r>
      <w:r>
        <w:rPr>
          <w:sz w:val="20"/>
          <w:szCs w:val="20"/>
        </w:rPr>
        <w:t>ing our consolidated financial statements, we estimate income taxes in each of the jurisdictions in which we operate. This process involves estimating actual current tax exposure together with assessing temporary differences resulting from differing treatm</w:t>
      </w:r>
      <w:r>
        <w:rPr>
          <w:sz w:val="20"/>
          <w:szCs w:val="20"/>
        </w:rPr>
        <w:t>ent of items for tax and financial reporting purposes. These differences result in deferred income tax assets and liabilities. Although the Company reported GAAP earnings in 2021, it incurred losses historically and there is uncertainty regarding future US</w:t>
      </w:r>
      <w:r>
        <w:rPr>
          <w:sz w:val="20"/>
          <w:szCs w:val="20"/>
        </w:rPr>
        <w:t xml:space="preserve"> taxable income, which make realization of a deferred tax asset difficult to support in accordance with ASC 740. Accordingly, a valuation allowance has been recorded against all deferred tax assets as of December 31, 2021 and December 31, 2020. Effective J</w:t>
      </w:r>
      <w:r>
        <w:rPr>
          <w:sz w:val="20"/>
          <w:szCs w:val="20"/>
        </w:rPr>
        <w:t>anuary 1, 2018, there is a global intangible low-taxed income (“GILTI”) tax. Companies can either account for the GILTI inclusion in the period in which they are incurred or establish deferred tax liabilities for the expected future taxes associated with G</w:t>
      </w:r>
      <w:r>
        <w:rPr>
          <w:sz w:val="20"/>
          <w:szCs w:val="20"/>
        </w:rPr>
        <w:t>ILTI. The Company elected to record the GILTI provisions as they are incurred each period.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sz w:val="20"/>
          <w:szCs w:val="20"/>
        </w:rPr>
        <w:t>Critical Accounting Policies and Estimates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We prepare our consolidated financial statements in accordance with GAAP. The preparation of these financial statement</w:t>
      </w:r>
      <w:r>
        <w:rPr>
          <w:sz w:val="20"/>
          <w:szCs w:val="20"/>
        </w:rPr>
        <w:t>s requires us to make estimates and assumptions about future events, and apply judgments that affect the reported amounts of assets, liabilities, revenue, expense and related disclosures. We base our estimates, assumptions and judgments on historical exper</w:t>
      </w:r>
      <w:r>
        <w:rPr>
          <w:sz w:val="20"/>
          <w:szCs w:val="20"/>
        </w:rPr>
        <w:t>ience, current trends and various other factors that we believe to be reasonable under the circumstances. The accounting estimates used in the preparation of our consolidated financial statements will change as new events occur, as more experience is acqui</w:t>
      </w:r>
      <w:r>
        <w:rPr>
          <w:sz w:val="20"/>
          <w:szCs w:val="20"/>
        </w:rPr>
        <w:t xml:space="preserve">red, as additional information is obtained and as our operating environment changes. On a regular basis, we review our accounting policies, estimates, assumptions and judgments to ensure that our financial statements are presented fairly and in accordance </w:t>
      </w:r>
      <w:r>
        <w:rPr>
          <w:sz w:val="20"/>
          <w:szCs w:val="20"/>
        </w:rPr>
        <w:t>with GAAP. However, because future events and their effects cannot be determined with certainty, actual results could differ from our assumptions and estimates, and such differences could be material. The methods, estimates and judgments that we use in app</w:t>
      </w:r>
      <w:r>
        <w:rPr>
          <w:sz w:val="20"/>
          <w:szCs w:val="20"/>
        </w:rPr>
        <w:t>lying our accounting policies have a significant impact on our results of operations.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Critical accounting policies are those policies used in the preparation of our consolidated financial statements that require management to make difficult, subjective, </w:t>
      </w:r>
      <w:r>
        <w:rPr>
          <w:sz w:val="20"/>
          <w:szCs w:val="20"/>
        </w:rPr>
        <w:t>or complex adjustments, and to make estimates about the effect of matters that are inherently uncertain.</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u w:val="single"/>
        </w:rPr>
        <w:t>Revenue from Contracts with Customers</w:t>
      </w:r>
      <w:r>
        <w:rPr>
          <w:sz w:val="20"/>
          <w:szCs w:val="20"/>
        </w:rPr>
        <w:t>:</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We account for revenue in accordance with ASC 606, </w:t>
      </w:r>
      <w:r>
        <w:rPr>
          <w:i/>
          <w:iCs/>
          <w:sz w:val="20"/>
          <w:szCs w:val="20"/>
        </w:rPr>
        <w:t>Revenue from Contracts with Customers</w:t>
      </w:r>
      <w:r>
        <w:rPr>
          <w:sz w:val="20"/>
          <w:szCs w:val="20"/>
        </w:rPr>
        <w:t>. Our revenue recogn</w:t>
      </w:r>
      <w:r>
        <w:rPr>
          <w:sz w:val="20"/>
          <w:szCs w:val="20"/>
        </w:rPr>
        <w:t>ition policies require us to make significant judgments and estimates, particularly as it relates to revenue cycle management. Under ASC 606, certain significant accounting estimates, such as payment-to-charge ratios, effective billing rates and the estima</w:t>
      </w:r>
      <w:r>
        <w:rPr>
          <w:sz w:val="20"/>
          <w:szCs w:val="20"/>
        </w:rPr>
        <w:t>ted contractual payment periods are required to measure the revenue cycle management revenue. We analyze various factors including, but not limited to, contractual terms and conditions, the credit-worthiness of our customers and our pricing policies. Chang</w:t>
      </w:r>
      <w:r>
        <w:rPr>
          <w:sz w:val="20"/>
          <w:szCs w:val="20"/>
        </w:rPr>
        <w:t>es in judgment on any of the above factors could materially impact the timing and amount of revenue recognized in a given period.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Revenue is recognized as the performance obligations are satisfied. We derive revenue from five primary sources: technology-</w:t>
      </w:r>
      <w:r>
        <w:rPr>
          <w:sz w:val="20"/>
          <w:szCs w:val="20"/>
        </w:rPr>
        <w:t>enabled business solutions, professional services, printing and mailing services, group purchasing services and medical practice management services. All of our revenue arrangements are based on contracts with customers. Most of our contracts with customer</w:t>
      </w:r>
      <w:r>
        <w:rPr>
          <w:sz w:val="20"/>
          <w:szCs w:val="20"/>
        </w:rPr>
        <w:t>s contain a single performance obligation. For contracts where we provide multiple services such as where we perform multiple ancillary services, each service represents its own performance obligation. Selling or transaction prices are based on the contrac</w:t>
      </w:r>
      <w:r>
        <w:rPr>
          <w:sz w:val="20"/>
          <w:szCs w:val="20"/>
        </w:rPr>
        <w:t>tual price for the service, which is consistent with the stand-alone selling price.</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85832134"/>
        </w:trPr>
        <w:tc>
          <w:tcPr>
            <w:tcW w:w="5000" w:type="pct"/>
            <w:hideMark/>
          </w:tcPr>
          <w:p w:rsidR="00000000" w:rsidRDefault="00B30BA7">
            <w:pPr>
              <w:jc w:val="center"/>
              <w:rPr>
                <w:rFonts w:eastAsia="Times New Roman"/>
                <w:sz w:val="20"/>
                <w:szCs w:val="20"/>
              </w:rPr>
            </w:pPr>
            <w:r>
              <w:rPr>
                <w:rFonts w:eastAsia="Times New Roman"/>
                <w:sz w:val="20"/>
                <w:szCs w:val="20"/>
              </w:rPr>
              <w:t>4</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Technology-enabled business solutions:</w:t>
      </w:r>
    </w:p>
    <w:p w:rsidR="00000000" w:rsidRDefault="00B30BA7">
      <w:pPr>
        <w:pStyle w:val="a3"/>
        <w:shd w:val="clear" w:color="auto" w:fill="FFFFFF"/>
        <w:spacing w:before="0" w:beforeAutospacing="0" w:after="0" w:afterAutospacing="0"/>
        <w:jc w:val="both"/>
        <w:rPr>
          <w:sz w:val="20"/>
          <w:szCs w:val="20"/>
        </w:rPr>
      </w:pPr>
      <w:r>
        <w:rPr>
          <w:i/>
          <w:iCs/>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Our </w:t>
      </w:r>
      <w:r>
        <w:rPr>
          <w:sz w:val="20"/>
          <w:szCs w:val="20"/>
        </w:rPr>
        <w:t>technology-enabled business solutions include our revenue cycle management and SaaS services. Revenue cycle management services are the recurring process of submitting and following up on claims with health insurance companies in order for the healthcare p</w:t>
      </w:r>
      <w:r>
        <w:rPr>
          <w:sz w:val="20"/>
          <w:szCs w:val="20"/>
        </w:rPr>
        <w:t>roviders to receive payment for the services they rendered. CareCloud typically invoices customers on a monthly basis based on the actual collections received by its customers and the agreed-upon rate in the sales contract. The services include use of prac</w:t>
      </w:r>
      <w:r>
        <w:rPr>
          <w:sz w:val="20"/>
          <w:szCs w:val="20"/>
        </w:rPr>
        <w:t>tice management software and related tools (on a software-as-a-service (“SaaS”) basis), electronic health records (on a SaaS basis), medical billing services and use of mobile health solutions. We consider the services to be one performance obligation sinc</w:t>
      </w:r>
      <w:r>
        <w:rPr>
          <w:sz w:val="20"/>
          <w:szCs w:val="20"/>
        </w:rPr>
        <w:t>e the promises are not distinct in the context of the contract. The performance obligation consists of a series of distinct services that are substantially the same and have the same periodic pattern of transfer to our customers.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In many cases, our clien</w:t>
      </w:r>
      <w:r>
        <w:rPr>
          <w:sz w:val="20"/>
          <w:szCs w:val="20"/>
        </w:rPr>
        <w:t>ts may terminate their agreements with 90 days’ notice without cause, thereby limiting the term in which we have enforceable rights and obligations, although this time period can vary between clients. Our payment terms are normally net 30 days. Although ou</w:t>
      </w:r>
      <w:r>
        <w:rPr>
          <w:sz w:val="20"/>
          <w:szCs w:val="20"/>
        </w:rPr>
        <w:t>r contracts typically have stated terms of one or more years, under ASC 606 our contracts are considered month-to-month and accordingly, there is no financing component.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For the majority of our revenue cycle management contracts, the total transaction pr</w:t>
      </w:r>
      <w:r>
        <w:rPr>
          <w:sz w:val="20"/>
          <w:szCs w:val="20"/>
        </w:rPr>
        <w:t xml:space="preserve">ice is variable because our obligation is to process an unknown quantity of claims, as and when requested by our customers over the contract period. When a contract includes variable consideration, we evaluate the estimate of the variable consideration to </w:t>
      </w:r>
      <w:r>
        <w:rPr>
          <w:sz w:val="20"/>
          <w:szCs w:val="20"/>
        </w:rPr>
        <w:t>determine whether the estimate needs to be constrained; therefore, we include variable consideration in the transaction price only to the extent that it is probable that a significant reversal of the amount of cumulative revenue recognized will not occur w</w:t>
      </w:r>
      <w:r>
        <w:rPr>
          <w:sz w:val="20"/>
          <w:szCs w:val="20"/>
        </w:rPr>
        <w:t xml:space="preserve">hen the uncertainty associated with variable consideration is subsequently resolved. Estimates to determine variable consideration such as payment to charge ratios, effective billing rates, and the estimated contractual payment periods are updated at each </w:t>
      </w:r>
      <w:r>
        <w:rPr>
          <w:sz w:val="20"/>
          <w:szCs w:val="20"/>
        </w:rPr>
        <w:t>reporting date. Revenue is recognized over the performance period using the input method.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Professional services:</w:t>
      </w:r>
    </w:p>
    <w:p w:rsidR="00000000" w:rsidRDefault="00B30BA7">
      <w:pPr>
        <w:pStyle w:val="a3"/>
        <w:shd w:val="clear" w:color="auto" w:fill="FFFFFF"/>
        <w:spacing w:before="0" w:beforeAutospacing="0" w:after="0" w:afterAutospacing="0"/>
        <w:jc w:val="both"/>
        <w:rPr>
          <w:sz w:val="20"/>
          <w:szCs w:val="20"/>
        </w:rPr>
      </w:pPr>
      <w:r>
        <w:rPr>
          <w:i/>
          <w:iCs/>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Revenues from professional services are recorded as the services are provided as the performance obligations are satisfied over time. Reven</w:t>
      </w:r>
      <w:r>
        <w:rPr>
          <w:sz w:val="20"/>
          <w:szCs w:val="20"/>
        </w:rPr>
        <w:t>ue is recorded based on the number of hours incurred and the agreed-upon hourly rate. Invoicing is performed at the end of each month.</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Practice management services:</w:t>
      </w:r>
    </w:p>
    <w:p w:rsidR="00000000" w:rsidRDefault="00B30BA7">
      <w:pPr>
        <w:pStyle w:val="a3"/>
        <w:shd w:val="clear" w:color="auto" w:fill="FFFFFF"/>
        <w:spacing w:before="0" w:beforeAutospacing="0" w:after="0" w:afterAutospacing="0"/>
        <w:jc w:val="both"/>
        <w:rPr>
          <w:sz w:val="20"/>
          <w:szCs w:val="20"/>
        </w:rPr>
      </w:pPr>
      <w:r>
        <w:rPr>
          <w:i/>
          <w:iCs/>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estimate the amount that will be collected on claims submitted to insurance carriers which is used to determine the compensation to be paid to the owners of the managed practices. These compensation amounts reduce the revenue that the Company recognizes si</w:t>
      </w:r>
      <w:r>
        <w:rPr>
          <w:sz w:val="20"/>
          <w:szCs w:val="20"/>
        </w:rPr>
        <w:t>nce they are deducted from gross billings. The estimate of the amounts to be received from the insurance claims are updated at each reporting period.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Although we believe that our approach to estimates and judgments is reasonable, actual results could dif</w:t>
      </w:r>
      <w:r>
        <w:rPr>
          <w:sz w:val="20"/>
          <w:szCs w:val="20"/>
        </w:rPr>
        <w:t xml:space="preserve">fer, and we may be exposed to increases or decreases in revenue that could be material. Our estimates of variable consideration may prove to be inaccurate, in which case we may have understated or overstated the revenue recognized in an accounting period. </w:t>
      </w:r>
      <w:r>
        <w:rPr>
          <w:sz w:val="20"/>
          <w:szCs w:val="20"/>
        </w:rPr>
        <w:t>The amount of variable consideration recognized to date that remains subject to estimation is included within the contract asset in the consolidated balance sheets.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u w:val="single"/>
        </w:rPr>
        <w:t>Contingent Consideration:</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If a business combination provides for contingent considerati</w:t>
      </w:r>
      <w:r>
        <w:rPr>
          <w:sz w:val="20"/>
          <w:szCs w:val="20"/>
        </w:rPr>
        <w:t>on, the Company records the contingent consideration at fair value at the acquisition date. The Company adjusts the contingent consideration liability at the end of each reporting period based on fair value inputs representing changes in forecasted revenue</w:t>
      </w:r>
      <w:r>
        <w:rPr>
          <w:sz w:val="20"/>
          <w:szCs w:val="20"/>
        </w:rPr>
        <w:t xml:space="preserve"> of the acquired entities and the probability of an adjustment to the purchase price. Critical estimates include determining the forecasted revenue for certain acquisitions, probability and timing of cash collections and an appropriate discount rate. Chang</w:t>
      </w:r>
      <w:r>
        <w:rPr>
          <w:sz w:val="20"/>
          <w:szCs w:val="20"/>
        </w:rPr>
        <w:t>es in the fair value of the contingent consideration after the acquisition date are included in earnings if the contingent consideration is recorded as a liability.</w:t>
      </w:r>
    </w:p>
    <w:p w:rsidR="00000000" w:rsidRDefault="00B30BA7">
      <w:pPr>
        <w:pStyle w:val="a3"/>
        <w:shd w:val="clear" w:color="auto" w:fill="FFFFFF"/>
        <w:spacing w:before="0" w:beforeAutospacing="0" w:after="0" w:afterAutospacing="0"/>
        <w:jc w:val="both"/>
        <w:rPr>
          <w:sz w:val="20"/>
          <w:szCs w:val="20"/>
        </w:rPr>
      </w:pPr>
      <w:r>
        <w:rPr>
          <w:i/>
          <w:iCs/>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u w:val="single"/>
        </w:rPr>
        <w:t>Goodwill Impairment:</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Goodwill is evaluated for impairment annually as of October 31</w:t>
      </w:r>
      <w:r>
        <w:rPr>
          <w:sz w:val="20"/>
          <w:szCs w:val="20"/>
          <w:vertAlign w:val="superscript"/>
        </w:rPr>
        <w:t>st</w:t>
      </w:r>
      <w:r>
        <w:rPr>
          <w:sz w:val="20"/>
          <w:szCs w:val="20"/>
        </w:rPr>
        <w:t xml:space="preserve">, </w:t>
      </w:r>
      <w:r>
        <w:rPr>
          <w:sz w:val="20"/>
          <w:szCs w:val="20"/>
        </w:rPr>
        <w:t>referred to as the annual test date. The Company will also test for impairment between annual test dates if an event occurs or circumstances change that would indicate the carrying amount may be impaired. Impairment testing for goodwill is performed at the</w:t>
      </w:r>
      <w:r>
        <w:rPr>
          <w:sz w:val="20"/>
          <w:szCs w:val="20"/>
        </w:rPr>
        <w:t xml:space="preserve"> reporting-unit level. The Company has determined that its business consists of two operating segments and two reporting units (Healthcare IT and Practice Management). Application of the goodwill impairment test requires judgment including the use of a dis</w:t>
      </w:r>
      <w:r>
        <w:rPr>
          <w:sz w:val="20"/>
          <w:szCs w:val="20"/>
        </w:rPr>
        <w:t xml:space="preserve">counted cash flow and market approach methodology. These analyses require significant assumptions and judgments. These assumptions and judgments include estimation of future cash flows, which is dependent on internal forecasts, estimation of the long-term </w:t>
      </w:r>
      <w:r>
        <w:rPr>
          <w:sz w:val="20"/>
          <w:szCs w:val="20"/>
        </w:rPr>
        <w:t>rate of growth for our business, estimation of the useful life over which cash flows will occur, determination of our weighted average cost of capital and the selection of comparable companies and the interpretation of their data. Future business and econo</w:t>
      </w:r>
      <w:r>
        <w:rPr>
          <w:sz w:val="20"/>
          <w:szCs w:val="20"/>
        </w:rPr>
        <w:t>mic conditions, as well as differences in actual financial results related to any of the assumptions, could materially impact the consolidated financial statements through impairment of goodwill or intangible assets and acceleration of the amortization per</w:t>
      </w:r>
      <w:r>
        <w:rPr>
          <w:sz w:val="20"/>
          <w:szCs w:val="20"/>
        </w:rPr>
        <w:t>iod of the purchased intangible assets which are finite-lived assets. No impairment charges were recorded during the years ended December 31, 2021 or 2020.</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24988868"/>
        </w:trPr>
        <w:tc>
          <w:tcPr>
            <w:tcW w:w="5000" w:type="pct"/>
            <w:hideMark/>
          </w:tcPr>
          <w:p w:rsidR="00000000" w:rsidRDefault="00B30BA7">
            <w:pPr>
              <w:jc w:val="center"/>
              <w:rPr>
                <w:rFonts w:eastAsia="Times New Roman"/>
                <w:sz w:val="20"/>
                <w:szCs w:val="20"/>
              </w:rPr>
            </w:pPr>
            <w:r>
              <w:rPr>
                <w:rFonts w:eastAsia="Times New Roman"/>
                <w:sz w:val="20"/>
                <w:szCs w:val="20"/>
              </w:rPr>
              <w:t>4</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u w:val="single"/>
        </w:rPr>
        <w:t>Business Combinations: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 xml:space="preserve">Company accounts for business combinations under the provisions of ASC 805, </w:t>
      </w:r>
      <w:r>
        <w:rPr>
          <w:i/>
          <w:iCs/>
          <w:sz w:val="20"/>
          <w:szCs w:val="20"/>
        </w:rPr>
        <w:t>Business Combinations</w:t>
      </w:r>
      <w:r>
        <w:rPr>
          <w:sz w:val="20"/>
          <w:szCs w:val="20"/>
        </w:rPr>
        <w:t xml:space="preserve">, which requires that the acquisition </w:t>
      </w:r>
      <w:r>
        <w:rPr>
          <w:sz w:val="20"/>
          <w:szCs w:val="20"/>
        </w:rPr>
        <w:t xml:space="preserve">method of accounting be used for all business combinations. Assets acquired and liabilities assumed are recorded at the date of acquisition at their respective fair values. The fair value amount assigned to intangible assets is based on an exit price from </w:t>
      </w:r>
      <w:r>
        <w:rPr>
          <w:sz w:val="20"/>
          <w:szCs w:val="20"/>
        </w:rPr>
        <w:t>a market participant’s viewpoint, and utilizes data such as discounted cash flow analysis and replacement cost models. Critical estimates in valuing certain intangible assets include, but are not limited to, historical and projected client retention rates,</w:t>
      </w:r>
      <w:r>
        <w:rPr>
          <w:sz w:val="20"/>
          <w:szCs w:val="20"/>
        </w:rPr>
        <w:t xml:space="preserve"> expected future cash inflows and outflows, discount rates, and estimated useful lives of those intangible assets. ASC 805 also specifies criteria that intangible assets acquired in a business combination must meet to be recognized and reported apart from </w:t>
      </w:r>
      <w:r>
        <w:rPr>
          <w:sz w:val="20"/>
          <w:szCs w:val="20"/>
        </w:rPr>
        <w:t>goodwill. Goodwill represents the excess purchase price over the fair value of the tangible net assets and intangible assets acquired in a business combination. Acquisition-related expenses are recognized separately from the business combinations and are e</w:t>
      </w:r>
      <w:r>
        <w:rPr>
          <w:sz w:val="20"/>
          <w:szCs w:val="20"/>
        </w:rPr>
        <w:t>xpensed as incurred.</w:t>
      </w:r>
    </w:p>
    <w:p w:rsidR="00000000" w:rsidRDefault="00B30BA7">
      <w:pPr>
        <w:pStyle w:val="a3"/>
        <w:shd w:val="clear" w:color="auto" w:fill="FFFFFF"/>
        <w:spacing w:before="0" w:beforeAutospacing="0" w:after="0" w:afterAutospacing="0"/>
        <w:jc w:val="both"/>
        <w:rPr>
          <w:sz w:val="20"/>
          <w:szCs w:val="20"/>
        </w:rPr>
      </w:pPr>
      <w:r>
        <w:rPr>
          <w:b/>
          <w:bCs/>
          <w:sz w:val="20"/>
          <w:szCs w:val="20"/>
        </w:rPr>
        <w:t> </w:t>
      </w:r>
    </w:p>
    <w:p w:rsidR="00000000" w:rsidRDefault="00B30BA7">
      <w:pPr>
        <w:pStyle w:val="a3"/>
        <w:shd w:val="clear" w:color="auto" w:fill="FFFFFF"/>
        <w:spacing w:before="0" w:beforeAutospacing="0" w:after="0" w:afterAutospacing="0"/>
        <w:jc w:val="both"/>
        <w:rPr>
          <w:sz w:val="20"/>
          <w:szCs w:val="20"/>
        </w:rPr>
      </w:pPr>
      <w:r>
        <w:rPr>
          <w:b/>
          <w:bCs/>
          <w:sz w:val="20"/>
          <w:szCs w:val="20"/>
        </w:rPr>
        <w:t>Results of Operations</w:t>
      </w:r>
    </w:p>
    <w:p w:rsidR="00000000" w:rsidRDefault="00B30BA7">
      <w:pPr>
        <w:pStyle w:val="a3"/>
        <w:shd w:val="clear" w:color="auto" w:fill="FFFFFF"/>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The following table sets forth our consolidated results of operations as a percentage of total revenue for the years shown.</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39"/>
        <w:gridCol w:w="85"/>
        <w:gridCol w:w="50"/>
        <w:gridCol w:w="983"/>
        <w:gridCol w:w="234"/>
        <w:gridCol w:w="85"/>
        <w:gridCol w:w="50"/>
        <w:gridCol w:w="985"/>
        <w:gridCol w:w="234"/>
      </w:tblGrid>
      <w:tr w:rsidR="00000000">
        <w:tc>
          <w:tcPr>
            <w:tcW w:w="0" w:type="auto"/>
            <w:vAlign w:val="bottom"/>
            <w:hideMark/>
          </w:tcPr>
          <w:p w:rsidR="00000000" w:rsidRDefault="00B30BA7">
            <w:pPr>
              <w:rPr>
                <w:rFonts w:eastAsia="Times New Roman"/>
                <w:color w:val="FFFFFF"/>
                <w:sz w:val="20"/>
                <w:szCs w:val="20"/>
              </w:rPr>
            </w:pPr>
            <w:r>
              <w:rPr>
                <w:rFonts w:eastAsia="Times New Roman"/>
                <w:color w:val="FFFFFF"/>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62.3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61.7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21.7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Change </w:t>
            </w:r>
            <w:r>
              <w:rPr>
                <w:rFonts w:eastAsia="Times New Roman"/>
                <w:sz w:val="20"/>
                <w:szCs w:val="20"/>
              </w:rPr>
              <w:t>in contingent consideration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97.5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0.4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Income (loss) before income taxes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Income </w:t>
            </w:r>
            <w:r>
              <w:rPr>
                <w:rFonts w:eastAsia="Times New Roman"/>
                <w:sz w:val="20"/>
                <w:szCs w:val="20"/>
              </w:rPr>
              <w:t>tax provision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0.1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Net income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rPr>
          <w:sz w:val="20"/>
          <w:szCs w:val="20"/>
        </w:rPr>
      </w:pPr>
      <w:r>
        <w:rPr>
          <w:b/>
          <w:bCs/>
          <w:i/>
          <w:iCs/>
          <w:sz w:val="20"/>
          <w:szCs w:val="20"/>
        </w:rPr>
        <w:t>Comparison of 2021 and 2020</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1610"/>
        <w:gridCol w:w="98"/>
        <w:gridCol w:w="100"/>
        <w:gridCol w:w="796"/>
        <w:gridCol w:w="50"/>
        <w:gridCol w:w="88"/>
        <w:gridCol w:w="100"/>
        <w:gridCol w:w="796"/>
        <w:gridCol w:w="50"/>
        <w:gridCol w:w="88"/>
        <w:gridCol w:w="101"/>
        <w:gridCol w:w="796"/>
        <w:gridCol w:w="50"/>
        <w:gridCol w:w="88"/>
        <w:gridCol w:w="51"/>
        <w:gridCol w:w="785"/>
        <w:gridCol w:w="1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 xml:space="preserve">Year Ended </w:t>
            </w:r>
            <w:r>
              <w:rPr>
                <w:rFonts w:eastAsia="Times New Roman"/>
                <w:b/>
                <w:bCs/>
                <w:sz w:val="20"/>
                <w:szCs w:val="20"/>
              </w:rPr>
              <w:b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Change</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Amount</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Percent</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14"/>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1400" w:type="pct"/>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Net </w:t>
            </w:r>
            <w:r>
              <w:rPr>
                <w:rFonts w:eastAsia="Times New Roman"/>
                <w:sz w:val="20"/>
                <w:szCs w:val="20"/>
              </w:rPr>
              <w:t>revenue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139,599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105,122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34,477</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33</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28553641"/>
        </w:trPr>
        <w:tc>
          <w:tcPr>
            <w:tcW w:w="5000" w:type="pct"/>
            <w:hideMark/>
          </w:tcPr>
          <w:p w:rsidR="00000000" w:rsidRDefault="00B30BA7">
            <w:pPr>
              <w:jc w:val="center"/>
              <w:rPr>
                <w:rFonts w:eastAsia="Times New Roman"/>
                <w:sz w:val="20"/>
                <w:szCs w:val="20"/>
              </w:rPr>
            </w:pPr>
            <w:r>
              <w:rPr>
                <w:rFonts w:eastAsia="Times New Roman"/>
                <w:sz w:val="20"/>
                <w:szCs w:val="20"/>
              </w:rPr>
              <w:t>4</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 xml:space="preserve">Net revenue. </w:t>
      </w:r>
      <w:r>
        <w:rPr>
          <w:sz w:val="20"/>
          <w:szCs w:val="20"/>
        </w:rPr>
        <w:t>Net revenue of $139.6 million for the year ended December 31, 2021 increased by $34.5 million or 33% from revenue of $105.1 million for the year ended December 31, 2020. Total revenue for the year ended December 31, 2021 included approximately $71.4 millio</w:t>
      </w:r>
      <w:r>
        <w:rPr>
          <w:sz w:val="20"/>
          <w:szCs w:val="20"/>
        </w:rPr>
        <w:t>n from customers acquired in the CCH and Meridian acquisitions and approximately $15.9 million from the medSR acquisition. The year 2021 includes a full year of revenue from the Meridian acquisition. Revenue for the year ended December 31, 2021 includes $1</w:t>
      </w:r>
      <w:r>
        <w:rPr>
          <w:sz w:val="20"/>
          <w:szCs w:val="20"/>
        </w:rPr>
        <w:t>05.5 million relating to technology-enabled business solutions, $19.0 million related to professional services, $12.5 million for practice management services and $2.6 million from printing and mailing and group purchasing services.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06"/>
        <w:gridCol w:w="150"/>
        <w:gridCol w:w="100"/>
        <w:gridCol w:w="898"/>
        <w:gridCol w:w="67"/>
        <w:gridCol w:w="150"/>
        <w:gridCol w:w="100"/>
        <w:gridCol w:w="898"/>
        <w:gridCol w:w="67"/>
        <w:gridCol w:w="150"/>
        <w:gridCol w:w="101"/>
        <w:gridCol w:w="899"/>
        <w:gridCol w:w="68"/>
        <w:gridCol w:w="151"/>
        <w:gridCol w:w="68"/>
        <w:gridCol w:w="899"/>
        <w:gridCol w:w="234"/>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w:t>
            </w:r>
            <w:r>
              <w:rPr>
                <w:rFonts w:eastAsia="Times New Roman"/>
                <w:b/>
                <w:bCs/>
                <w:sz w:val="20"/>
                <w:szCs w:val="20"/>
              </w:rPr>
              <w:br/>
              <w:t>Decemb</w:t>
            </w:r>
            <w:r>
              <w:rPr>
                <w:rFonts w:eastAsia="Times New Roman"/>
                <w:b/>
                <w:bCs/>
                <w:sz w:val="20"/>
                <w:szCs w:val="20"/>
              </w:rPr>
              <w:t>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Change</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Amount</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Percent</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14"/>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B30BA7">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86,918</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64,821</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22,097</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8,786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6,582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2,204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24,273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22,811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1,462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4,408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9,311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(4,903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(1,515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(152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1,927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573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10,268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8,551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1,717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2,005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963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1,042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Total </w:t>
            </w:r>
            <w:r>
              <w:rPr>
                <w:rFonts w:eastAsia="Times New Roman"/>
                <w:sz w:val="20"/>
                <w:szCs w:val="20"/>
              </w:rPr>
              <w:t>operating expenses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136,070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113,393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22,677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Direct Operating Costs. </w:t>
      </w:r>
      <w:r>
        <w:rPr>
          <w:sz w:val="20"/>
          <w:szCs w:val="20"/>
        </w:rPr>
        <w:t xml:space="preserve">Direct operating costs of $86.9 million for the year ended December 31, 2021 increased by $22.1 million or </w:t>
      </w:r>
      <w:r>
        <w:rPr>
          <w:sz w:val="20"/>
          <w:szCs w:val="20"/>
        </w:rPr>
        <w:t>34% from direct operating costs of $64.8 million for the year ended December 31, 2020. Salary costs increased by $15.3 million primarily as a result of the medSR and Meridian acquisitions. Outsourcing and other customer processing costs increased by $7.4 m</w:t>
      </w:r>
      <w:r>
        <w:rPr>
          <w:sz w:val="20"/>
          <w:szCs w:val="20"/>
        </w:rPr>
        <w:t>illion, outside consultant costs decreased by $326,000 and facility costs decreased by $173,000.</w:t>
      </w:r>
    </w:p>
    <w:p w:rsidR="00000000" w:rsidRDefault="00B30BA7">
      <w:pPr>
        <w:pStyle w:val="a3"/>
        <w:shd w:val="clear" w:color="auto" w:fill="FFFFFF"/>
        <w:spacing w:before="0" w:beforeAutospacing="0" w:after="0" w:afterAutospacing="0"/>
        <w:jc w:val="both"/>
        <w:rPr>
          <w:sz w:val="20"/>
          <w:szCs w:val="20"/>
        </w:rPr>
      </w:pPr>
      <w:r>
        <w:rPr>
          <w:i/>
          <w:iCs/>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$8.8 million for the year ended December 31, 2021 increased by $2.2 million or 33% from selli</w:t>
      </w:r>
      <w:r>
        <w:rPr>
          <w:sz w:val="20"/>
          <w:szCs w:val="20"/>
        </w:rPr>
        <w:t>ng and marketing expense of $6.6 million for the year ended December 31, 2020. The increase was primarily related to additional emphasis on sales and marketing activities in CareCloud Health and medSR.</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w:t>
      </w:r>
      <w:r>
        <w:rPr>
          <w:sz w:val="20"/>
          <w:szCs w:val="20"/>
        </w:rPr>
        <w:t>nistrative expense of $24.3 million for the year ended December 31, 2021 increased by $1.5 million or 6% from general and administrative expense of $22.8 million for the year ended December 31, 2020. Salary costs increased by $440,000 as a result of the me</w:t>
      </w:r>
      <w:r>
        <w:rPr>
          <w:sz w:val="20"/>
          <w:szCs w:val="20"/>
        </w:rPr>
        <w:t xml:space="preserve">dSR acquisition. </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 of $4.4 million for the year ended December </w:t>
      </w:r>
      <w:r>
        <w:rPr>
          <w:sz w:val="20"/>
          <w:szCs w:val="20"/>
        </w:rPr>
        <w:t>31, 2021 decreased by $4.9 million or 53% from research and development expense of $9.3 million in the prior year. The decrease resulted from an increase in internally developed software projects which were capitalized and use of offshore resources for sof</w:t>
      </w:r>
      <w:r>
        <w:rPr>
          <w:sz w:val="20"/>
          <w:szCs w:val="20"/>
        </w:rPr>
        <w:t>tware maintenance which is expensed.</w:t>
      </w:r>
    </w:p>
    <w:p w:rsidR="00000000" w:rsidRDefault="00B30BA7">
      <w:pPr>
        <w:pStyle w:val="a3"/>
        <w:shd w:val="clear" w:color="auto" w:fill="FFFFFF"/>
        <w:spacing w:before="0" w:beforeAutospacing="0" w:after="0" w:afterAutospacing="0"/>
        <w:jc w:val="both"/>
        <w:rPr>
          <w:sz w:val="20"/>
          <w:szCs w:val="20"/>
        </w:rPr>
      </w:pPr>
      <w:r>
        <w:rPr>
          <w:i/>
          <w:iCs/>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Change in Contingent Consideration. </w:t>
      </w:r>
      <w:r>
        <w:rPr>
          <w:sz w:val="20"/>
          <w:szCs w:val="20"/>
        </w:rPr>
        <w:t>The change of $2.5 million and $1.0 million for the years ended 2021 and 2020, respectively, relates to changes in the fair value of the contingent consideration.</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Depreciation. </w:t>
      </w:r>
      <w:r>
        <w:rPr>
          <w:sz w:val="20"/>
          <w:szCs w:val="20"/>
        </w:rPr>
        <w:t>Depreciation of $1.9 million for the year ended December 31, 2021 increased b</w:t>
      </w:r>
      <w:r>
        <w:rPr>
          <w:sz w:val="20"/>
          <w:szCs w:val="20"/>
        </w:rPr>
        <w:t>y $573,000 or 42% from depreciation of $1.4 million for the year ended December 31, 2020, primarily as a result of additional property and equipment purchases and the property and equipment obtained from the medSR and Meridian acquisitions.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Amortization </w:t>
      </w:r>
      <w:r>
        <w:rPr>
          <w:i/>
          <w:iCs/>
          <w:sz w:val="20"/>
          <w:szCs w:val="20"/>
        </w:rPr>
        <w:t xml:space="preserve">Expense. </w:t>
      </w:r>
      <w:r>
        <w:rPr>
          <w:sz w:val="20"/>
          <w:szCs w:val="20"/>
        </w:rPr>
        <w:t>Amortization expense of $10.3 million for the year ended December 31, 2021 increased by $1.7 million or 20% from amortization expense of $8.6 million for the year ended December 31, 2020. The increase was primarily related to the intangible assets</w:t>
      </w:r>
      <w:r>
        <w:rPr>
          <w:sz w:val="20"/>
          <w:szCs w:val="20"/>
        </w:rPr>
        <w:t xml:space="preserve"> acquired from the medSR and Meridian acquisitions.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Loss on lease termination, Impairment and Unoccupied Lease Charges. </w:t>
      </w:r>
      <w:r>
        <w:rPr>
          <w:sz w:val="20"/>
          <w:szCs w:val="20"/>
        </w:rPr>
        <w:t>Loss on lease termination represents the write-off of leasehold improvements as the result of an early lease termination. Impairment c</w:t>
      </w:r>
      <w:r>
        <w:rPr>
          <w:sz w:val="20"/>
          <w:szCs w:val="20"/>
        </w:rPr>
        <w:t>harges represent charges recorded for a leased facility no longer being used by the Company and a non-cancellable vendor contract where the services are no longer being used. Unoccupied lease charges represent the portion of lease and related costs for tha</w:t>
      </w:r>
      <w:r>
        <w:rPr>
          <w:sz w:val="20"/>
          <w:szCs w:val="20"/>
        </w:rPr>
        <w:t>t portion of the space that is vacant and not being utilized by the Company. The Company is marketing the unused space for sub-lease. The Company was able to turn back to the landlord one of the unused facilities effective January 1, 2022.</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2701581"/>
        </w:trPr>
        <w:tc>
          <w:tcPr>
            <w:tcW w:w="5000" w:type="pct"/>
            <w:hideMark/>
          </w:tcPr>
          <w:p w:rsidR="00000000" w:rsidRDefault="00B30BA7">
            <w:pPr>
              <w:jc w:val="center"/>
              <w:rPr>
                <w:rFonts w:eastAsia="Times New Roman"/>
                <w:sz w:val="20"/>
                <w:szCs w:val="20"/>
              </w:rPr>
            </w:pPr>
            <w:r>
              <w:rPr>
                <w:rFonts w:eastAsia="Times New Roman"/>
                <w:sz w:val="20"/>
                <w:szCs w:val="20"/>
              </w:rPr>
              <w:t>5</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971"/>
        <w:gridCol w:w="131"/>
        <w:gridCol w:w="100"/>
        <w:gridCol w:w="803"/>
        <w:gridCol w:w="67"/>
        <w:gridCol w:w="121"/>
        <w:gridCol w:w="100"/>
        <w:gridCol w:w="804"/>
        <w:gridCol w:w="67"/>
        <w:gridCol w:w="122"/>
        <w:gridCol w:w="101"/>
        <w:gridCol w:w="804"/>
        <w:gridCol w:w="67"/>
        <w:gridCol w:w="122"/>
        <w:gridCol w:w="57"/>
        <w:gridCol w:w="804"/>
        <w:gridCol w:w="234"/>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 xml:space="preserve">Year Ended </w:t>
            </w:r>
            <w:r>
              <w:rPr>
                <w:rFonts w:eastAsia="Times New Roman"/>
                <w:b/>
                <w:bCs/>
                <w:sz w:val="20"/>
                <w:szCs w:val="20"/>
              </w:rPr>
              <w:b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Change</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Amount</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Percent</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14"/>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B30BA7">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42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(27</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(64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(455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(1,471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Income tax provision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Interest Income. </w:t>
      </w:r>
      <w:r>
        <w:rPr>
          <w:sz w:val="20"/>
          <w:szCs w:val="20"/>
        </w:rPr>
        <w:t xml:space="preserve">Interest income of $15,000 </w:t>
      </w:r>
      <w:r>
        <w:rPr>
          <w:sz w:val="20"/>
          <w:szCs w:val="20"/>
        </w:rPr>
        <w:t>for the year ended December 31, 2021 decreased by $27,000 or 64% from interest income of $42,000 for the year ended December 31, 2020. Interest income primarily represents interest earned on temporary cash investments and late fees from customers.</w:t>
      </w:r>
    </w:p>
    <w:p w:rsidR="00000000" w:rsidRDefault="00B30BA7">
      <w:pPr>
        <w:pStyle w:val="a3"/>
        <w:shd w:val="clear" w:color="auto" w:fill="FFFFFF"/>
        <w:spacing w:before="0" w:beforeAutospacing="0" w:after="0" w:afterAutospacing="0"/>
        <w:jc w:val="both"/>
        <w:rPr>
          <w:sz w:val="20"/>
          <w:szCs w:val="20"/>
        </w:rPr>
      </w:pPr>
      <w:r>
        <w:rPr>
          <w:i/>
          <w:iCs/>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Intere</w:t>
      </w:r>
      <w:r>
        <w:rPr>
          <w:i/>
          <w:iCs/>
          <w:sz w:val="20"/>
          <w:szCs w:val="20"/>
        </w:rPr>
        <w:t xml:space="preserve">st Expense. </w:t>
      </w:r>
      <w:r>
        <w:rPr>
          <w:sz w:val="20"/>
          <w:szCs w:val="20"/>
        </w:rPr>
        <w:t>Interest expense of $455,000 for the year ended December 31, 2021 decreased by $33,000 or 7% from interest expense of $488,000 for the year ended December 31, 2020. Interest expense also includes the amortization of deferred financing costs whi</w:t>
      </w:r>
      <w:r>
        <w:rPr>
          <w:sz w:val="20"/>
          <w:szCs w:val="20"/>
        </w:rPr>
        <w:t>ch was approximately $200,000 and $180,000 during the years ended December 31, 2021 and 2020, respectively.</w:t>
      </w:r>
    </w:p>
    <w:p w:rsidR="00000000" w:rsidRDefault="00B30BA7">
      <w:pPr>
        <w:pStyle w:val="a3"/>
        <w:shd w:val="clear" w:color="auto" w:fill="FFFFFF"/>
        <w:spacing w:before="0" w:beforeAutospacing="0" w:after="0" w:afterAutospacing="0"/>
        <w:jc w:val="both"/>
        <w:rPr>
          <w:sz w:val="20"/>
          <w:szCs w:val="20"/>
        </w:rPr>
      </w:pPr>
      <w:r>
        <w:rPr>
          <w:b/>
          <w:bCs/>
          <w:i/>
          <w:iCs/>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 xml:space="preserve">Other (Expense) Income - net. </w:t>
      </w:r>
      <w:r>
        <w:rPr>
          <w:sz w:val="20"/>
          <w:szCs w:val="20"/>
        </w:rPr>
        <w:t>Other expense - net was $96,000 for the year ended December 31, 2021 compared to other income - net of $7,000 for th</w:t>
      </w:r>
      <w:r>
        <w:rPr>
          <w:sz w:val="20"/>
          <w:szCs w:val="20"/>
        </w:rPr>
        <w:t xml:space="preserve">e year ended December 31, 2020. Included in other (expense) income - net are foreign currency transaction gains (losses) primarily resulting from transactions in foreign currencies other than the functional currency. These transaction gains and losses are </w:t>
      </w:r>
      <w:r>
        <w:rPr>
          <w:sz w:val="20"/>
          <w:szCs w:val="20"/>
        </w:rPr>
        <w:t>recorded in the consolidated statements of operations related to the recurring measurement and settlement of such transactions.</w:t>
      </w:r>
    </w:p>
    <w:p w:rsidR="00000000" w:rsidRDefault="00B30BA7">
      <w:pPr>
        <w:pStyle w:val="a3"/>
        <w:shd w:val="clear" w:color="auto" w:fill="FFFFFF"/>
        <w:spacing w:before="0" w:beforeAutospacing="0" w:after="0" w:afterAutospacing="0"/>
        <w:ind w:firstLine="54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i/>
          <w:iCs/>
          <w:sz w:val="20"/>
          <w:szCs w:val="20"/>
        </w:rPr>
        <w:t xml:space="preserve">Income Tax Provision. </w:t>
      </w:r>
      <w:r>
        <w:rPr>
          <w:sz w:val="20"/>
          <w:szCs w:val="20"/>
        </w:rPr>
        <w:t>There was a $157,000 provision for income taxes for the year ended December 31, 2021, compared to the pr</w:t>
      </w:r>
      <w:r>
        <w:rPr>
          <w:sz w:val="20"/>
          <w:szCs w:val="20"/>
        </w:rPr>
        <w:t>ovision for income taxes of $103,000 for the year ended December 31, 2020.</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current income tax benefit for the year ended December 31, 2021 was approximately $132,000 compared to a tax provision of $187,000, for the year ended December 31, 2020. In 20</w:t>
      </w:r>
      <w:r>
        <w:rPr>
          <w:sz w:val="20"/>
          <w:szCs w:val="20"/>
        </w:rPr>
        <w:t>21, there was a net operating loss carryback of $285,000 recorded as a result of pre-acquisition losses of Meridian. The balance of the provision for 2021 and for 2020 primarily relates to state minimum taxes and foreign income taxes. The pre-tax income wa</w:t>
      </w:r>
      <w:r>
        <w:rPr>
          <w:sz w:val="20"/>
          <w:szCs w:val="20"/>
        </w:rPr>
        <w:t>s $3.0 million for the year ended December 31, 2021 and the pre-tax loss was $8.7 million for the year ended December 31, 2020. The Company has incurred losses historically and there is uncertainty regarding future U.S. taxable income, which make realizati</w:t>
      </w:r>
      <w:r>
        <w:rPr>
          <w:sz w:val="20"/>
          <w:szCs w:val="20"/>
        </w:rPr>
        <w:t>on of a deferred tax asset difficult to support in accordance with ASC 740. Accordingly, a valuation allowance was recorded against all deferred tax assets at December 31, 2021 and 2020.</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Company has recorded goodwill as a result of its acquisitions. </w:t>
      </w:r>
      <w:r>
        <w:rPr>
          <w:sz w:val="20"/>
          <w:szCs w:val="20"/>
        </w:rPr>
        <w:t>Goodwill is generally not amortized for financial reporting purposes. However, goodwill from asset acquisitions is tax deductible and amortized over 15 years for tax purposes. As such, deferred income tax expense and a deferred tax liability arise as a res</w:t>
      </w:r>
      <w:r>
        <w:rPr>
          <w:sz w:val="20"/>
          <w:szCs w:val="20"/>
        </w:rPr>
        <w:t>ult of the tax-deductibility of this indefinitely lived asset. The resulting deferred tax liability, which is expected to continue to be recorded over the amortization period, will have an indefinite life. As a result of the Company incurring tax losses fo</w:t>
      </w:r>
      <w:r>
        <w:rPr>
          <w:sz w:val="20"/>
          <w:szCs w:val="20"/>
        </w:rPr>
        <w:t xml:space="preserve">r 2021 and 2020 which have an indefinite life under the recent tax reform legislation, the federal deferred tax liability resulting from the amortization of goodwill was offset against these indefinite federal operating net loss deferred tax assets to the </w:t>
      </w:r>
      <w:r>
        <w:rPr>
          <w:sz w:val="20"/>
          <w:szCs w:val="20"/>
        </w:rPr>
        <w:t>extent allowable. The remaining deferred tax liability could remain on the Company’s consolidated balance sheet indefinitely unless there is an impairment of goodwill (for financial reporting purposes) or a portion of the related business is sold.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Co</w:t>
      </w:r>
      <w:r>
        <w:rPr>
          <w:sz w:val="20"/>
          <w:szCs w:val="20"/>
        </w:rPr>
        <w:t>mpany will maintain a full valuation allowance on deferred tax assets until there is sufficient evidence to support the reversal of all or some portion of these allowances. While the Company had GAAP earnings in 2021 and plans to be profitable in the futur</w:t>
      </w:r>
      <w:r>
        <w:rPr>
          <w:sz w:val="20"/>
          <w:szCs w:val="20"/>
        </w:rPr>
        <w:t>e and begin utilizing these deferred tax assets, the Company currently lacks sufficient evidence to allow it to release the valuation allowance in 2021 and 2020. Release of the valuation allowance would result in the recognition of certain deferred tax ass</w:t>
      </w:r>
      <w:r>
        <w:rPr>
          <w:sz w:val="20"/>
          <w:szCs w:val="20"/>
        </w:rPr>
        <w:t>ets and an income tax benefit in the period of release.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As of December 31, 2021, the Company has a total federal NOL carry forward of approximately $274.5 million of which approximately $198.8 million will expire between 2034 and 2037, and the balance of</w:t>
      </w:r>
      <w:r>
        <w:rPr>
          <w:sz w:val="20"/>
          <w:szCs w:val="20"/>
        </w:rPr>
        <w:t xml:space="preserve"> approximately $75.7 million has an indefinite life. Out of the total federal NOL carry forward, approximately $237.6 million is from the CareCloud and Meridian acquisitions and is subject to the federal Section 382 NOL annual usage limitations. The Compan</w:t>
      </w:r>
      <w:r>
        <w:rPr>
          <w:sz w:val="20"/>
          <w:szCs w:val="20"/>
        </w:rPr>
        <w:t>y has state NOL carry forwards of approximately $212.1 million, of which $86.5 million relates to the State of New Jersey. These NOLs expire between 2034 and 2040.</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81495217"/>
        </w:trPr>
        <w:tc>
          <w:tcPr>
            <w:tcW w:w="5000" w:type="pct"/>
            <w:hideMark/>
          </w:tcPr>
          <w:p w:rsidR="00000000" w:rsidRDefault="00B30BA7">
            <w:pPr>
              <w:jc w:val="center"/>
              <w:rPr>
                <w:rFonts w:eastAsia="Times New Roman"/>
                <w:sz w:val="20"/>
                <w:szCs w:val="20"/>
              </w:rPr>
            </w:pPr>
            <w:r>
              <w:rPr>
                <w:rFonts w:eastAsia="Times New Roman"/>
                <w:sz w:val="20"/>
                <w:szCs w:val="20"/>
              </w:rPr>
              <w:t>5</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rPr>
          <w:sz w:val="20"/>
          <w:szCs w:val="20"/>
        </w:rPr>
      </w:pPr>
      <w:r>
        <w:rPr>
          <w:b/>
          <w:bCs/>
          <w:sz w:val="20"/>
          <w:szCs w:val="20"/>
        </w:rPr>
        <w:t>Liquidity and Capital Resources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During </w:t>
      </w:r>
      <w:r>
        <w:rPr>
          <w:sz w:val="20"/>
          <w:szCs w:val="20"/>
        </w:rPr>
        <w:t>the year ended December 31, 2021, there was positive cash flow from operations of $13.3 million and at year-end, the Company had $10.3 million in cash and restricted cash and positive working capital of $6.0 million. During the year ended December 31, 2020</w:t>
      </w:r>
      <w:r>
        <w:rPr>
          <w:sz w:val="20"/>
          <w:szCs w:val="20"/>
        </w:rPr>
        <w:t xml:space="preserve">, there was </w:t>
      </w:r>
      <w:r>
        <w:rPr>
          <w:color w:val="000000"/>
          <w:sz w:val="20"/>
          <w:szCs w:val="20"/>
        </w:rPr>
        <w:t xml:space="preserve">negative cash flow from operations of </w:t>
      </w:r>
      <w:r>
        <w:rPr>
          <w:sz w:val="20"/>
          <w:szCs w:val="20"/>
        </w:rPr>
        <w:t xml:space="preserve">approximately $892,000 </w:t>
      </w:r>
      <w:r>
        <w:rPr>
          <w:color w:val="000000"/>
          <w:sz w:val="20"/>
          <w:szCs w:val="20"/>
        </w:rPr>
        <w:t xml:space="preserve">and at </w:t>
      </w:r>
      <w:r>
        <w:rPr>
          <w:sz w:val="20"/>
          <w:szCs w:val="20"/>
        </w:rPr>
        <w:t xml:space="preserve">year-end </w:t>
      </w:r>
      <w:r>
        <w:rPr>
          <w:color w:val="000000"/>
          <w:sz w:val="20"/>
          <w:szCs w:val="20"/>
        </w:rPr>
        <w:t xml:space="preserve">the Company </w:t>
      </w:r>
      <w:r>
        <w:rPr>
          <w:sz w:val="20"/>
          <w:szCs w:val="20"/>
        </w:rPr>
        <w:t xml:space="preserve">had $20.9 million </w:t>
      </w:r>
      <w:r>
        <w:rPr>
          <w:color w:val="000000"/>
          <w:sz w:val="20"/>
          <w:szCs w:val="20"/>
        </w:rPr>
        <w:t xml:space="preserve">in cash and positive working capital </w:t>
      </w:r>
      <w:r>
        <w:rPr>
          <w:sz w:val="20"/>
          <w:szCs w:val="20"/>
        </w:rPr>
        <w:t>of $15.8 million. Cash used by operations in 2020 includes $10.3 million used to pay outstanding obl</w:t>
      </w:r>
      <w:r>
        <w:rPr>
          <w:sz w:val="20"/>
          <w:szCs w:val="20"/>
        </w:rPr>
        <w:t>igations assumed with the acquisitions of CareCloud and Meridian, which were anticipated at the time of acquisition and factored into the purchase prices. The Company has a revolving line of credit with SVB, and, as of December 31, 2021, there was $8 milli</w:t>
      </w:r>
      <w:r>
        <w:rPr>
          <w:sz w:val="20"/>
          <w:szCs w:val="20"/>
        </w:rPr>
        <w:t xml:space="preserve">on balance outstanding. </w:t>
      </w:r>
      <w:r>
        <w:rPr>
          <w:color w:val="000000"/>
          <w:sz w:val="20"/>
          <w:szCs w:val="20"/>
        </w:rPr>
        <w:t>During the year ended December 31, 2021, the Company sold 346,389 shares of common stock and raised $2.7 million in net proceeds after fees and expenses. The exercise of 858,000 warrants resulted in net proceeds of $6.4 million. Dur</w:t>
      </w:r>
      <w:r>
        <w:rPr>
          <w:color w:val="000000"/>
          <w:sz w:val="20"/>
          <w:szCs w:val="20"/>
        </w:rPr>
        <w:t xml:space="preserve">ing the year ended December 31, 2020, the Company sold 1,932,000 shares of Preferred Stock and raised $44.5 million in net proceeds after fees and expenses. </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rPr>
          <w:sz w:val="20"/>
          <w:szCs w:val="20"/>
        </w:rPr>
      </w:pPr>
      <w:r>
        <w:rPr>
          <w:sz w:val="20"/>
          <w:szCs w:val="20"/>
        </w:rPr>
        <w:t>The following table summarizes our cash flows for the years presented.</w:t>
      </w:r>
    </w:p>
    <w:p w:rsidR="00000000" w:rsidRDefault="00B30BA7">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06"/>
        <w:gridCol w:w="150"/>
        <w:gridCol w:w="100"/>
        <w:gridCol w:w="898"/>
        <w:gridCol w:w="67"/>
        <w:gridCol w:w="150"/>
        <w:gridCol w:w="100"/>
        <w:gridCol w:w="898"/>
        <w:gridCol w:w="67"/>
        <w:gridCol w:w="151"/>
        <w:gridCol w:w="100"/>
        <w:gridCol w:w="899"/>
        <w:gridCol w:w="68"/>
        <w:gridCol w:w="151"/>
        <w:gridCol w:w="68"/>
        <w:gridCol w:w="899"/>
        <w:gridCol w:w="234"/>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w:t>
            </w:r>
            <w:r>
              <w:rPr>
                <w:rFonts w:eastAsia="Times New Roman"/>
                <w:b/>
                <w:bCs/>
                <w:sz w:val="20"/>
                <w:szCs w:val="20"/>
              </w:rPr>
              <w:t xml:space="preserve">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Change</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Amount</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Percent</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10"/>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B30BA7">
            <w:pPr>
              <w:rPr>
                <w:rFonts w:eastAsia="Times New Roman"/>
                <w:sz w:val="20"/>
                <w:szCs w:val="20"/>
              </w:rPr>
            </w:pPr>
            <w:r>
              <w:rPr>
                <w:rFonts w:eastAsia="Times New Roman"/>
                <w:sz w:val="20"/>
                <w:szCs w:val="20"/>
              </w:rPr>
              <w:t>Net cash provided by (used in) operating activities</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13,334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(892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14,226</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1,595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Net </w:t>
            </w:r>
            <w:r>
              <w:rPr>
                <w:rFonts w:eastAsia="Times New Roman"/>
                <w:sz w:val="20"/>
                <w:szCs w:val="20"/>
              </w:rPr>
              <w:t>cash used in investing activities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(23,146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(31,469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8,323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Net cash (used in) provided by financing activities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(519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33,422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(33,941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Effect </w:t>
            </w:r>
            <w:r>
              <w:rPr>
                <w:rFonts w:eastAsia="Times New Roman"/>
                <w:sz w:val="20"/>
                <w:szCs w:val="20"/>
              </w:rPr>
              <w:t>of exchange rate changes on cash</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(124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Net (decrease) increase in cash and restricted cash</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(10,585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931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(11,516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(1,237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income before income taxes was $3.0 million for the year ended December 31, 2021, of which $12.2 million was non-cash depreciation and amortization. The loss before income taxes for the year ended December 31, 2020 was $8.7 million, of which $9.9 million w</w:t>
      </w:r>
      <w:r>
        <w:rPr>
          <w:sz w:val="20"/>
          <w:szCs w:val="20"/>
        </w:rPr>
        <w:t>as non-cash depreciation and amortization.</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Management continues to focus on the Company’</w:t>
      </w:r>
      <w:r>
        <w:rPr>
          <w:sz w:val="20"/>
          <w:szCs w:val="20"/>
        </w:rPr>
        <w:t xml:space="preserve">s overall profitability, including growing revenue and managing expenses, and expects that these efforts will continue to enhance our liquidity and financial position. Based on management’s forecasts, the Company will have sufficient liquidity to meet its </w:t>
      </w:r>
      <w:r>
        <w:rPr>
          <w:sz w:val="20"/>
          <w:szCs w:val="20"/>
        </w:rPr>
        <w:t>obligations as they become due for the next twenty-four months from the date of financial statements issuance.</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have not been adversely affected by inflation as typically we receive a percentage of the fees our clients collect from our revenue cycle ma</w:t>
      </w:r>
      <w:r>
        <w:rPr>
          <w:sz w:val="20"/>
          <w:szCs w:val="20"/>
        </w:rPr>
        <w:t>nagement services. Additionally, our practice management contracts are based on our costs plus a percentage of operating income. We continue to monitor the impact of inflation in order to minimize its effects through pricing strategies, productivity improv</w:t>
      </w:r>
      <w:r>
        <w:rPr>
          <w:sz w:val="20"/>
          <w:szCs w:val="20"/>
        </w:rPr>
        <w:t>ements and cost reductions. In the event of inflation, we believe that we will be able to pass on any price increases for fixed rate contracts to our customers, as the prices that we charge are not governed by long-term contracts.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During the second quart</w:t>
      </w:r>
      <w:r>
        <w:rPr>
          <w:sz w:val="20"/>
          <w:szCs w:val="20"/>
        </w:rPr>
        <w:t>er of 2020, patient volumes decreased due to COVID-19, but returned to near normal levels during the second half of 2020 and have remained fairly consistent since then. The Company did not have any significant employee terminations or furloughs as a result</w:t>
      </w:r>
      <w:r>
        <w:rPr>
          <w:sz w:val="20"/>
          <w:szCs w:val="20"/>
        </w:rPr>
        <w:t xml:space="preserve"> of COVID-19.</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i/>
          <w:iCs/>
          <w:sz w:val="20"/>
          <w:szCs w:val="20"/>
        </w:rPr>
        <w:t>Operating Activities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Cash provided by operating activities was $13.3 million and cash used by operating activities was $892,000 during the years ended December 31, 2021 and 2020, respectively. The increase in the net income of $11.6 milli</w:t>
      </w:r>
      <w:r>
        <w:rPr>
          <w:sz w:val="20"/>
          <w:szCs w:val="20"/>
        </w:rPr>
        <w:t>on included the following changes in non-cash items: increase in depreciation and amortization of $2.5 million, decrease in stock-based compensation of $1.1 million, and an increase in contingent consideration of $1.5 million. Revenue increased by $34.5 mi</w:t>
      </w:r>
      <w:r>
        <w:rPr>
          <w:sz w:val="20"/>
          <w:szCs w:val="20"/>
        </w:rPr>
        <w:t>llion for the year ended December 31, 2021 compared to the year ended December 31, 2020, and operating expenses increased by $22.7 million for the same period primarily due to the acquisitions of Meridian and medSR.</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Accounts receivable increased by $620,</w:t>
      </w:r>
      <w:r>
        <w:rPr>
          <w:sz w:val="20"/>
          <w:szCs w:val="20"/>
        </w:rPr>
        <w:t>000 for the year ended December 31, 2021, compared with a reduction of $394,000 for the year ended December 31, 2020. This excludes the acquired accounts receivable as part of the medSR, CareCloud and Meridian acquisitions. Accounts payable, accrued compen</w:t>
      </w:r>
      <w:r>
        <w:rPr>
          <w:sz w:val="20"/>
          <w:szCs w:val="20"/>
        </w:rPr>
        <w:t>sation and accrued expenses increased by $10.4 million during the year ended December 31, 2021, compared with an increase of $11.9 million for the year ended December 31, 2020. While the cash used to pay pre-acquisition accounts payable, accrued compensati</w:t>
      </w:r>
      <w:r>
        <w:rPr>
          <w:sz w:val="20"/>
          <w:szCs w:val="20"/>
        </w:rPr>
        <w:t>on and accrued expenses was anticipated at the time of the CareCloud, Meridian and medSR acquisitions, and was considered as part of the purchase prices of these transactions, it is shown as cash used by operations to conform with GAAP.</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43898291"/>
        </w:trPr>
        <w:tc>
          <w:tcPr>
            <w:tcW w:w="5000" w:type="pct"/>
            <w:hideMark/>
          </w:tcPr>
          <w:p w:rsidR="00000000" w:rsidRDefault="00B30BA7">
            <w:pPr>
              <w:jc w:val="center"/>
              <w:rPr>
                <w:rFonts w:eastAsia="Times New Roman"/>
                <w:sz w:val="20"/>
                <w:szCs w:val="20"/>
              </w:rPr>
            </w:pPr>
            <w:r>
              <w:rPr>
                <w:rFonts w:eastAsia="Times New Roman"/>
                <w:sz w:val="20"/>
                <w:szCs w:val="20"/>
              </w:rPr>
              <w:t>5</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Investi</w:t>
      </w:r>
      <w:r>
        <w:rPr>
          <w:b/>
          <w:bCs/>
          <w:i/>
          <w:iCs/>
          <w:sz w:val="20"/>
          <w:szCs w:val="20"/>
        </w:rPr>
        <w:t>ng Activities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Cash used in investing activities during the year ended December 31, 2021 was $23.1 million, a decrease of $8.3 million compared to $31.5 million during the year ended December 31, 2020. The change is due to the Company acquiring CareCloud and Meridian for</w:t>
      </w:r>
      <w:r>
        <w:rPr>
          <w:sz w:val="20"/>
          <w:szCs w:val="20"/>
        </w:rPr>
        <w:t xml:space="preserve"> a cash consideration of $23.7 million during 2020, while in 2021 the Company paid $12.6 million for the acquisitions of medSR. Capitalized software was $7.6 million and $5.2 million during the years ended December 31, 2021 and 2020, respectively.</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rPr>
          <w:sz w:val="20"/>
          <w:szCs w:val="20"/>
        </w:rPr>
      </w:pPr>
      <w:r>
        <w:rPr>
          <w:b/>
          <w:bCs/>
          <w:i/>
          <w:iCs/>
          <w:sz w:val="20"/>
          <w:szCs w:val="20"/>
        </w:rPr>
        <w:t>Financ</w:t>
      </w:r>
      <w:r>
        <w:rPr>
          <w:b/>
          <w:bCs/>
          <w:i/>
          <w:iCs/>
          <w:sz w:val="20"/>
          <w:szCs w:val="20"/>
        </w:rPr>
        <w:t>ing Activities</w:t>
      </w:r>
    </w:p>
    <w:p w:rsidR="00000000" w:rsidRDefault="00B30BA7">
      <w:pPr>
        <w:pStyle w:val="a3"/>
        <w:shd w:val="clear" w:color="auto" w:fill="FFFFFF"/>
        <w:spacing w:before="0" w:beforeAutospacing="0" w:after="0" w:afterAutospacing="0"/>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Cash used by financing activities during the year ended December 31, 2021 was $519,000, compared to $33.4 million of cash provided for the year ended December 31, 2020. Cash provided by financing activities during 2021 includes $6.4 millio</w:t>
      </w:r>
      <w:r>
        <w:rPr>
          <w:sz w:val="20"/>
          <w:szCs w:val="20"/>
        </w:rPr>
        <w:t>n of net proceeds from issuing 858,000 shares from the exercise of common stock warrants and $2.7 million of net proceeds after fees and expenses from issuing 346,389 shares of common stock via an “at-the-market” offering, offset by $1.0 million of repayme</w:t>
      </w:r>
      <w:r>
        <w:rPr>
          <w:sz w:val="20"/>
          <w:szCs w:val="20"/>
        </w:rPr>
        <w:t>nts for debt obligations, and $14.4 million of preferred stock dividends. Cash provided by financing activities during 2020 includes $44.5 million of net proceeds from issuing 1,932,000 shares of preferred stock, offset by $666,000 of repayments for debt o</w:t>
      </w:r>
      <w:r>
        <w:rPr>
          <w:sz w:val="20"/>
          <w:szCs w:val="20"/>
        </w:rPr>
        <w:t>bligations, and $11.4 million of preferred stock dividends. There was also $2.1 million of payments to settle the tax withholding obligations in 2021 compared to $2.2 million in 2020. The net proceeds from the line of credit were $8.0 million during the ye</w:t>
      </w:r>
      <w:r>
        <w:rPr>
          <w:sz w:val="20"/>
          <w:szCs w:val="20"/>
        </w:rPr>
        <w:t>ar ended December 31, 2021. There were no borrowings under the revolving line of credit during the year ended December 31, 2020.</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hd w:val="clear" w:color="auto" w:fill="FFFFFF"/>
        <w:spacing w:before="0" w:beforeAutospacing="0" w:after="0" w:afterAutospacing="0"/>
        <w:rPr>
          <w:sz w:val="20"/>
          <w:szCs w:val="20"/>
        </w:rPr>
      </w:pPr>
      <w:r>
        <w:rPr>
          <w:b/>
          <w:bCs/>
          <w:sz w:val="20"/>
          <w:szCs w:val="20"/>
        </w:rPr>
        <w:t>Contractual Obligations and Commitments</w:t>
      </w:r>
    </w:p>
    <w:p w:rsidR="00000000" w:rsidRDefault="00B30BA7">
      <w:pPr>
        <w:pStyle w:val="a3"/>
        <w:shd w:val="clear" w:color="auto" w:fill="FFFFFF"/>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have contractual obligations under our line of credit. We also maintain operatin</w:t>
      </w:r>
      <w:r>
        <w:rPr>
          <w:sz w:val="20"/>
          <w:szCs w:val="20"/>
        </w:rPr>
        <w:t>g leases for property and certain office equipment. We were in compliance with all SVB covenants in 2021.</w:t>
      </w:r>
    </w:p>
    <w:p w:rsidR="00000000" w:rsidRDefault="00B30BA7">
      <w:pPr>
        <w:pStyle w:val="a3"/>
        <w:shd w:val="clear" w:color="auto" w:fill="FFFFFF"/>
        <w:spacing w:before="0" w:beforeAutospacing="0" w:after="0" w:afterAutospacing="0"/>
        <w:jc w:val="both"/>
        <w:rPr>
          <w:sz w:val="20"/>
          <w:szCs w:val="20"/>
        </w:rPr>
      </w:pPr>
      <w:r>
        <w:rPr>
          <w:b/>
          <w:bCs/>
          <w:sz w:val="20"/>
          <w:szCs w:val="20"/>
        </w:rPr>
        <w:t> </w:t>
      </w:r>
    </w:p>
    <w:p w:rsidR="00000000" w:rsidRDefault="00B30BA7">
      <w:pPr>
        <w:pStyle w:val="a3"/>
        <w:shd w:val="clear" w:color="auto" w:fill="FFFFFF"/>
        <w:spacing w:before="0" w:beforeAutospacing="0" w:after="0" w:afterAutospacing="0"/>
        <w:jc w:val="both"/>
        <w:rPr>
          <w:sz w:val="20"/>
          <w:szCs w:val="20"/>
        </w:rPr>
      </w:pPr>
      <w:r>
        <w:rPr>
          <w:b/>
          <w:bCs/>
          <w:sz w:val="20"/>
          <w:szCs w:val="20"/>
        </w:rPr>
        <w:t>Off-Balance Sheet Arrangements</w:t>
      </w:r>
    </w:p>
    <w:p w:rsidR="00000000" w:rsidRDefault="00B30BA7">
      <w:pPr>
        <w:pStyle w:val="a3"/>
        <w:shd w:val="clear" w:color="auto" w:fill="FFFFFF"/>
        <w:spacing w:before="0" w:beforeAutospacing="0" w:after="0" w:afterAutospacing="0"/>
        <w:ind w:firstLine="54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As of December 31, 2021, and 2020, we did not have any relationships with unconsolidated entities or financial part</w:t>
      </w:r>
      <w:r>
        <w:rPr>
          <w:sz w:val="20"/>
          <w:szCs w:val="20"/>
        </w:rPr>
        <w:t>nerships, such as entities often referred to as structured finance or special-purpose entities, which would have been established for the purpose of facilitating off-balance sheet arrangements or other contractually narrow or limited purposes. During the f</w:t>
      </w:r>
      <w:r>
        <w:rPr>
          <w:sz w:val="20"/>
          <w:szCs w:val="20"/>
        </w:rPr>
        <w:t xml:space="preserve">irst quarter of 2020, a New Jersey corporation, talkMD Clinicians, PA (“talkMD”), was formed by the wife of the Executive Chairman, who is a licensed physician, to provide telehealth services. talkMD was determined to be a variable interest entity (“VIE”) </w:t>
      </w:r>
      <w:r>
        <w:rPr>
          <w:sz w:val="20"/>
          <w:szCs w:val="20"/>
        </w:rPr>
        <w:t>for financial reporting purposes because the entity will be controlled by the Company. As of December 31, 2021, talkMD had not yet commenced operations. During September 2021, the Company made arrangements to have the income tax returns prepared for talkMD</w:t>
      </w:r>
      <w:r>
        <w:rPr>
          <w:sz w:val="20"/>
          <w:szCs w:val="20"/>
        </w:rPr>
        <w:t xml:space="preserve"> and will advance the funds for the required taxes. The aggregate amount advanced was approximately $3,500. We do not engage in off-balance sheet financing arrangements.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7A. Quantitative and Qualitative Disclosures about Market Risk</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are a small</w:t>
      </w:r>
      <w:r>
        <w:rPr>
          <w:sz w:val="20"/>
          <w:szCs w:val="20"/>
        </w:rPr>
        <w:t>er reporting company as defined by 17 C.F.R. 229.10(f)(1) and are not required to provide information under this item, pursuant to Item 305(e) of Regulation S-K.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8. Financial Statements and Supplementary Data</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See “</w:t>
      </w:r>
      <w:r>
        <w:rPr>
          <w:sz w:val="20"/>
          <w:szCs w:val="20"/>
        </w:rPr>
        <w:t>Index to Consolidated Financial Statements” which appears on page F-1 of this Annual Report on Form 10-K.</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b/>
          <w:bCs/>
          <w:sz w:val="20"/>
          <w:szCs w:val="20"/>
        </w:rPr>
      </w:pPr>
      <w:r>
        <w:rPr>
          <w:b/>
          <w:bCs/>
          <w:sz w:val="20"/>
          <w:szCs w:val="20"/>
        </w:rPr>
        <w:t>Item 9. Changes in and Disagreements with Accountants on Accounting and Financial Disclosure</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None.</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98357630"/>
        </w:trPr>
        <w:tc>
          <w:tcPr>
            <w:tcW w:w="5000" w:type="pct"/>
            <w:hideMark/>
          </w:tcPr>
          <w:p w:rsidR="00000000" w:rsidRDefault="00B30BA7">
            <w:pPr>
              <w:jc w:val="center"/>
              <w:rPr>
                <w:rFonts w:eastAsia="Times New Roman"/>
                <w:sz w:val="20"/>
                <w:szCs w:val="20"/>
              </w:rPr>
            </w:pPr>
            <w:r>
              <w:rPr>
                <w:rFonts w:eastAsia="Times New Roman"/>
                <w:sz w:val="20"/>
                <w:szCs w:val="20"/>
              </w:rPr>
              <w:t>5</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9A. Controls and Procedures</w:t>
      </w:r>
    </w:p>
    <w:p w:rsidR="00000000" w:rsidRDefault="00B30BA7">
      <w:pPr>
        <w:pStyle w:val="a3"/>
        <w:spacing w:before="0" w:beforeAutospacing="0" w:after="0" w:afterAutospacing="0"/>
        <w:rPr>
          <w:sz w:val="20"/>
          <w:szCs w:val="20"/>
        </w:rPr>
      </w:pPr>
      <w:r>
        <w:rPr>
          <w:b/>
          <w:bCs/>
          <w:i/>
          <w:iCs/>
          <w:sz w:val="20"/>
          <w:szCs w:val="20"/>
        </w:rPr>
        <w:t> </w:t>
      </w:r>
    </w:p>
    <w:p w:rsidR="00000000" w:rsidRDefault="00B30BA7">
      <w:pPr>
        <w:pStyle w:val="a3"/>
        <w:spacing w:before="0" w:beforeAutospacing="0" w:after="0" w:afterAutospacing="0"/>
        <w:rPr>
          <w:sz w:val="20"/>
          <w:szCs w:val="20"/>
        </w:rPr>
      </w:pPr>
      <w:r>
        <w:rPr>
          <w:b/>
          <w:bCs/>
          <w:i/>
          <w:iCs/>
          <w:sz w:val="20"/>
          <w:szCs w:val="20"/>
        </w:rPr>
        <w:t>Evaluation of Disclosure Controls and Procedures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Our management, with the participation of our Chief Executive Officer and Chief Financial Officer, based on the Internal Control-Integrated Framework (2013 framework) issued by the Committee of Sponsoring </w:t>
      </w:r>
      <w:r>
        <w:rPr>
          <w:sz w:val="20"/>
          <w:szCs w:val="20"/>
        </w:rPr>
        <w:t>Organizations of the Treadway Commission (“COSO”), evaluated the effectiveness of our disclosure controls and procedures as of December 31, 2021 as required by Rules 13a-15(b) and 15d-15(b) of the Exchange Act. The term “disclosure controls and procedures,</w:t>
      </w:r>
      <w:r>
        <w:rPr>
          <w:sz w:val="20"/>
          <w:szCs w:val="20"/>
        </w:rPr>
        <w:t>” as defined in Rules 13a-15(e) and 15d-15(e) under the Exchange Act, means controls and other procedures of a company that are designed to ensure that information required to be disclosed by a company in the reports that it files or submits under the Exch</w:t>
      </w:r>
      <w:r>
        <w:rPr>
          <w:sz w:val="20"/>
          <w:szCs w:val="20"/>
        </w:rPr>
        <w:t>ange Act is recorded, processed, summarized and reported, within the time periods specified in the SEC’s rules and forms.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Disclosure controls and procedures include, without limitation, controls and procedures designed to ensure that information required</w:t>
      </w:r>
      <w:r>
        <w:rPr>
          <w:sz w:val="20"/>
          <w:szCs w:val="20"/>
        </w:rPr>
        <w:t xml:space="preserve"> to be disclosed by a company in the reports that it files or submits under the Exchange Act is accumulated and communicated to the Company’s management, including its principal executive and principal financial officers, to allow timely decisions regardin</w:t>
      </w:r>
      <w:r>
        <w:rPr>
          <w:sz w:val="20"/>
          <w:szCs w:val="20"/>
        </w:rPr>
        <w:t>g required disclosure. Management recognizes that any controls and procedures, no matter how well designed and operated, can provide only reasonable assurance of achieving their objectives and management necessarily applies its judgment in evaluating the c</w:t>
      </w:r>
      <w:r>
        <w:rPr>
          <w:sz w:val="20"/>
          <w:szCs w:val="20"/>
        </w:rPr>
        <w:t>ost-benefit relationship of possible controls and procedures.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Based on the evaluation of our disclosure controls and procedures, as of December 31, 2021, our Chief Executive Officer and Chief Financial Officer concluded that, as of such date, our disclos</w:t>
      </w:r>
      <w:r>
        <w:rPr>
          <w:sz w:val="20"/>
          <w:szCs w:val="20"/>
        </w:rPr>
        <w:t>ure controls and procedures were not effective due to the material weakness in our internal control over financial reporting described below. However, our management, including our Chief Executive Officer and Chief Financial Officer, has concluded that, no</w:t>
      </w:r>
      <w:r>
        <w:rPr>
          <w:sz w:val="20"/>
          <w:szCs w:val="20"/>
        </w:rPr>
        <w:t>twithstanding the identified material weakness in our internal control over financial reporting, the consolidated financial statements in this Annual report on Form 10-K fairly present, in all material respects, our consolidated financial condition, result</w:t>
      </w:r>
      <w:r>
        <w:rPr>
          <w:sz w:val="20"/>
          <w:szCs w:val="20"/>
        </w:rPr>
        <w:t>s of operations and cash flows for the periods presented in accordance with U.S. generally accepted accounting principles. Additionally, the identified material weakness did not result in any restatements of our previously filed consolidated financial stat</w:t>
      </w:r>
      <w:r>
        <w:rPr>
          <w:sz w:val="20"/>
          <w:szCs w:val="20"/>
        </w:rPr>
        <w:t>ements or disclosures for any period.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Management’s Report on Internal Control over Financial Reporting</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Our </w:t>
      </w:r>
      <w:r>
        <w:rPr>
          <w:sz w:val="20"/>
          <w:szCs w:val="20"/>
        </w:rPr>
        <w:t>management is responsible for establishing and maintaining adequate internal control over financial reporting, as such term is defined in Rule 13a-15(f) and 15d-15(f) of the Exchange Act. Internal control over financial reporting is a process designed to p</w:t>
      </w:r>
      <w:r>
        <w:rPr>
          <w:sz w:val="20"/>
          <w:szCs w:val="20"/>
        </w:rPr>
        <w:t xml:space="preserve">rovide reasonable assurance regarding the reliability of financial reporting and the preparation of financial statements for external reporting purposes in accordance with generally accepted accounting principles. Internal control over financial reporting </w:t>
      </w:r>
      <w:r>
        <w:rPr>
          <w:sz w:val="20"/>
          <w:szCs w:val="20"/>
        </w:rPr>
        <w:t>includes those policies and procedures that (1) pertain to the maintenance of records that, in reasonable detail, accurately and fairly reflect the transactions and dispositions of our assets; (2) provide reasonable assurance that transactions are recorded</w:t>
      </w:r>
      <w:r>
        <w:rPr>
          <w:sz w:val="20"/>
          <w:szCs w:val="20"/>
        </w:rPr>
        <w:t xml:space="preserve"> as necessary to permit preparation of financial statements in accordance with generally accepted accounting principles, and that our receipts and expenditures are being made only in accordance with authorizations of our management; and (3) provide reasona</w:t>
      </w:r>
      <w:r>
        <w:rPr>
          <w:sz w:val="20"/>
          <w:szCs w:val="20"/>
        </w:rPr>
        <w:t>ble assurance regarding prevention or timely detection of unauthorized acquisition, use, or disposition of our assets that could have a material effect on the financial statements.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Management is required to base its assessment on the effectiveness of our</w:t>
      </w:r>
      <w:r>
        <w:rPr>
          <w:sz w:val="20"/>
          <w:szCs w:val="20"/>
        </w:rPr>
        <w:t xml:space="preserve"> internal control over financial reporting on a suitable, recognized control framework. Management has utilized the criteria established in COSO to evaluate the effectiveness of internal control over financial reporting. A material weakness is a deficiency</w:t>
      </w:r>
      <w:r>
        <w:rPr>
          <w:sz w:val="20"/>
          <w:szCs w:val="20"/>
        </w:rPr>
        <w:t xml:space="preserve">, or a combination of deficiencies, in internal control over financial reporting such that there is a reasonable possibility that a material misstatement of the Company’s annual or interim financial statements will not be prevented or detected on a timely </w:t>
      </w:r>
      <w:r>
        <w:rPr>
          <w:sz w:val="20"/>
          <w:szCs w:val="20"/>
        </w:rPr>
        <w:t>basis.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7155940"/>
        </w:trPr>
        <w:tc>
          <w:tcPr>
            <w:tcW w:w="5000" w:type="pct"/>
            <w:hideMark/>
          </w:tcPr>
          <w:p w:rsidR="00000000" w:rsidRDefault="00B30BA7">
            <w:pPr>
              <w:jc w:val="center"/>
              <w:rPr>
                <w:rFonts w:eastAsia="Times New Roman"/>
                <w:sz w:val="20"/>
                <w:szCs w:val="20"/>
              </w:rPr>
            </w:pPr>
            <w:r>
              <w:rPr>
                <w:rFonts w:eastAsia="Times New Roman"/>
                <w:sz w:val="20"/>
                <w:szCs w:val="20"/>
              </w:rPr>
              <w:t>5</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Our management has performed its assessment according to the guidelines established by COSO. Management excluded medSR from its assessment of internal controls over financial reporting, our most recent acquisition, as it was not possible</w:t>
      </w:r>
      <w:r>
        <w:rPr>
          <w:sz w:val="20"/>
          <w:szCs w:val="20"/>
        </w:rPr>
        <w:t xml:space="preserve"> to conduct an assessment of the acquired business’s internal control over financial reporting in the period between the commencement date and the date of management’s assessment. During 2021, the revenue recorded by the Company for medSR was approximately</w:t>
      </w:r>
      <w:r>
        <w:rPr>
          <w:sz w:val="20"/>
          <w:szCs w:val="20"/>
        </w:rPr>
        <w:t xml:space="preserve"> $15.9 million and the assets acquired were approximately $21.1 million, including goodwill.</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Management identified a material weakness in our internal control over financial reporting related to the proper implementation of controls over the precision of</w:t>
      </w:r>
      <w:r>
        <w:rPr>
          <w:sz w:val="20"/>
          <w:szCs w:val="20"/>
        </w:rPr>
        <w:t xml:space="preserve"> management’s review of certain assumptions relating to a non-routine transaction. The material weakness did not result in any identified misstatements to the financial statements as filed, and there were no changes to previously released financial results</w:t>
      </w:r>
      <w:r>
        <w:rPr>
          <w:sz w:val="20"/>
          <w:szCs w:val="20"/>
        </w:rPr>
        <w:t>. However, based on this material weakness, our management concluded that as of December 31, 2021, the Company’s internal control over financial reporting was not effective.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Management has analyzed the material weakness described above and performed addi</w:t>
      </w:r>
      <w:r>
        <w:rPr>
          <w:sz w:val="20"/>
          <w:szCs w:val="20"/>
        </w:rPr>
        <w:t>tional analysis and procedures in preparing our consolidated financial statements. We have concluded that our consolidated financial statements fairly present, in all material respects, our financial condition, results of operations and cash flows at and f</w:t>
      </w:r>
      <w:r>
        <w:rPr>
          <w:sz w:val="20"/>
          <w:szCs w:val="20"/>
        </w:rPr>
        <w:t>or the periods presented.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Because of its inherent limitations, our internal controls over financial reporting provide reasonable, not absolute, assurance that the financial statements and footnotes thereto are free of material error. In addition, no inte</w:t>
      </w:r>
      <w:r>
        <w:rPr>
          <w:sz w:val="20"/>
          <w:szCs w:val="20"/>
        </w:rPr>
        <w:t>rnal control structure can provide absolute assurance that all instances of fraud have been detected. Also, projections of any evaluation of effectiveness to future periods are subject to the risk that controls may become inadequate because of changes in c</w:t>
      </w:r>
      <w:r>
        <w:rPr>
          <w:sz w:val="20"/>
          <w:szCs w:val="20"/>
        </w:rPr>
        <w:t>onditions, or that the degree of compliance with the policies and procedures may deteriorate.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Grant </w:t>
      </w:r>
      <w:r>
        <w:rPr>
          <w:sz w:val="20"/>
          <w:szCs w:val="20"/>
        </w:rPr>
        <w:t>Thornton, LLP, an independent registered public accounting firm, has audited the consolidated financial statements included in this Annual Report on Form 10-K and, as part of their audit, has issued their attestation report, included herein, on the effecti</w:t>
      </w:r>
      <w:r>
        <w:rPr>
          <w:sz w:val="20"/>
          <w:szCs w:val="20"/>
        </w:rPr>
        <w:t>veness of our internal control over financial reporting.</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i/>
          <w:iCs/>
          <w:sz w:val="20"/>
          <w:szCs w:val="20"/>
        </w:rPr>
        <w:t>Remediation Plan for Existing Material Weakness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management is committed to remediation of the material weakness described above. The material weakness was due to a lack of controls over the c</w:t>
      </w:r>
      <w:r>
        <w:rPr>
          <w:sz w:val="20"/>
          <w:szCs w:val="20"/>
        </w:rPr>
        <w:t>ompleteness and accuracy of key inputs related to the measurement of a non-routine transaction. Controls will be added to increase the precision of review of the key inputs used for such transactions. It is our belief that these added controls will effecti</w:t>
      </w:r>
      <w:r>
        <w:rPr>
          <w:sz w:val="20"/>
          <w:szCs w:val="20"/>
        </w:rPr>
        <w:t>vely remediate the existing material weakness. The material weakness will not be considered remediated, however, until the controls are designed, implemented, and operate for a sufficient period of time and management has concluded, through testing, that t</w:t>
      </w:r>
      <w:r>
        <w:rPr>
          <w:sz w:val="20"/>
          <w:szCs w:val="20"/>
        </w:rPr>
        <w:t>hese controls are operating effectively. We expect that the remediation of this material weakness will be completed prior to the end of 2022.</w:t>
      </w:r>
    </w:p>
    <w:p w:rsidR="00000000" w:rsidRDefault="00B30BA7">
      <w:pPr>
        <w:pStyle w:val="a3"/>
        <w:spacing w:before="0" w:beforeAutospacing="0" w:after="0" w:afterAutospacing="0"/>
        <w:jc w:val="both"/>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b/>
          <w:bCs/>
          <w:i/>
          <w:iCs/>
          <w:sz w:val="20"/>
          <w:szCs w:val="20"/>
        </w:rPr>
        <w:t>Changes in Internal Control over Financial Reporting</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We are taking actions to remediate the material weakness </w:t>
      </w:r>
      <w:r>
        <w:rPr>
          <w:sz w:val="20"/>
          <w:szCs w:val="20"/>
        </w:rPr>
        <w:t>relating to our internal control over financial reporting, as described above. Except as otherwise described herein, there were no changes in our internal control over financial reporting (as defined in Rule 13a-15(f) of the Exchange Act) during the quarte</w:t>
      </w:r>
      <w:r>
        <w:rPr>
          <w:sz w:val="20"/>
          <w:szCs w:val="20"/>
        </w:rPr>
        <w:t>r ended December 31, 2021 that have materially affected, or are reasonably likely to materially affect, our internal control over financial reporting.</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47273961"/>
        </w:trPr>
        <w:tc>
          <w:tcPr>
            <w:tcW w:w="5000" w:type="pct"/>
            <w:hideMark/>
          </w:tcPr>
          <w:p w:rsidR="00000000" w:rsidRDefault="00B30BA7">
            <w:pPr>
              <w:jc w:val="center"/>
              <w:rPr>
                <w:rFonts w:eastAsia="Times New Roman"/>
                <w:sz w:val="20"/>
                <w:szCs w:val="20"/>
              </w:rPr>
            </w:pPr>
            <w:r>
              <w:rPr>
                <w:rFonts w:eastAsia="Times New Roman"/>
                <w:sz w:val="20"/>
                <w:szCs w:val="20"/>
              </w:rPr>
              <w:t>5</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b/>
          <w:bCs/>
          <w:i/>
          <w:iCs/>
          <w:sz w:val="20"/>
          <w:szCs w:val="20"/>
        </w:rPr>
        <w:t> </w:t>
      </w:r>
    </w:p>
    <w:p w:rsidR="00000000" w:rsidRDefault="00B30BA7">
      <w:pPr>
        <w:pStyle w:val="a3"/>
        <w:spacing w:before="0" w:beforeAutospacing="0" w:after="0" w:afterAutospacing="0"/>
        <w:rPr>
          <w:b/>
          <w:bCs/>
          <w:sz w:val="20"/>
          <w:szCs w:val="20"/>
        </w:rPr>
      </w:pPr>
      <w:r>
        <w:rPr>
          <w:b/>
          <w:bCs/>
          <w:sz w:val="20"/>
          <w:szCs w:val="20"/>
        </w:rPr>
        <w:t>Item 9B. Other Information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None.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9C. Disclosure Regarding Foreign Jurisdictions that</w:t>
      </w:r>
      <w:r>
        <w:rPr>
          <w:b/>
          <w:bCs/>
          <w:sz w:val="20"/>
          <w:szCs w:val="20"/>
        </w:rPr>
        <w:t xml:space="preserve"> Prevent Inspection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Not applicable.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PART III</w:t>
      </w:r>
    </w:p>
    <w:p w:rsidR="00000000" w:rsidRDefault="00B30BA7">
      <w:pPr>
        <w:pStyle w:val="a3"/>
        <w:spacing w:before="0" w:beforeAutospacing="0" w:after="0" w:afterAutospacing="0"/>
        <w:rPr>
          <w:b/>
          <w:bCs/>
          <w:sz w:val="20"/>
          <w:szCs w:val="20"/>
        </w:rPr>
      </w:pPr>
      <w:r>
        <w:rPr>
          <w:b/>
          <w:bCs/>
          <w:sz w:val="20"/>
          <w:szCs w:val="20"/>
        </w:rPr>
        <w:t> </w:t>
      </w:r>
    </w:p>
    <w:p w:rsidR="00000000" w:rsidRDefault="00B30BA7">
      <w:pPr>
        <w:pStyle w:val="a3"/>
        <w:spacing w:before="0" w:beforeAutospacing="0" w:after="0" w:afterAutospacing="0"/>
        <w:rPr>
          <w:b/>
          <w:bCs/>
          <w:sz w:val="20"/>
          <w:szCs w:val="20"/>
        </w:rPr>
      </w:pPr>
      <w:r>
        <w:rPr>
          <w:b/>
          <w:bCs/>
          <w:sz w:val="20"/>
          <w:szCs w:val="20"/>
        </w:rPr>
        <w:t>Item 10. Directors, Executive Officers and Corporate Governance</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Information </w:t>
      </w:r>
      <w:r>
        <w:rPr>
          <w:sz w:val="20"/>
          <w:szCs w:val="20"/>
        </w:rPr>
        <w:t>required by this item will be included in our definitive Proxy Statement for the 2022 Meeting of Shareholders which will be filed within 120 days of the end of our fiscal year ended December 31, 2021 (“2022 Proxy Statement”) and is incorporated herein by r</w:t>
      </w:r>
      <w:r>
        <w:rPr>
          <w:sz w:val="20"/>
          <w:szCs w:val="20"/>
        </w:rPr>
        <w:t>eference.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11. Executive Compensation</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Information required by this item will be included in the 2022 Proxy Statement and is incorporated herein by reference.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12. Security Ownership of Certain Beneficial Owners and Management and Related Stoc</w:t>
      </w:r>
      <w:r>
        <w:rPr>
          <w:b/>
          <w:bCs/>
          <w:sz w:val="20"/>
          <w:szCs w:val="20"/>
        </w:rPr>
        <w:t>kholder Matters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Information required by this item will be included in the 2022 Proxy Statement and is incorporated herein by reference.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13. Certain Relationships and Related Transactions, and Director Independence</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Information required by this it</w:t>
      </w:r>
      <w:r>
        <w:rPr>
          <w:sz w:val="20"/>
          <w:szCs w:val="20"/>
        </w:rPr>
        <w:t>em will be included in the 2022 Proxy Statement and is incorporated herein by reference.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sz w:val="20"/>
          <w:szCs w:val="20"/>
        </w:rPr>
      </w:pPr>
      <w:r>
        <w:rPr>
          <w:b/>
          <w:bCs/>
          <w:sz w:val="20"/>
          <w:szCs w:val="20"/>
        </w:rPr>
        <w:t>Item 14. Principal Accountant Fees and Services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Information required by this item will be included in the 2022 Proxy Statement and is incorporated herein by refere</w:t>
      </w:r>
      <w:r>
        <w:rPr>
          <w:sz w:val="20"/>
          <w:szCs w:val="20"/>
        </w:rPr>
        <w:t>nce.</w:t>
      </w:r>
    </w:p>
    <w:p w:rsidR="00000000" w:rsidRDefault="00B30BA7">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47907582"/>
        </w:trPr>
        <w:tc>
          <w:tcPr>
            <w:tcW w:w="5000" w:type="pct"/>
            <w:hideMark/>
          </w:tcPr>
          <w:p w:rsidR="00000000" w:rsidRDefault="00B30BA7">
            <w:pPr>
              <w:jc w:val="center"/>
              <w:rPr>
                <w:rFonts w:eastAsia="Times New Roman"/>
                <w:sz w:val="20"/>
                <w:szCs w:val="20"/>
              </w:rPr>
            </w:pPr>
            <w:r>
              <w:rPr>
                <w:rFonts w:eastAsia="Times New Roman"/>
                <w:sz w:val="20"/>
                <w:szCs w:val="20"/>
              </w:rPr>
              <w:t>5</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b/>
          <w:bCs/>
          <w:sz w:val="20"/>
          <w:szCs w:val="20"/>
        </w:rPr>
      </w:pPr>
      <w:r>
        <w:rPr>
          <w:b/>
          <w:bCs/>
          <w:sz w:val="20"/>
          <w:szCs w:val="20"/>
        </w:rPr>
        <w:t> </w:t>
      </w:r>
    </w:p>
    <w:p w:rsidR="00000000" w:rsidRDefault="00B30BA7">
      <w:pPr>
        <w:pStyle w:val="a3"/>
        <w:spacing w:before="0" w:beforeAutospacing="0" w:after="0" w:afterAutospacing="0"/>
        <w:rPr>
          <w:b/>
          <w:bCs/>
          <w:sz w:val="20"/>
          <w:szCs w:val="20"/>
        </w:rPr>
      </w:pPr>
      <w:r>
        <w:rPr>
          <w:b/>
          <w:bCs/>
          <w:sz w:val="20"/>
          <w:szCs w:val="20"/>
        </w:rPr>
        <w:t>PART IV</w:t>
      </w:r>
    </w:p>
    <w:p w:rsidR="00000000" w:rsidRDefault="00B30BA7">
      <w:pPr>
        <w:pStyle w:val="a3"/>
        <w:spacing w:before="0" w:beforeAutospacing="0" w:after="0" w:afterAutospacing="0"/>
        <w:rPr>
          <w:b/>
          <w:bCs/>
          <w:sz w:val="20"/>
          <w:szCs w:val="20"/>
        </w:rPr>
      </w:pPr>
      <w:r>
        <w:rPr>
          <w:b/>
          <w:bCs/>
          <w:sz w:val="20"/>
          <w:szCs w:val="20"/>
        </w:rPr>
        <w:t> </w:t>
      </w:r>
    </w:p>
    <w:p w:rsidR="00000000" w:rsidRDefault="00B30BA7">
      <w:pPr>
        <w:pStyle w:val="a3"/>
        <w:spacing w:before="0" w:beforeAutospacing="0" w:after="0" w:afterAutospacing="0"/>
        <w:rPr>
          <w:b/>
          <w:bCs/>
          <w:sz w:val="20"/>
          <w:szCs w:val="20"/>
        </w:rPr>
      </w:pPr>
      <w:r>
        <w:rPr>
          <w:b/>
          <w:bCs/>
          <w:sz w:val="20"/>
          <w:szCs w:val="20"/>
        </w:rPr>
        <w:t>Item 15. Exhibits and Financial Statement Schedules</w:t>
      </w:r>
    </w:p>
    <w:p w:rsidR="00000000" w:rsidRDefault="00B30BA7">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B30BA7">
            <w:pPr>
              <w:rPr>
                <w:sz w:val="20"/>
                <w:szCs w:val="20"/>
              </w:rPr>
            </w:pPr>
          </w:p>
        </w:tc>
        <w:tc>
          <w:tcPr>
            <w:tcW w:w="360" w:type="dxa"/>
            <w:hideMark/>
          </w:tcPr>
          <w:p w:rsidR="00000000" w:rsidRDefault="00B30BA7">
            <w:pPr>
              <w:rPr>
                <w:rFonts w:eastAsia="Times New Roman"/>
                <w:sz w:val="20"/>
                <w:szCs w:val="20"/>
              </w:rPr>
            </w:pPr>
            <w:r>
              <w:rPr>
                <w:rFonts w:eastAsia="Times New Roman"/>
                <w:b/>
                <w:bCs/>
                <w:sz w:val="20"/>
                <w:szCs w:val="20"/>
              </w:rPr>
              <w:t>(a)</w:t>
            </w:r>
          </w:p>
        </w:tc>
        <w:tc>
          <w:tcPr>
            <w:tcW w:w="0" w:type="auto"/>
            <w:hideMark/>
          </w:tcPr>
          <w:p w:rsidR="00000000" w:rsidRDefault="00B30BA7">
            <w:pPr>
              <w:rPr>
                <w:rFonts w:eastAsia="Times New Roman"/>
                <w:sz w:val="20"/>
                <w:szCs w:val="20"/>
              </w:rPr>
            </w:pPr>
            <w:r>
              <w:rPr>
                <w:rFonts w:eastAsia="Times New Roman"/>
                <w:b/>
                <w:bCs/>
                <w:sz w:val="20"/>
                <w:szCs w:val="20"/>
              </w:rPr>
              <w:t>The following documents are filed as part of this Annual Report on Form 10-K:</w:t>
            </w:r>
          </w:p>
        </w:tc>
      </w:tr>
    </w:tbl>
    <w:p w:rsidR="00000000" w:rsidRDefault="00B30BA7">
      <w:pPr>
        <w:pStyle w:val="a3"/>
        <w:spacing w:before="0" w:beforeAutospacing="0" w:after="0" w:afterAutospacing="0"/>
        <w:ind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B30BA7">
            <w:pPr>
              <w:rPr>
                <w:sz w:val="20"/>
                <w:szCs w:val="20"/>
              </w:rPr>
            </w:pPr>
          </w:p>
        </w:tc>
        <w:tc>
          <w:tcPr>
            <w:tcW w:w="720" w:type="dxa"/>
            <w:hideMark/>
          </w:tcPr>
          <w:p w:rsidR="00000000" w:rsidRDefault="00B30BA7">
            <w:pPr>
              <w:rPr>
                <w:rFonts w:eastAsia="Times New Roman"/>
                <w:sz w:val="20"/>
                <w:szCs w:val="20"/>
              </w:rPr>
            </w:pPr>
            <w:r>
              <w:rPr>
                <w:rFonts w:eastAsia="Times New Roman"/>
                <w:sz w:val="20"/>
                <w:szCs w:val="20"/>
              </w:rPr>
              <w:t>(1)</w:t>
            </w:r>
          </w:p>
        </w:tc>
        <w:tc>
          <w:tcPr>
            <w:tcW w:w="0" w:type="auto"/>
            <w:hideMark/>
          </w:tcPr>
          <w:p w:rsidR="00000000" w:rsidRDefault="00B30BA7">
            <w:pPr>
              <w:rPr>
                <w:rFonts w:eastAsia="Times New Roman"/>
                <w:sz w:val="20"/>
                <w:szCs w:val="20"/>
              </w:rPr>
            </w:pPr>
            <w:r>
              <w:rPr>
                <w:rFonts w:eastAsia="Times New Roman"/>
                <w:sz w:val="20"/>
                <w:szCs w:val="20"/>
              </w:rPr>
              <w:t>Financial Statements</w:t>
            </w:r>
          </w:p>
        </w:tc>
      </w:tr>
    </w:tbl>
    <w:p w:rsidR="00000000" w:rsidRDefault="00B30BA7">
      <w:pPr>
        <w:pStyle w:val="a3"/>
        <w:spacing w:before="0" w:beforeAutospacing="0" w:after="0" w:afterAutospacing="0"/>
        <w:ind w:left="144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40"/>
        <w:gridCol w:w="720"/>
        <w:gridCol w:w="6146"/>
      </w:tblGrid>
      <w:tr w:rsidR="00000000">
        <w:trPr>
          <w:tblCellSpacing w:w="0" w:type="dxa"/>
        </w:trPr>
        <w:tc>
          <w:tcPr>
            <w:tcW w:w="1440" w:type="dxa"/>
            <w:hideMark/>
          </w:tcPr>
          <w:p w:rsidR="00000000" w:rsidRDefault="00B30BA7">
            <w:pPr>
              <w:rPr>
                <w:sz w:val="20"/>
                <w:szCs w:val="20"/>
              </w:rPr>
            </w:pPr>
          </w:p>
        </w:tc>
        <w:tc>
          <w:tcPr>
            <w:tcW w:w="720" w:type="dxa"/>
            <w:hideMark/>
          </w:tcPr>
          <w:p w:rsidR="00000000" w:rsidRDefault="00B30BA7">
            <w:pPr>
              <w:rPr>
                <w:rFonts w:eastAsia="Times New Roman"/>
                <w:sz w:val="20"/>
                <w:szCs w:val="20"/>
              </w:rPr>
            </w:pPr>
            <w:r>
              <w:rPr>
                <w:rFonts w:eastAsia="Times New Roman"/>
                <w:sz w:val="20"/>
                <w:szCs w:val="20"/>
              </w:rPr>
              <w:t>(i)</w:t>
            </w:r>
          </w:p>
        </w:tc>
        <w:tc>
          <w:tcPr>
            <w:tcW w:w="0" w:type="auto"/>
            <w:hideMark/>
          </w:tcPr>
          <w:p w:rsidR="00000000" w:rsidRDefault="00B30BA7">
            <w:pPr>
              <w:rPr>
                <w:rFonts w:eastAsia="Times New Roman"/>
                <w:sz w:val="20"/>
                <w:szCs w:val="20"/>
              </w:rPr>
            </w:pPr>
            <w:r>
              <w:rPr>
                <w:rFonts w:eastAsia="Times New Roman"/>
                <w:sz w:val="20"/>
                <w:szCs w:val="20"/>
              </w:rPr>
              <w:t xml:space="preserve">Consolidated </w:t>
            </w:r>
            <w:r>
              <w:rPr>
                <w:rFonts w:eastAsia="Times New Roman"/>
                <w:sz w:val="20"/>
                <w:szCs w:val="20"/>
              </w:rPr>
              <w:t>Balance Sheets as of December 31, 2021 and 2020</w:t>
            </w:r>
          </w:p>
        </w:tc>
      </w:tr>
      <w:tr w:rsidR="00000000">
        <w:trPr>
          <w:tblCellSpacing w:w="0" w:type="dxa"/>
        </w:trPr>
        <w:tc>
          <w:tcPr>
            <w:tcW w:w="1440" w:type="dxa"/>
            <w:hideMark/>
          </w:tcPr>
          <w:p w:rsidR="00000000" w:rsidRDefault="00B30BA7">
            <w:pPr>
              <w:rPr>
                <w:rFonts w:eastAsia="Times New Roman"/>
                <w:sz w:val="20"/>
                <w:szCs w:val="20"/>
              </w:rPr>
            </w:pPr>
          </w:p>
        </w:tc>
        <w:tc>
          <w:tcPr>
            <w:tcW w:w="720" w:type="dxa"/>
            <w:hideMark/>
          </w:tcPr>
          <w:p w:rsidR="00000000" w:rsidRDefault="00B30BA7">
            <w:pPr>
              <w:rPr>
                <w:rFonts w:eastAsia="Times New Roman"/>
                <w:sz w:val="20"/>
                <w:szCs w:val="20"/>
              </w:rPr>
            </w:pPr>
            <w:r>
              <w:rPr>
                <w:rFonts w:eastAsia="Times New Roman"/>
                <w:sz w:val="20"/>
                <w:szCs w:val="20"/>
              </w:rPr>
              <w:t>(ii)</w:t>
            </w:r>
          </w:p>
        </w:tc>
        <w:tc>
          <w:tcPr>
            <w:tcW w:w="0" w:type="auto"/>
            <w:hideMark/>
          </w:tcPr>
          <w:p w:rsidR="00000000" w:rsidRDefault="00B30BA7">
            <w:pPr>
              <w:jc w:val="both"/>
              <w:rPr>
                <w:rFonts w:eastAsia="Times New Roman"/>
                <w:sz w:val="20"/>
                <w:szCs w:val="20"/>
              </w:rPr>
            </w:pPr>
            <w:r>
              <w:rPr>
                <w:rFonts w:eastAsia="Times New Roman"/>
                <w:sz w:val="20"/>
                <w:szCs w:val="20"/>
              </w:rPr>
              <w:t>Consolidated Statements of Operations for the years ended December 31, 2021 and 2020</w:t>
            </w:r>
          </w:p>
        </w:tc>
      </w:tr>
      <w:tr w:rsidR="00000000">
        <w:trPr>
          <w:tblCellSpacing w:w="0" w:type="dxa"/>
        </w:trPr>
        <w:tc>
          <w:tcPr>
            <w:tcW w:w="1440" w:type="dxa"/>
            <w:hideMark/>
          </w:tcPr>
          <w:p w:rsidR="00000000" w:rsidRDefault="00B30BA7">
            <w:pPr>
              <w:jc w:val="both"/>
              <w:rPr>
                <w:rFonts w:eastAsia="Times New Roman"/>
                <w:sz w:val="20"/>
                <w:szCs w:val="20"/>
              </w:rPr>
            </w:pPr>
          </w:p>
        </w:tc>
        <w:tc>
          <w:tcPr>
            <w:tcW w:w="720" w:type="dxa"/>
            <w:hideMark/>
          </w:tcPr>
          <w:p w:rsidR="00000000" w:rsidRDefault="00B30BA7">
            <w:pPr>
              <w:rPr>
                <w:rFonts w:eastAsia="Times New Roman"/>
                <w:sz w:val="20"/>
                <w:szCs w:val="20"/>
              </w:rPr>
            </w:pPr>
            <w:r>
              <w:rPr>
                <w:rFonts w:eastAsia="Times New Roman"/>
                <w:sz w:val="20"/>
                <w:szCs w:val="20"/>
              </w:rPr>
              <w:t>(iii)</w:t>
            </w:r>
          </w:p>
        </w:tc>
        <w:tc>
          <w:tcPr>
            <w:tcW w:w="0" w:type="auto"/>
            <w:hideMark/>
          </w:tcPr>
          <w:p w:rsidR="00000000" w:rsidRDefault="00B30BA7">
            <w:pPr>
              <w:jc w:val="both"/>
              <w:rPr>
                <w:rFonts w:eastAsia="Times New Roman"/>
                <w:sz w:val="20"/>
                <w:szCs w:val="20"/>
              </w:rPr>
            </w:pPr>
            <w:r>
              <w:rPr>
                <w:rFonts w:eastAsia="Times New Roman"/>
                <w:sz w:val="20"/>
                <w:szCs w:val="20"/>
              </w:rPr>
              <w:t>Consolidated Statements of Comprehensive Income (Loss) for the years ended December 31, 2021 and 2020</w:t>
            </w:r>
          </w:p>
        </w:tc>
      </w:tr>
      <w:tr w:rsidR="00000000">
        <w:trPr>
          <w:tblCellSpacing w:w="0" w:type="dxa"/>
        </w:trPr>
        <w:tc>
          <w:tcPr>
            <w:tcW w:w="1440" w:type="dxa"/>
            <w:hideMark/>
          </w:tcPr>
          <w:p w:rsidR="00000000" w:rsidRDefault="00B30BA7">
            <w:pPr>
              <w:jc w:val="both"/>
              <w:rPr>
                <w:rFonts w:eastAsia="Times New Roman"/>
                <w:sz w:val="20"/>
                <w:szCs w:val="20"/>
              </w:rPr>
            </w:pPr>
          </w:p>
        </w:tc>
        <w:tc>
          <w:tcPr>
            <w:tcW w:w="720" w:type="dxa"/>
            <w:hideMark/>
          </w:tcPr>
          <w:p w:rsidR="00000000" w:rsidRDefault="00B30BA7">
            <w:pPr>
              <w:rPr>
                <w:rFonts w:eastAsia="Times New Roman"/>
                <w:sz w:val="20"/>
                <w:szCs w:val="20"/>
              </w:rPr>
            </w:pPr>
            <w:r>
              <w:rPr>
                <w:rFonts w:eastAsia="Times New Roman"/>
                <w:sz w:val="20"/>
                <w:szCs w:val="20"/>
              </w:rPr>
              <w:t>(iv)</w:t>
            </w:r>
          </w:p>
        </w:tc>
        <w:tc>
          <w:tcPr>
            <w:tcW w:w="0" w:type="auto"/>
            <w:hideMark/>
          </w:tcPr>
          <w:p w:rsidR="00000000" w:rsidRDefault="00B30BA7">
            <w:pPr>
              <w:jc w:val="both"/>
              <w:rPr>
                <w:rFonts w:eastAsia="Times New Roman"/>
                <w:sz w:val="20"/>
                <w:szCs w:val="20"/>
              </w:rPr>
            </w:pPr>
            <w:r>
              <w:rPr>
                <w:rFonts w:eastAsia="Times New Roman"/>
                <w:sz w:val="20"/>
                <w:szCs w:val="20"/>
              </w:rPr>
              <w:t>Consolidated Statements of Shareholders’ Equity for the years ended December 31, 2021 and 2020</w:t>
            </w:r>
          </w:p>
        </w:tc>
      </w:tr>
      <w:tr w:rsidR="00000000">
        <w:trPr>
          <w:tblCellSpacing w:w="0" w:type="dxa"/>
        </w:trPr>
        <w:tc>
          <w:tcPr>
            <w:tcW w:w="1440" w:type="dxa"/>
            <w:hideMark/>
          </w:tcPr>
          <w:p w:rsidR="00000000" w:rsidRDefault="00B30BA7">
            <w:pPr>
              <w:jc w:val="both"/>
              <w:rPr>
                <w:rFonts w:eastAsia="Times New Roman"/>
                <w:sz w:val="20"/>
                <w:szCs w:val="20"/>
              </w:rPr>
            </w:pPr>
          </w:p>
        </w:tc>
        <w:tc>
          <w:tcPr>
            <w:tcW w:w="720" w:type="dxa"/>
            <w:hideMark/>
          </w:tcPr>
          <w:p w:rsidR="00000000" w:rsidRDefault="00B30BA7">
            <w:pPr>
              <w:rPr>
                <w:rFonts w:eastAsia="Times New Roman"/>
                <w:sz w:val="20"/>
                <w:szCs w:val="20"/>
              </w:rPr>
            </w:pPr>
            <w:r>
              <w:rPr>
                <w:rFonts w:eastAsia="Times New Roman"/>
                <w:sz w:val="20"/>
                <w:szCs w:val="20"/>
              </w:rPr>
              <w:t>(v)</w:t>
            </w:r>
          </w:p>
        </w:tc>
        <w:tc>
          <w:tcPr>
            <w:tcW w:w="0" w:type="auto"/>
            <w:hideMark/>
          </w:tcPr>
          <w:p w:rsidR="00000000" w:rsidRDefault="00B30BA7">
            <w:pPr>
              <w:jc w:val="both"/>
              <w:rPr>
                <w:rFonts w:eastAsia="Times New Roman"/>
                <w:sz w:val="20"/>
                <w:szCs w:val="20"/>
              </w:rPr>
            </w:pPr>
            <w:r>
              <w:rPr>
                <w:rFonts w:eastAsia="Times New Roman"/>
                <w:sz w:val="20"/>
                <w:szCs w:val="20"/>
              </w:rPr>
              <w:t xml:space="preserve">Consolidated </w:t>
            </w:r>
            <w:r>
              <w:rPr>
                <w:rFonts w:eastAsia="Times New Roman"/>
                <w:sz w:val="20"/>
                <w:szCs w:val="20"/>
              </w:rPr>
              <w:t>Statements of Cash Flows for the years ended December 31, 2021 and 2020</w:t>
            </w:r>
          </w:p>
        </w:tc>
      </w:tr>
      <w:tr w:rsidR="00000000">
        <w:trPr>
          <w:tblCellSpacing w:w="0" w:type="dxa"/>
        </w:trPr>
        <w:tc>
          <w:tcPr>
            <w:tcW w:w="1440" w:type="dxa"/>
            <w:hideMark/>
          </w:tcPr>
          <w:p w:rsidR="00000000" w:rsidRDefault="00B30BA7">
            <w:pPr>
              <w:rPr>
                <w:rFonts w:eastAsia="Times New Roman"/>
                <w:sz w:val="20"/>
                <w:szCs w:val="20"/>
              </w:rPr>
            </w:pPr>
            <w:r>
              <w:rPr>
                <w:rFonts w:eastAsia="Times New Roman"/>
                <w:sz w:val="20"/>
                <w:szCs w:val="20"/>
              </w:rPr>
              <w:t> </w:t>
            </w:r>
          </w:p>
        </w:tc>
        <w:tc>
          <w:tcPr>
            <w:tcW w:w="720" w:type="dxa"/>
            <w:hideMark/>
          </w:tcPr>
          <w:p w:rsidR="00000000" w:rsidRDefault="00B30BA7">
            <w:pPr>
              <w:rPr>
                <w:rFonts w:eastAsia="Times New Roman"/>
                <w:sz w:val="20"/>
                <w:szCs w:val="20"/>
              </w:rPr>
            </w:pPr>
            <w:r>
              <w:rPr>
                <w:rFonts w:eastAsia="Times New Roman"/>
                <w:sz w:val="20"/>
                <w:szCs w:val="20"/>
              </w:rPr>
              <w:t>(vi)</w:t>
            </w:r>
          </w:p>
        </w:tc>
        <w:tc>
          <w:tcPr>
            <w:tcW w:w="0" w:type="auto"/>
            <w:hideMark/>
          </w:tcPr>
          <w:p w:rsidR="00000000" w:rsidRDefault="00B30BA7">
            <w:pPr>
              <w:jc w:val="both"/>
              <w:rPr>
                <w:rFonts w:eastAsia="Times New Roman"/>
                <w:sz w:val="20"/>
                <w:szCs w:val="20"/>
              </w:rPr>
            </w:pPr>
            <w:r>
              <w:rPr>
                <w:rFonts w:eastAsia="Times New Roman"/>
                <w:sz w:val="20"/>
                <w:szCs w:val="20"/>
              </w:rPr>
              <w:t>Notes to Consolidated Financial Statements</w:t>
            </w:r>
          </w:p>
        </w:tc>
      </w:tr>
    </w:tbl>
    <w:p w:rsidR="00000000" w:rsidRDefault="00B30BA7">
      <w:pPr>
        <w:pStyle w:val="a3"/>
        <w:spacing w:before="0" w:beforeAutospacing="0" w:after="0" w:afterAutospacing="0"/>
        <w:ind w:left="720"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20"/>
        <w:gridCol w:w="6866"/>
      </w:tblGrid>
      <w:tr w:rsidR="00000000">
        <w:trPr>
          <w:tblCellSpacing w:w="0" w:type="dxa"/>
        </w:trPr>
        <w:tc>
          <w:tcPr>
            <w:tcW w:w="720" w:type="dxa"/>
            <w:hideMark/>
          </w:tcPr>
          <w:p w:rsidR="00000000" w:rsidRDefault="00B30BA7">
            <w:pPr>
              <w:rPr>
                <w:sz w:val="20"/>
                <w:szCs w:val="20"/>
              </w:rPr>
            </w:pPr>
          </w:p>
        </w:tc>
        <w:tc>
          <w:tcPr>
            <w:tcW w:w="720" w:type="dxa"/>
            <w:hideMark/>
          </w:tcPr>
          <w:p w:rsidR="00000000" w:rsidRDefault="00B30BA7">
            <w:pPr>
              <w:rPr>
                <w:rFonts w:eastAsia="Times New Roman"/>
                <w:sz w:val="20"/>
                <w:szCs w:val="20"/>
              </w:rPr>
            </w:pPr>
            <w:r>
              <w:rPr>
                <w:rFonts w:eastAsia="Times New Roman"/>
                <w:sz w:val="20"/>
                <w:szCs w:val="20"/>
              </w:rPr>
              <w:t>(2)</w:t>
            </w:r>
          </w:p>
        </w:tc>
        <w:tc>
          <w:tcPr>
            <w:tcW w:w="0" w:type="auto"/>
            <w:hideMark/>
          </w:tcPr>
          <w:p w:rsidR="00000000" w:rsidRDefault="00B30BA7">
            <w:pPr>
              <w:rPr>
                <w:rFonts w:eastAsia="Times New Roman"/>
                <w:sz w:val="20"/>
                <w:szCs w:val="20"/>
              </w:rPr>
            </w:pPr>
            <w:r>
              <w:rPr>
                <w:rFonts w:eastAsia="Times New Roman"/>
                <w:sz w:val="20"/>
                <w:szCs w:val="20"/>
              </w:rPr>
              <w:t>Financial Statement Schedules</w:t>
            </w:r>
          </w:p>
        </w:tc>
      </w:tr>
    </w:tbl>
    <w:p w:rsidR="00000000" w:rsidRDefault="00B30BA7">
      <w:pPr>
        <w:pStyle w:val="a3"/>
        <w:spacing w:before="0" w:beforeAutospacing="0" w:after="0" w:afterAutospacing="0"/>
        <w:ind w:left="1440"/>
        <w:rPr>
          <w:sz w:val="20"/>
          <w:szCs w:val="20"/>
        </w:rPr>
      </w:pPr>
      <w:r>
        <w:rPr>
          <w:sz w:val="20"/>
          <w:szCs w:val="20"/>
        </w:rPr>
        <w:t> </w:t>
      </w:r>
    </w:p>
    <w:p w:rsidR="00000000" w:rsidRDefault="00B30BA7">
      <w:pPr>
        <w:pStyle w:val="a3"/>
        <w:spacing w:before="0" w:beforeAutospacing="0" w:after="0" w:afterAutospacing="0"/>
        <w:ind w:left="1440"/>
        <w:jc w:val="both"/>
        <w:rPr>
          <w:sz w:val="20"/>
          <w:szCs w:val="20"/>
        </w:rPr>
      </w:pPr>
      <w:r>
        <w:rPr>
          <w:sz w:val="20"/>
          <w:szCs w:val="20"/>
        </w:rPr>
        <w:t>There are no Financial Statement Schedules filed as part of this Annual Report on Form 10-K,</w:t>
      </w:r>
      <w:r>
        <w:rPr>
          <w:sz w:val="20"/>
          <w:szCs w:val="20"/>
        </w:rPr>
        <w:t xml:space="preserve"> as the required information is not applicable or is included in the Notes to Consolidated Financial Statements.</w:t>
      </w:r>
    </w:p>
    <w:p w:rsidR="00000000" w:rsidRDefault="00B30BA7">
      <w:pPr>
        <w:pStyle w:val="a3"/>
        <w:spacing w:before="0" w:beforeAutospacing="0" w:after="0" w:afterAutospacing="0"/>
        <w:ind w:left="144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B30BA7">
            <w:pPr>
              <w:rPr>
                <w:sz w:val="20"/>
                <w:szCs w:val="20"/>
              </w:rPr>
            </w:pPr>
          </w:p>
        </w:tc>
        <w:tc>
          <w:tcPr>
            <w:tcW w:w="360" w:type="dxa"/>
            <w:hideMark/>
          </w:tcPr>
          <w:p w:rsidR="00000000" w:rsidRDefault="00B30BA7">
            <w:pPr>
              <w:rPr>
                <w:rFonts w:eastAsia="Times New Roman"/>
                <w:sz w:val="20"/>
                <w:szCs w:val="20"/>
              </w:rPr>
            </w:pPr>
            <w:r>
              <w:rPr>
                <w:rFonts w:eastAsia="Times New Roman"/>
                <w:b/>
                <w:bCs/>
                <w:sz w:val="20"/>
                <w:szCs w:val="20"/>
              </w:rPr>
              <w:t>(b)</w:t>
            </w:r>
          </w:p>
        </w:tc>
        <w:tc>
          <w:tcPr>
            <w:tcW w:w="0" w:type="auto"/>
            <w:hideMark/>
          </w:tcPr>
          <w:p w:rsidR="00000000" w:rsidRDefault="00B30BA7">
            <w:pPr>
              <w:rPr>
                <w:rFonts w:eastAsia="Times New Roman"/>
                <w:sz w:val="20"/>
                <w:szCs w:val="20"/>
              </w:rPr>
            </w:pPr>
            <w:r>
              <w:rPr>
                <w:rFonts w:eastAsia="Times New Roman"/>
                <w:b/>
                <w:bCs/>
                <w:sz w:val="20"/>
                <w:szCs w:val="20"/>
              </w:rPr>
              <w:t>Exhibit Index:</w:t>
            </w:r>
          </w:p>
        </w:tc>
      </w:tr>
    </w:tbl>
    <w:p w:rsidR="00000000" w:rsidRDefault="00B30BA7">
      <w:pPr>
        <w:pStyle w:val="a3"/>
        <w:spacing w:before="0" w:beforeAutospacing="0" w:after="0" w:afterAutospacing="0"/>
        <w:ind w:left="144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4"/>
        <w:gridCol w:w="144"/>
        <w:gridCol w:w="7298"/>
      </w:tblGrid>
      <w:tr w:rsidR="00000000">
        <w:tc>
          <w:tcPr>
            <w:tcW w:w="864" w:type="dxa"/>
            <w:tcBorders>
              <w:bottom w:val="single" w:sz="12" w:space="0" w:color="000000"/>
            </w:tcBorders>
            <w:hideMark/>
          </w:tcPr>
          <w:p w:rsidR="00000000" w:rsidRDefault="00B30BA7">
            <w:pPr>
              <w:pStyle w:val="a3"/>
              <w:spacing w:before="0" w:beforeAutospacing="0" w:after="0" w:afterAutospacing="0"/>
              <w:rPr>
                <w:sz w:val="20"/>
                <w:szCs w:val="20"/>
              </w:rPr>
            </w:pPr>
            <w:r>
              <w:rPr>
                <w:b/>
                <w:bCs/>
                <w:sz w:val="20"/>
                <w:szCs w:val="20"/>
              </w:rPr>
              <w:t>Exhibit</w:t>
            </w:r>
          </w:p>
          <w:p w:rsidR="00000000" w:rsidRDefault="00B30BA7">
            <w:pPr>
              <w:pStyle w:val="a3"/>
              <w:spacing w:before="0" w:beforeAutospacing="0" w:after="0" w:afterAutospacing="0"/>
              <w:rPr>
                <w:sz w:val="20"/>
                <w:szCs w:val="20"/>
              </w:rPr>
            </w:pPr>
            <w:r>
              <w:rPr>
                <w:b/>
                <w:bCs/>
                <w:sz w:val="20"/>
                <w:szCs w:val="20"/>
              </w:rPr>
              <w:t>Number</w:t>
            </w:r>
          </w:p>
        </w:tc>
        <w:tc>
          <w:tcPr>
            <w:tcW w:w="144" w:type="dxa"/>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B30BA7">
            <w:pPr>
              <w:jc w:val="center"/>
              <w:rPr>
                <w:rFonts w:eastAsia="Times New Roman"/>
                <w:sz w:val="20"/>
                <w:szCs w:val="20"/>
              </w:rPr>
            </w:pPr>
            <w:r>
              <w:rPr>
                <w:rFonts w:eastAsia="Times New Roman"/>
                <w:b/>
                <w:bCs/>
                <w:sz w:val="20"/>
                <w:szCs w:val="20"/>
              </w:rPr>
              <w:t>Description</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2.1</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9" w:history="1">
              <w:r>
                <w:rPr>
                  <w:rStyle w:val="a4"/>
                  <w:rFonts w:eastAsia="Times New Roman"/>
                  <w:sz w:val="20"/>
                  <w:szCs w:val="20"/>
                </w:rPr>
                <w:t>Assignment Agreement dated October 3, 2016, by and between the Company, The Prudential Insurance Company of America, and Prudential Retirement Insurance and Annui</w:t>
              </w:r>
              <w:r>
                <w:rPr>
                  <w:rStyle w:val="a4"/>
                  <w:rFonts w:eastAsia="Times New Roman"/>
                  <w:sz w:val="20"/>
                  <w:szCs w:val="20"/>
                </w:rPr>
                <w:t>ty Company (filed as Exhibit 10.1 to the Company’s Form 8-K filed on October 5, 2016,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2.2</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10" w:history="1">
              <w:r>
                <w:rPr>
                  <w:rStyle w:val="a4"/>
                  <w:rFonts w:eastAsia="Times New Roman"/>
                  <w:sz w:val="20"/>
                  <w:szCs w:val="20"/>
                </w:rPr>
                <w:t>Strict Foreclosure Agreement dated October 3, 2016, by and between MTBC Acquisition, Corp., MediGain, LLC and Millennium Practice Management Associates, LLC (file</w:t>
              </w:r>
              <w:r>
                <w:rPr>
                  <w:rStyle w:val="a4"/>
                  <w:rFonts w:eastAsia="Times New Roman"/>
                  <w:sz w:val="20"/>
                  <w:szCs w:val="20"/>
                </w:rPr>
                <w:t>d as Exhibit 10.2 to the Company’s Form 8-K filed on October 5, 2016,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2.3</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11" w:history="1">
              <w:r>
                <w:rPr>
                  <w:rStyle w:val="a4"/>
                  <w:rFonts w:eastAsia="Times New Roman"/>
                  <w:sz w:val="20"/>
                  <w:szCs w:val="20"/>
                </w:rPr>
                <w:t>Transition Services Agreement dated Oct</w:t>
              </w:r>
              <w:r>
                <w:rPr>
                  <w:rStyle w:val="a4"/>
                  <w:rFonts w:eastAsia="Times New Roman"/>
                  <w:sz w:val="20"/>
                  <w:szCs w:val="20"/>
                </w:rPr>
                <w:t>ober 3, 2016, by and between MTBC Acquisition, Corp., MediGain, LLC and Millennium Practice Management Associates, LLC (filed as Exhibit 10.3 to the Company’s Form 8-K filed on October 5, 2016,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2.4</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12" w:history="1">
              <w:r>
                <w:rPr>
                  <w:rStyle w:val="a4"/>
                  <w:rFonts w:eastAsia="Times New Roman"/>
                  <w:sz w:val="20"/>
                  <w:szCs w:val="20"/>
                </w:rPr>
                <w:t xml:space="preserve">First Amendment to Assignment Agreement dated January 3, 2017, by and between the Company, The Prudential Insurance Company of America, and Prudential Retirement Insurance </w:t>
              </w:r>
              <w:r>
                <w:rPr>
                  <w:rStyle w:val="a4"/>
                  <w:rFonts w:eastAsia="Times New Roman"/>
                  <w:sz w:val="20"/>
                  <w:szCs w:val="20"/>
                </w:rPr>
                <w:t>and Annuity Company (filed as Exhibit 2.1 to the Company’s Form 8-K filed on January 6, 2017,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2.5</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13" w:history="1">
              <w:r>
                <w:rPr>
                  <w:rStyle w:val="a4"/>
                  <w:rFonts w:eastAsia="Times New Roman"/>
                  <w:sz w:val="20"/>
                  <w:szCs w:val="20"/>
                </w:rPr>
                <w:t>Second Amendment to Assignment Agreement dated January 23, 2017, by and between the Company, The Prudential Insurance Company of America, and Prudential Retirement</w:t>
              </w:r>
              <w:r>
                <w:rPr>
                  <w:rStyle w:val="a4"/>
                  <w:rFonts w:eastAsia="Times New Roman"/>
                  <w:sz w:val="20"/>
                  <w:szCs w:val="20"/>
                </w:rPr>
                <w:t xml:space="preserve"> Insurance and Annuity Company (filed as Exhibit 2.1 to the Company’s Form 8-K filed on January 24, 2017,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2.6</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14" w:history="1">
              <w:r>
                <w:rPr>
                  <w:rStyle w:val="a4"/>
                  <w:rFonts w:eastAsia="Times New Roman"/>
                  <w:sz w:val="20"/>
                  <w:szCs w:val="20"/>
                </w:rPr>
                <w:t>Ass</w:t>
              </w:r>
              <w:r>
                <w:rPr>
                  <w:rStyle w:val="a4"/>
                  <w:rFonts w:eastAsia="Times New Roman"/>
                  <w:sz w:val="20"/>
                  <w:szCs w:val="20"/>
                </w:rPr>
                <w:t>et Purchase Agreement dated June 25, 2018, by and between MTBC, and Orion Healthcorp, Inc. (filed as Exhibit 10.1 to the Company’s Form 8-K filed on July 2, 2018,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2.7</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15" w:history="1">
              <w:r>
                <w:rPr>
                  <w:rStyle w:val="a4"/>
                  <w:rFonts w:eastAsia="Times New Roman"/>
                  <w:sz w:val="20"/>
                  <w:szCs w:val="20"/>
                </w:rPr>
                <w:t>Transition Services Agreement dated June 25, 2018, by and between MTBC, and Orion Healthcorp, Inc. (filed as Exhibit 2.29 to the Company’s Form S-1 filed on September 25, 2018, and incorporated herein b</w:t>
              </w:r>
              <w:r>
                <w:rPr>
                  <w:rStyle w:val="a4"/>
                  <w:rFonts w:eastAsia="Times New Roman"/>
                  <w:sz w:val="20"/>
                  <w:szCs w:val="20"/>
                </w:rPr>
                <w:t>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2.8</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16" w:history="1">
              <w:r>
                <w:rPr>
                  <w:rStyle w:val="a4"/>
                  <w:rFonts w:eastAsia="Times New Roman"/>
                  <w:sz w:val="20"/>
                  <w:szCs w:val="20"/>
                </w:rPr>
                <w:t>Asset Purchase Agreement dated March 27, 2019, by and between MTBC-Med, Inc., and Etransmedia Technology, Inc., et. al. (filed as Exhibit 10.1 to the Company’s Form 8-K filed on March 28, 2019, and incorporated herein by reference).</w:t>
              </w:r>
            </w:hyperlink>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43214732"/>
        </w:trPr>
        <w:tc>
          <w:tcPr>
            <w:tcW w:w="5000" w:type="pct"/>
            <w:hideMark/>
          </w:tcPr>
          <w:p w:rsidR="00000000" w:rsidRDefault="00B30BA7">
            <w:pPr>
              <w:jc w:val="center"/>
              <w:rPr>
                <w:rFonts w:eastAsia="Times New Roman"/>
                <w:sz w:val="20"/>
                <w:szCs w:val="20"/>
              </w:rPr>
            </w:pPr>
            <w:r>
              <w:rPr>
                <w:rFonts w:eastAsia="Times New Roman"/>
                <w:sz w:val="20"/>
                <w:szCs w:val="20"/>
              </w:rPr>
              <w:t>5</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4"/>
        <w:gridCol w:w="144"/>
        <w:gridCol w:w="7298"/>
      </w:tblGrid>
      <w:tr w:rsidR="00000000">
        <w:tc>
          <w:tcPr>
            <w:tcW w:w="864" w:type="dxa"/>
            <w:hideMark/>
          </w:tcPr>
          <w:p w:rsidR="00000000" w:rsidRDefault="00B30BA7">
            <w:pPr>
              <w:jc w:val="both"/>
              <w:rPr>
                <w:rFonts w:eastAsia="Times New Roman"/>
                <w:sz w:val="20"/>
                <w:szCs w:val="20"/>
              </w:rPr>
            </w:pPr>
            <w:r>
              <w:rPr>
                <w:rFonts w:eastAsia="Times New Roman"/>
                <w:sz w:val="20"/>
                <w:szCs w:val="20"/>
              </w:rPr>
              <w:t>2.9</w:t>
            </w:r>
          </w:p>
        </w:tc>
        <w:tc>
          <w:tcPr>
            <w:tcW w:w="144" w:type="dxa"/>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17" w:history="1">
              <w:r>
                <w:rPr>
                  <w:rStyle w:val="a4"/>
                  <w:rFonts w:eastAsia="Times New Roman"/>
                  <w:sz w:val="20"/>
                  <w:szCs w:val="20"/>
                </w:rPr>
                <w:t xml:space="preserve">Amended and Restated Asset Purchase Agreement dated April 3, 2019, by and between MTBC-Med, Inc., and Etransmedia Technology, Inc., et. al. (filed as Exhibit 10.1 to </w:t>
              </w:r>
              <w:r>
                <w:rPr>
                  <w:rStyle w:val="a4"/>
                  <w:rFonts w:eastAsia="Times New Roman"/>
                  <w:sz w:val="20"/>
                  <w:szCs w:val="20"/>
                </w:rPr>
                <w:t>the Company’s Form 8-K filed on April 4, 2019,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2.10</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18" w:history="1">
              <w:r>
                <w:rPr>
                  <w:rStyle w:val="a4"/>
                  <w:rFonts w:eastAsia="Times New Roman"/>
                  <w:sz w:val="20"/>
                  <w:szCs w:val="20"/>
                </w:rPr>
                <w:t>Agreement and Plan of Merger by and among MTBC, Inc., MTBC Merger Sub, Inc., CareCloud Corporation and Runway Growth Credit Fund Inc., as the Seller’s representati</w:t>
              </w:r>
              <w:r>
                <w:rPr>
                  <w:rStyle w:val="a4"/>
                  <w:rFonts w:eastAsia="Times New Roman"/>
                  <w:sz w:val="20"/>
                  <w:szCs w:val="20"/>
                </w:rPr>
                <w:t>ve dated January 8, 2020 (filed as Exhibit 2.1 to the Company’s Form 8-K filed on January 8, 2020,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2.11</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19" w:history="1">
              <w:r>
                <w:rPr>
                  <w:rStyle w:val="a4"/>
                  <w:rFonts w:eastAsia="Times New Roman"/>
                  <w:sz w:val="20"/>
                  <w:szCs w:val="20"/>
                </w:rPr>
                <w:t>Escrow A</w:t>
              </w:r>
              <w:r>
                <w:rPr>
                  <w:rStyle w:val="a4"/>
                  <w:rFonts w:eastAsia="Times New Roman"/>
                  <w:sz w:val="20"/>
                  <w:szCs w:val="20"/>
                </w:rPr>
                <w:t>greement dated January 8, 2020 by and among MTBC, Inc., Runway Growth Credit Fund., Inc. and TD Bank (filed as Exhibit 10.17 to the Company’s Form 10-K filed on February 28, 2020,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2.12</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20" w:history="1">
              <w:r>
                <w:rPr>
                  <w:rStyle w:val="a4"/>
                  <w:rFonts w:eastAsia="Times New Roman"/>
                  <w:sz w:val="20"/>
                  <w:szCs w:val="20"/>
                </w:rPr>
                <w:t>Stock Purchase Agreement dated June 16, 2020 by and among MTBC, Inc., Origin Holdings, Inc., Meridian Billing Management Co., Origin Holdings, Inc., and GMM II Hol</w:t>
              </w:r>
              <w:r>
                <w:rPr>
                  <w:rStyle w:val="a4"/>
                  <w:rFonts w:eastAsia="Times New Roman"/>
                  <w:sz w:val="20"/>
                  <w:szCs w:val="20"/>
                </w:rPr>
                <w:t>dings, LLC, (filed as Exhibit 2.1 to the Company’s Form 8-K on June 17, 2020,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2.13</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21" w:history="1">
              <w:r>
                <w:rPr>
                  <w:rStyle w:val="a4"/>
                  <w:rFonts w:eastAsia="Times New Roman"/>
                  <w:sz w:val="20"/>
                  <w:szCs w:val="20"/>
                </w:rPr>
                <w:t>Asset and Stock Purchase Agreement by and among CareCloud Acquisition. Corp., MedMatica Consulting Associates, Inc., and Jerold Howell dated June 1, 2021 (filed as</w:t>
              </w:r>
              <w:r>
                <w:rPr>
                  <w:rStyle w:val="a4"/>
                  <w:rFonts w:eastAsia="Times New Roman"/>
                  <w:sz w:val="20"/>
                  <w:szCs w:val="20"/>
                </w:rPr>
                <w:t xml:space="preserve"> Exhibit 2.1 to the Company’s Form 8-K filed on June 2, 2021,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2.14</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22" w:history="1">
              <w:r>
                <w:rPr>
                  <w:rStyle w:val="a4"/>
                  <w:rFonts w:eastAsia="Times New Roman"/>
                  <w:sz w:val="20"/>
                  <w:szCs w:val="20"/>
                </w:rPr>
                <w:t xml:space="preserve">Non-Competition and Non-Solicitation Agreement </w:t>
              </w:r>
              <w:r>
                <w:rPr>
                  <w:rStyle w:val="a4"/>
                  <w:rFonts w:eastAsia="Times New Roman"/>
                  <w:sz w:val="20"/>
                  <w:szCs w:val="20"/>
                </w:rPr>
                <w:t>by and among Santa Rosa Consulting, Inc., SureTest Holdings, LLC, Laura O’Toole, Mark Scruggs, Raleigh Brewer, Thomas Watford, and CareCloud Acquisition, Corp., dated June 1, 2021 (filed as Exhibit 2.2 to the Company’s Form 8-K filed on June 2, 2021, and i</w:t>
              </w:r>
              <w:r>
                <w:rPr>
                  <w:rStyle w:val="a4"/>
                  <w:rFonts w:eastAsia="Times New Roman"/>
                  <w:sz w:val="20"/>
                  <w:szCs w:val="20"/>
                </w:rPr>
                <w:t>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2.15</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23" w:history="1">
              <w:r>
                <w:rPr>
                  <w:rStyle w:val="a4"/>
                  <w:rFonts w:eastAsia="Times New Roman"/>
                  <w:sz w:val="20"/>
                  <w:szCs w:val="20"/>
                </w:rPr>
                <w:t>Transition Services Agreement by and among CareCloud Acquisition, Corp., MedMatica Consulting Associates, Inc., an</w:t>
              </w:r>
              <w:r>
                <w:rPr>
                  <w:rStyle w:val="a4"/>
                  <w:rFonts w:eastAsia="Times New Roman"/>
                  <w:sz w:val="20"/>
                  <w:szCs w:val="20"/>
                </w:rPr>
                <w:t>d Jerold Howell, dated June 1, 2021 (filed as Exhibit 2.3 to the Company’s Form 8-K filed on June 2, 2021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3.1</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24" w:history="1">
              <w:r>
                <w:rPr>
                  <w:rStyle w:val="a4"/>
                  <w:rFonts w:eastAsia="Times New Roman"/>
                  <w:sz w:val="20"/>
                  <w:szCs w:val="20"/>
                </w:rPr>
                <w:t>Amen</w:t>
              </w:r>
              <w:r>
                <w:rPr>
                  <w:rStyle w:val="a4"/>
                  <w:rFonts w:eastAsia="Times New Roman"/>
                  <w:sz w:val="20"/>
                  <w:szCs w:val="20"/>
                </w:rPr>
                <w:t>ded and Restated Certificate of Incorporation of the Company dated April 4, 2014 (filed as Exhibit 3.1 to the Company’s Form S-1 filed on September 25, 2018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3.2</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pStyle w:val="a3"/>
              <w:spacing w:before="0" w:beforeAutospacing="0" w:after="0" w:afterAutospacing="0"/>
              <w:jc w:val="both"/>
              <w:rPr>
                <w:sz w:val="20"/>
                <w:szCs w:val="20"/>
              </w:rPr>
            </w:pPr>
            <w:hyperlink r:id="rId25" w:history="1">
              <w:r>
                <w:rPr>
                  <w:rStyle w:val="a4"/>
                  <w:sz w:val="20"/>
                  <w:szCs w:val="20"/>
                </w:rPr>
                <w:t xml:space="preserve">Certificate of Amendment of Certificate of Incorporation of the Company dated June 28, 2016 (filed as Exhibit 3.2 to the Company’s Form S-1 filed on September 25, </w:t>
              </w:r>
              <w:r>
                <w:rPr>
                  <w:rStyle w:val="a4"/>
                  <w:sz w:val="20"/>
                  <w:szCs w:val="20"/>
                </w:rPr>
                <w:t>2018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3.3</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26" w:history="1">
              <w:r>
                <w:rPr>
                  <w:rStyle w:val="a4"/>
                  <w:rFonts w:eastAsia="Times New Roman"/>
                  <w:sz w:val="20"/>
                  <w:szCs w:val="20"/>
                </w:rPr>
                <w:t>Certificate of Amendment of Amended and Restated Certificate of Incorporation of the Company dated June 1</w:t>
              </w:r>
              <w:r>
                <w:rPr>
                  <w:rStyle w:val="a4"/>
                  <w:rFonts w:eastAsia="Times New Roman"/>
                  <w:sz w:val="20"/>
                  <w:szCs w:val="20"/>
                </w:rPr>
                <w:t>8, 2018 (filed as Exhibit 3.6 to the Company’s Form S-1 filed on September 25, 2018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3.4</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pStyle w:val="a3"/>
              <w:spacing w:before="0" w:beforeAutospacing="0" w:after="0" w:afterAutospacing="0"/>
              <w:jc w:val="both"/>
              <w:rPr>
                <w:sz w:val="20"/>
                <w:szCs w:val="20"/>
              </w:rPr>
            </w:pPr>
            <w:hyperlink r:id="rId27" w:history="1">
              <w:r>
                <w:rPr>
                  <w:rStyle w:val="a4"/>
                  <w:sz w:val="20"/>
                  <w:szCs w:val="20"/>
                </w:rPr>
                <w:t>Certificate of Amendment o</w:t>
              </w:r>
              <w:r>
                <w:rPr>
                  <w:rStyle w:val="a4"/>
                  <w:sz w:val="20"/>
                  <w:szCs w:val="20"/>
                </w:rPr>
                <w:t>f Amended and Restated Certificate of Incorporation of the Company dated February 6, 2019 (filed as Exhibit 3.1 to the Company’s Form 8-K filed on February 7, 2019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3.5</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pStyle w:val="a3"/>
              <w:spacing w:before="0" w:beforeAutospacing="0" w:after="0" w:afterAutospacing="0"/>
              <w:jc w:val="both"/>
              <w:rPr>
                <w:sz w:val="20"/>
                <w:szCs w:val="20"/>
              </w:rPr>
            </w:pPr>
            <w:hyperlink r:id="rId28" w:history="1">
              <w:r>
                <w:rPr>
                  <w:rStyle w:val="a4"/>
                  <w:sz w:val="20"/>
                  <w:szCs w:val="20"/>
                </w:rPr>
                <w:t>Certificate of Amendment of Amended and Restated Certificate of Incorporation of MTBC, Inc. dated June 25, 2019 (filed as Exhibit 3.1 to the Company’s Form 8-K fil</w:t>
              </w:r>
              <w:r>
                <w:rPr>
                  <w:rStyle w:val="a4"/>
                  <w:sz w:val="20"/>
                  <w:szCs w:val="20"/>
                </w:rPr>
                <w:t>ed on June 25, 2019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3.6</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29" w:history="1">
              <w:r>
                <w:rPr>
                  <w:rStyle w:val="a4"/>
                  <w:rFonts w:eastAsia="Times New Roman"/>
                  <w:sz w:val="20"/>
                  <w:szCs w:val="20"/>
                </w:rPr>
                <w:t>Amended and Restated Certificate of Designations, Preferences and Rights of 11% Series A C</w:t>
              </w:r>
              <w:r>
                <w:rPr>
                  <w:rStyle w:val="a4"/>
                  <w:rFonts w:eastAsia="Times New Roman"/>
                  <w:sz w:val="20"/>
                  <w:szCs w:val="20"/>
                </w:rPr>
                <w:t>umulative Redeemable Perpetual Preferred Stock dated July 6, 2016 (filed as Exhibit 3.3 to the Company’s Form S-1 filed on September 25, 2018,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3.7</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30" w:history="1">
              <w:r>
                <w:rPr>
                  <w:rStyle w:val="a4"/>
                  <w:rFonts w:eastAsia="Times New Roman"/>
                  <w:sz w:val="20"/>
                  <w:szCs w:val="20"/>
                </w:rPr>
                <w:t>First Amendment to Amended and Restated Certificate of Designations, Preferences and Rights of 11% Series A Cumulative Redeemable Perpetual Preferred Stock dated September 15, 2017 (filed as Exhibit 3.4 to the Company’s For</w:t>
              </w:r>
              <w:r>
                <w:rPr>
                  <w:rStyle w:val="a4"/>
                  <w:rFonts w:eastAsia="Times New Roman"/>
                  <w:sz w:val="20"/>
                  <w:szCs w:val="20"/>
                </w:rPr>
                <w:t>m S-1 filed on September 25, 2018, and incorporated herein by reference).</w:t>
              </w:r>
            </w:hyperlink>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9019711"/>
        </w:trPr>
        <w:tc>
          <w:tcPr>
            <w:tcW w:w="5000" w:type="pct"/>
            <w:hideMark/>
          </w:tcPr>
          <w:p w:rsidR="00000000" w:rsidRDefault="00B30BA7">
            <w:pPr>
              <w:jc w:val="center"/>
              <w:rPr>
                <w:rFonts w:eastAsia="Times New Roman"/>
                <w:sz w:val="20"/>
                <w:szCs w:val="20"/>
              </w:rPr>
            </w:pPr>
            <w:r>
              <w:rPr>
                <w:rFonts w:eastAsia="Times New Roman"/>
                <w:sz w:val="20"/>
                <w:szCs w:val="20"/>
              </w:rPr>
              <w:t>5</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4"/>
        <w:gridCol w:w="144"/>
        <w:gridCol w:w="7298"/>
      </w:tblGrid>
      <w:tr w:rsidR="00000000">
        <w:tc>
          <w:tcPr>
            <w:tcW w:w="864" w:type="dxa"/>
            <w:hideMark/>
          </w:tcPr>
          <w:p w:rsidR="00000000" w:rsidRDefault="00B30BA7">
            <w:pPr>
              <w:jc w:val="both"/>
              <w:rPr>
                <w:rFonts w:eastAsia="Times New Roman"/>
                <w:sz w:val="20"/>
                <w:szCs w:val="20"/>
              </w:rPr>
            </w:pPr>
            <w:r>
              <w:rPr>
                <w:rFonts w:eastAsia="Times New Roman"/>
                <w:sz w:val="20"/>
                <w:szCs w:val="20"/>
              </w:rPr>
              <w:t>3.8</w:t>
            </w:r>
          </w:p>
        </w:tc>
        <w:tc>
          <w:tcPr>
            <w:tcW w:w="144" w:type="dxa"/>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31" w:history="1">
              <w:r>
                <w:rPr>
                  <w:rStyle w:val="a4"/>
                  <w:rFonts w:eastAsia="Times New Roman"/>
                  <w:sz w:val="20"/>
                  <w:szCs w:val="20"/>
                </w:rPr>
                <w:t xml:space="preserve">Second Amendment to Amended and Restated Certificate of Designations, Preferences and Rights of 11% Series A Cumulative Redeemable Perpetual Preferred Stock dated </w:t>
              </w:r>
              <w:r>
                <w:rPr>
                  <w:rStyle w:val="a4"/>
                  <w:rFonts w:eastAsia="Times New Roman"/>
                  <w:sz w:val="20"/>
                  <w:szCs w:val="20"/>
                </w:rPr>
                <w:t>March 23, 2018 (filed as Exhibit 3.5 to the Company’s Form S-1 filed on September 25, 2018,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3.9</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32" w:history="1">
              <w:r>
                <w:rPr>
                  <w:rStyle w:val="a4"/>
                  <w:rFonts w:eastAsia="Times New Roman"/>
                  <w:sz w:val="20"/>
                  <w:szCs w:val="20"/>
                </w:rPr>
                <w:t>Third Amendment to Amended and Restated Certificate of Designations, Preferences and Rights of 11% Series A Cumulative Redeemable Perpetual Preferred Stock dated S</w:t>
              </w:r>
              <w:r>
                <w:rPr>
                  <w:rStyle w:val="a4"/>
                  <w:rFonts w:eastAsia="Times New Roman"/>
                  <w:sz w:val="20"/>
                  <w:szCs w:val="20"/>
                </w:rPr>
                <w:t>eptember 25, 2018 (filed as Exhibit 3.7 to the Company’s Form S-1 filed on September 25, 2018,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3.10</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33" w:history="1">
              <w:r>
                <w:rPr>
                  <w:rStyle w:val="a4"/>
                  <w:rFonts w:eastAsia="Times New Roman"/>
                  <w:sz w:val="20"/>
                  <w:szCs w:val="20"/>
                </w:rPr>
                <w:t>Fourth Amendment to Amended and Restated Certificate of Designations, Preferences and Rights of 11% Series A Cumulative Redeemable Perpetual Preferred Stock dated January 9, 2020 (filed as Exhibit 3.1 to the Company’s Form 8-K filed on January 28, 2020, an</w:t>
              </w:r>
              <w:r>
                <w:rPr>
                  <w:rStyle w:val="a4"/>
                  <w:rFonts w:eastAsia="Times New Roman"/>
                  <w:sz w:val="20"/>
                  <w:szCs w:val="20"/>
                </w:rPr>
                <w:t>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3.11</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34" w:history="1">
              <w:r>
                <w:rPr>
                  <w:rStyle w:val="a4"/>
                  <w:rFonts w:eastAsia="Times New Roman"/>
                  <w:sz w:val="20"/>
                  <w:szCs w:val="20"/>
                </w:rPr>
                <w:t>Fifth Amendment to Amended and Restated Certificate of Designations, Preferences and Rights of 11% Series A Cum</w:t>
              </w:r>
              <w:r>
                <w:rPr>
                  <w:rStyle w:val="a4"/>
                  <w:rFonts w:eastAsia="Times New Roman"/>
                  <w:sz w:val="20"/>
                  <w:szCs w:val="20"/>
                </w:rPr>
                <w:t>ulative Redeemable Perpetual Preferred Stock dated May 19, 2020 (filed as Exhibit 3.2 to the Company’s Form 8-K filed on May 21, 2020,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3.12</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35" w:history="1">
              <w:r>
                <w:rPr>
                  <w:rStyle w:val="a4"/>
                  <w:rFonts w:eastAsia="Times New Roman"/>
                  <w:sz w:val="20"/>
                  <w:szCs w:val="20"/>
                </w:rPr>
                <w:t>Sixth Amendment to Amended and Restated Certificate of Designations, Preferences and Rights of 11% Series A Cumulative Redeemable Perpetual Preferred Stock dated July 9, 2020 (filed as Exhibit 3.1 to the Company’s Form 8-K filed o</w:t>
              </w:r>
              <w:r>
                <w:rPr>
                  <w:rStyle w:val="a4"/>
                  <w:rFonts w:eastAsia="Times New Roman"/>
                  <w:sz w:val="20"/>
                  <w:szCs w:val="20"/>
                </w:rPr>
                <w:t>n July 9, 2020,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3.13</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36" w:history="1">
              <w:r>
                <w:rPr>
                  <w:rStyle w:val="a4"/>
                  <w:rFonts w:eastAsia="Times New Roman"/>
                  <w:sz w:val="20"/>
                  <w:szCs w:val="20"/>
                </w:rPr>
                <w:t xml:space="preserve">Seventh Amendment to Amended and Restated Certificate of Designations, Preferences and Rights of 11% Series A Cumulative Redeemable Perpetual Preferred Stock (filed as exhibit 3.1 to the Company’s Form 8-K filed January 31, 2022 and incorporated herein by </w:t>
              </w:r>
              <w:r>
                <w:rPr>
                  <w:rStyle w:val="a4"/>
                  <w:rFonts w:eastAsia="Times New Roman"/>
                  <w:sz w:val="20"/>
                  <w:szCs w:val="20"/>
                </w:rPr>
                <w:t>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pStyle w:val="a3"/>
              <w:spacing w:before="0" w:beforeAutospacing="0" w:after="0" w:afterAutospacing="0"/>
              <w:jc w:val="both"/>
              <w:rPr>
                <w:sz w:val="20"/>
                <w:szCs w:val="20"/>
              </w:rPr>
            </w:pPr>
            <w:r>
              <w:rPr>
                <w:sz w:val="20"/>
                <w:szCs w:val="20"/>
              </w:rPr>
              <w:t>3.14</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pStyle w:val="a3"/>
              <w:spacing w:before="0" w:beforeAutospacing="0" w:after="0" w:afterAutospacing="0"/>
              <w:jc w:val="both"/>
              <w:rPr>
                <w:sz w:val="20"/>
                <w:szCs w:val="20"/>
              </w:rPr>
            </w:pPr>
            <w:hyperlink r:id="rId37" w:history="1">
              <w:r>
                <w:rPr>
                  <w:rStyle w:val="a4"/>
                  <w:sz w:val="20"/>
                  <w:szCs w:val="20"/>
                </w:rPr>
                <w:t xml:space="preserve">Certificate of Designations, Preferences and Rights of 8.75% Series B Cumulative Redeemable Perpetual Preferred Stock (filed as exhibit </w:t>
              </w:r>
              <w:r>
                <w:rPr>
                  <w:rStyle w:val="a4"/>
                  <w:sz w:val="20"/>
                  <w:szCs w:val="20"/>
                </w:rPr>
                <w:t>3.2 to the Company’s Form 8-K filed January 31, 2022 and incorporated herein by reference).</w:t>
              </w:r>
            </w:hyperlink>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3.15</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38" w:history="1">
              <w:r>
                <w:rPr>
                  <w:rStyle w:val="a4"/>
                  <w:rFonts w:eastAsia="Times New Roman"/>
                  <w:sz w:val="20"/>
                  <w:szCs w:val="20"/>
                </w:rPr>
                <w:t>Amended and Restated By-laws of the Company (fil</w:t>
              </w:r>
              <w:r>
                <w:rPr>
                  <w:rStyle w:val="a4"/>
                  <w:rFonts w:eastAsia="Times New Roman"/>
                  <w:sz w:val="20"/>
                  <w:szCs w:val="20"/>
                </w:rPr>
                <w:t>ed as Exhibit 3.2 to the Company’s Amendment No. 1 to Form S-1 filed on April 7, 2014, and incorporated herein by reference).</w:t>
              </w:r>
            </w:hyperlink>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4.1</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39" w:history="1">
              <w:r>
                <w:rPr>
                  <w:rStyle w:val="a4"/>
                  <w:rFonts w:eastAsia="Times New Roman"/>
                  <w:sz w:val="20"/>
                  <w:szCs w:val="20"/>
                </w:rPr>
                <w:t>Form of common stock certificate of the Company (filed as Exhibit 4.1 to Amendment No. 2 to the Company’s Form S-1 filed on May 7, 2014, and incorporated h</w:t>
              </w:r>
              <w:r>
                <w:rPr>
                  <w:rStyle w:val="a4"/>
                  <w:rFonts w:eastAsia="Times New Roman"/>
                  <w:sz w:val="20"/>
                  <w:szCs w:val="20"/>
                </w:rPr>
                <w:t>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4.2</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40" w:history="1">
              <w:r>
                <w:rPr>
                  <w:rStyle w:val="a4"/>
                  <w:rFonts w:eastAsia="Times New Roman"/>
                  <w:sz w:val="20"/>
                  <w:szCs w:val="20"/>
                </w:rPr>
                <w:t>Form of stock certificate of the 11% Series A Cumulative Redeemable Perpetual Preferred Stock (filed as Exhibit 4.2 to A</w:t>
              </w:r>
              <w:r>
                <w:rPr>
                  <w:rStyle w:val="a4"/>
                  <w:rFonts w:eastAsia="Times New Roman"/>
                  <w:sz w:val="20"/>
                  <w:szCs w:val="20"/>
                </w:rPr>
                <w:t>mendment No. 2 to the Company’s Form S-1 on October 19, 2015,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4.3</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41" w:history="1">
              <w:r>
                <w:rPr>
                  <w:rStyle w:val="a4"/>
                  <w:rFonts w:eastAsia="Times New Roman"/>
                  <w:sz w:val="20"/>
                  <w:szCs w:val="20"/>
                </w:rPr>
                <w:t xml:space="preserve">Form of stock certificate of the 8.75% Series B </w:t>
              </w:r>
              <w:r>
                <w:rPr>
                  <w:rStyle w:val="a4"/>
                  <w:rFonts w:eastAsia="Times New Roman"/>
                  <w:sz w:val="20"/>
                  <w:szCs w:val="20"/>
                </w:rPr>
                <w:t>Cumulative Redeemable Perpetual Preferred Stock (filed as Exhibit 4.3 to the Company’s Form 8-A on January 31, 2022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4.4</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42" w:history="1">
              <w:r>
                <w:rPr>
                  <w:rStyle w:val="a4"/>
                  <w:rFonts w:eastAsia="Times New Roman"/>
                  <w:sz w:val="20"/>
                  <w:szCs w:val="20"/>
                </w:rPr>
                <w:t>Warrant to Purchase Stock dated as of October 13, 2017 issued by the Company to Silicon Valley Bank (filed as Exhibit 10.2 to the Company’s Form 8-K filed on Octo</w:t>
              </w:r>
              <w:r>
                <w:rPr>
                  <w:rStyle w:val="a4"/>
                  <w:rFonts w:eastAsia="Times New Roman"/>
                  <w:sz w:val="20"/>
                  <w:szCs w:val="20"/>
                </w:rPr>
                <w:t>ber 16, 2017,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4.5</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43" w:history="1">
              <w:r>
                <w:rPr>
                  <w:rStyle w:val="a4"/>
                  <w:rFonts w:eastAsia="Times New Roman"/>
                  <w:sz w:val="20"/>
                  <w:szCs w:val="20"/>
                </w:rPr>
                <w:t>Warrant to Purchase Stock issued by the Company on September 20, 2018 to Silicon Valley Bank (f</w:t>
              </w:r>
              <w:r>
                <w:rPr>
                  <w:rStyle w:val="a4"/>
                  <w:rFonts w:eastAsia="Times New Roman"/>
                  <w:sz w:val="20"/>
                  <w:szCs w:val="20"/>
                </w:rPr>
                <w:t>iled as Exhibit 10.2 to the Company’s Form 8-K filed on September 20, 2018,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4.6</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44" w:history="1">
              <w:r>
                <w:rPr>
                  <w:rStyle w:val="a4"/>
                  <w:rFonts w:eastAsia="Times New Roman"/>
                  <w:sz w:val="20"/>
                  <w:szCs w:val="20"/>
                </w:rPr>
                <w:t>Warrant to Purchase Stock issued b</w:t>
              </w:r>
              <w:r>
                <w:rPr>
                  <w:rStyle w:val="a4"/>
                  <w:rFonts w:eastAsia="Times New Roman"/>
                  <w:sz w:val="20"/>
                  <w:szCs w:val="20"/>
                </w:rPr>
                <w:t>y the Company on January 8, 2020 to Runway Growth Credit Fund Inc. (filed as Exhibit 4.5 to the Company’s Form 10-K filed on February 28, 2020,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4.7</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45" w:history="1">
              <w:r>
                <w:rPr>
                  <w:rStyle w:val="a4"/>
                  <w:rFonts w:eastAsia="Times New Roman"/>
                  <w:sz w:val="20"/>
                  <w:szCs w:val="20"/>
                </w:rPr>
                <w:t>Warrant to Purchase Stock issued by the Company on January 8, 2020 to Runway Growth Credit Fund Inc. (filed as Exhibit 4.6 to the Company’s Form 10-K filed on Febr</w:t>
              </w:r>
              <w:r>
                <w:rPr>
                  <w:rStyle w:val="a4"/>
                  <w:rFonts w:eastAsia="Times New Roman"/>
                  <w:sz w:val="20"/>
                  <w:szCs w:val="20"/>
                </w:rPr>
                <w:t>uary 28, 2020,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4.8</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46" w:history="1">
              <w:r>
                <w:rPr>
                  <w:rStyle w:val="a4"/>
                  <w:rFonts w:eastAsia="Times New Roman"/>
                  <w:sz w:val="20"/>
                  <w:szCs w:val="20"/>
                </w:rPr>
                <w:t>Form of Warrant to Purchase Stock issued by the Company on June 16, 2020 with respect to the Me</w:t>
              </w:r>
              <w:r>
                <w:rPr>
                  <w:rStyle w:val="a4"/>
                  <w:rFonts w:eastAsia="Times New Roman"/>
                  <w:sz w:val="20"/>
                  <w:szCs w:val="20"/>
                </w:rPr>
                <w:t>ridian transaction (filed as Exhibit 4.7 to the Company’s Form S-1 filed on August 20, 2020, and incorporated herein by reference).</w:t>
              </w:r>
            </w:hyperlink>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31120775"/>
        </w:trPr>
        <w:tc>
          <w:tcPr>
            <w:tcW w:w="5000" w:type="pct"/>
            <w:hideMark/>
          </w:tcPr>
          <w:p w:rsidR="00000000" w:rsidRDefault="00B30BA7">
            <w:pPr>
              <w:jc w:val="center"/>
              <w:rPr>
                <w:rFonts w:eastAsia="Times New Roman"/>
                <w:sz w:val="20"/>
                <w:szCs w:val="20"/>
              </w:rPr>
            </w:pPr>
            <w:r>
              <w:rPr>
                <w:rFonts w:eastAsia="Times New Roman"/>
                <w:sz w:val="20"/>
                <w:szCs w:val="20"/>
              </w:rPr>
              <w:t>5</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4"/>
        <w:gridCol w:w="144"/>
        <w:gridCol w:w="7298"/>
      </w:tblGrid>
      <w:tr w:rsidR="00000000">
        <w:tc>
          <w:tcPr>
            <w:tcW w:w="864" w:type="dxa"/>
            <w:hideMark/>
          </w:tcPr>
          <w:p w:rsidR="00000000" w:rsidRDefault="00B30BA7">
            <w:pPr>
              <w:jc w:val="both"/>
              <w:rPr>
                <w:rFonts w:eastAsia="Times New Roman"/>
                <w:sz w:val="20"/>
                <w:szCs w:val="20"/>
              </w:rPr>
            </w:pPr>
            <w:r>
              <w:rPr>
                <w:rFonts w:eastAsia="Times New Roman"/>
                <w:sz w:val="20"/>
                <w:szCs w:val="20"/>
              </w:rPr>
              <w:t>4.9</w:t>
            </w:r>
          </w:p>
        </w:tc>
        <w:tc>
          <w:tcPr>
            <w:tcW w:w="144" w:type="dxa"/>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47" w:history="1">
              <w:r>
                <w:rPr>
                  <w:rStyle w:val="a4"/>
                  <w:rFonts w:eastAsia="Times New Roman"/>
                  <w:sz w:val="20"/>
                  <w:szCs w:val="20"/>
                </w:rPr>
                <w:t>Description of Securities Registered Pursuant to Section 12 of the Securities Exchange Act of 1934 (filed as Exhibit 4.8 to the Company’s Form 10-K on February 25,</w:t>
              </w:r>
              <w:r>
                <w:rPr>
                  <w:rStyle w:val="a4"/>
                  <w:rFonts w:eastAsia="Times New Roman"/>
                  <w:sz w:val="20"/>
                  <w:szCs w:val="20"/>
                </w:rPr>
                <w:t xml:space="preserve"> 2021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48" w:history="1">
              <w:r>
                <w:rPr>
                  <w:rStyle w:val="a4"/>
                  <w:rFonts w:eastAsia="Times New Roman"/>
                  <w:sz w:val="20"/>
                  <w:szCs w:val="20"/>
                </w:rPr>
                <w:t xml:space="preserve">Form of Indemnification Agreement between the Company and each of its directors and executive </w:t>
              </w:r>
              <w:r>
                <w:rPr>
                  <w:rStyle w:val="a4"/>
                  <w:rFonts w:eastAsia="Times New Roman"/>
                  <w:sz w:val="20"/>
                  <w:szCs w:val="20"/>
                </w:rPr>
                <w:t>officers (filed as Exhibit 10.1 to Amendment No. 2 to the Company’s Form S-1 filed on May 7, 2014,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10.2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49" w:history="1">
              <w:r>
                <w:rPr>
                  <w:rStyle w:val="a4"/>
                  <w:rFonts w:eastAsia="Times New Roman"/>
                  <w:sz w:val="20"/>
                  <w:szCs w:val="20"/>
                </w:rPr>
                <w:t>Amended and Restated Equity Incentive Plan of the Company (filed as Appendix B to the Company’s Proxy Statement on Schedule 14A filed on February 10, 2017, and in</w:t>
              </w:r>
              <w:r>
                <w:rPr>
                  <w:rStyle w:val="a4"/>
                  <w:rFonts w:eastAsia="Times New Roman"/>
                  <w:sz w:val="20"/>
                  <w:szCs w:val="20"/>
                </w:rPr>
                <w:t>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10.3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50" w:history="1">
              <w:r>
                <w:rPr>
                  <w:rStyle w:val="a4"/>
                  <w:rFonts w:eastAsia="Times New Roman"/>
                  <w:sz w:val="20"/>
                  <w:szCs w:val="20"/>
                </w:rPr>
                <w:t>First Amendment to the Amended and Restated Equity Incentive Plan of the Company (filed as Exhibit 10.16 to the</w:t>
              </w:r>
              <w:r>
                <w:rPr>
                  <w:rStyle w:val="a4"/>
                  <w:rFonts w:eastAsia="Times New Roman"/>
                  <w:sz w:val="20"/>
                  <w:szCs w:val="20"/>
                </w:rPr>
                <w:t xml:space="preserve"> Company’s Form 10-Q filed on August 8, 2018,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10.4*</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51" w:history="1">
              <w:r>
                <w:rPr>
                  <w:rStyle w:val="a4"/>
                  <w:rFonts w:eastAsia="Times New Roman"/>
                  <w:sz w:val="20"/>
                  <w:szCs w:val="20"/>
                </w:rPr>
                <w:t>Second Amendment to MTBC, Inc. Amended and Restated Equity Inc</w:t>
              </w:r>
              <w:r>
                <w:rPr>
                  <w:rStyle w:val="a4"/>
                  <w:rFonts w:eastAsia="Times New Roman"/>
                  <w:sz w:val="20"/>
                  <w:szCs w:val="20"/>
                </w:rPr>
                <w:t>entive Plan (filed as Exhibit 3.1 to the Company’s Form 8-K filed on May 21, 2020,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10.5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52" w:history="1">
              <w:r>
                <w:rPr>
                  <w:rStyle w:val="a4"/>
                  <w:rFonts w:eastAsia="Times New Roman"/>
                  <w:sz w:val="20"/>
                  <w:szCs w:val="20"/>
                </w:rPr>
                <w:t>Form of Restricted Stock Unit Agreement under Amended and Restated Equity Incentive Plan (filed as Exhibit 10.3 to Amendment No. 1 to the Company’s Form S</w:t>
              </w:r>
              <w:r>
                <w:rPr>
                  <w:rStyle w:val="a4"/>
                  <w:rFonts w:eastAsia="Times New Roman"/>
                  <w:sz w:val="20"/>
                  <w:szCs w:val="20"/>
                </w:rPr>
                <w:t>-1 filed on April 7, 2014,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10.6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53" w:history="1">
              <w:r>
                <w:rPr>
                  <w:rStyle w:val="a4"/>
                  <w:rFonts w:eastAsia="Times New Roman"/>
                  <w:sz w:val="20"/>
                  <w:szCs w:val="20"/>
                </w:rPr>
                <w:t>Form of Restricted Stock Award Agreement under the Amended and Restate</w:t>
              </w:r>
              <w:r>
                <w:rPr>
                  <w:rStyle w:val="a4"/>
                  <w:rFonts w:eastAsia="Times New Roman"/>
                  <w:sz w:val="20"/>
                  <w:szCs w:val="20"/>
                </w:rPr>
                <w:t>d Equity Incentive Plan (filed as Exhibit 10.12 to the Company’s Form 10-K filed on March 24, 2016,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10.7</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54" w:history="1">
              <w:r>
                <w:rPr>
                  <w:rStyle w:val="a4"/>
                  <w:rFonts w:eastAsia="Times New Roman"/>
                  <w:sz w:val="20"/>
                  <w:szCs w:val="20"/>
                </w:rPr>
                <w:t>Lease between Company and Mahmud Haq with respect to offices located at 7 Clyde Road, Somerset, NJ 08873 (filed as Exhibit 10.4 to the Company’s Form S-1 filed on December 20, 2013,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10.8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55" w:history="1">
              <w:r>
                <w:rPr>
                  <w:rStyle w:val="a4"/>
                  <w:rFonts w:eastAsia="Times New Roman"/>
                  <w:sz w:val="20"/>
                  <w:szCs w:val="20"/>
                </w:rPr>
                <w:t>Employment Agreement between the Company and Mahmud Haq dated as of May 1, 2018 (filed as Exhibit 10.1 to the Company’s Form 8-K filed on May 7, 2018, and incorpo</w:t>
              </w:r>
              <w:r>
                <w:rPr>
                  <w:rStyle w:val="a4"/>
                  <w:rFonts w:eastAsia="Times New Roman"/>
                  <w:sz w:val="20"/>
                  <w:szCs w:val="20"/>
                </w:rPr>
                <w:t>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10.9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56" w:history="1">
              <w:r>
                <w:rPr>
                  <w:rStyle w:val="a4"/>
                  <w:rFonts w:eastAsia="Times New Roman"/>
                  <w:sz w:val="20"/>
                  <w:szCs w:val="20"/>
                </w:rPr>
                <w:t xml:space="preserve">Employment Agreement between the Company and Stephen Snyder dated as of March 23, 2021 (filed as Exhibit 10.1 to the </w:t>
              </w:r>
              <w:r>
                <w:rPr>
                  <w:rStyle w:val="a4"/>
                  <w:rFonts w:eastAsia="Times New Roman"/>
                  <w:sz w:val="20"/>
                  <w:szCs w:val="20"/>
                </w:rPr>
                <w:t>Company’s Form 8-K filed on March 24, 2021,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10.10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57" w:history="1">
              <w:r>
                <w:rPr>
                  <w:rStyle w:val="a4"/>
                  <w:rFonts w:eastAsia="Times New Roman"/>
                  <w:sz w:val="20"/>
                  <w:szCs w:val="20"/>
                </w:rPr>
                <w:t>Employment Agreement between the Company and A. Hadi Chaudhry</w:t>
              </w:r>
              <w:r>
                <w:rPr>
                  <w:rStyle w:val="a4"/>
                  <w:rFonts w:eastAsia="Times New Roman"/>
                  <w:sz w:val="20"/>
                  <w:szCs w:val="20"/>
                </w:rPr>
                <w:t xml:space="preserve"> dated as of March 23, 2021 (filed as Exhibit 10.2 to the Company’s Form 8-K filed on March 24, 2021,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10.11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58" w:history="1">
              <w:r>
                <w:rPr>
                  <w:rStyle w:val="a4"/>
                  <w:rFonts w:eastAsia="Times New Roman"/>
                  <w:sz w:val="20"/>
                  <w:szCs w:val="20"/>
                </w:rPr>
                <w:t>Emp</w:t>
              </w:r>
              <w:r>
                <w:rPr>
                  <w:rStyle w:val="a4"/>
                  <w:rFonts w:eastAsia="Times New Roman"/>
                  <w:sz w:val="20"/>
                  <w:szCs w:val="20"/>
                </w:rPr>
                <w:t>loyment Agreement between the Company and Bill Korn dated as of May 1, 2018 (filed as Exhibit 10.4 to the Company’s Form 8-K filed on May 7, 2018,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10.12</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hyperlink r:id="rId59" w:history="1">
              <w:r>
                <w:rPr>
                  <w:rStyle w:val="a4"/>
                  <w:rFonts w:eastAsia="Times New Roman"/>
                  <w:sz w:val="20"/>
                  <w:szCs w:val="20"/>
                </w:rPr>
                <w:t>Loan and Security Agreement dated as of October 13, 2017 between Medical Transcription Billing, Corp., MTBC Acquisition, Corp. and Silicon Valley Bank (filed as E</w:t>
              </w:r>
              <w:r>
                <w:rPr>
                  <w:rStyle w:val="a4"/>
                  <w:rFonts w:eastAsia="Times New Roman"/>
                  <w:sz w:val="20"/>
                  <w:szCs w:val="20"/>
                </w:rPr>
                <w:t>xhibit 10.1 to the Company’s Form 8-K filed on October 16, 2017,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10.13</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60" w:history="1">
              <w:r>
                <w:rPr>
                  <w:rStyle w:val="a4"/>
                  <w:rFonts w:eastAsia="Times New Roman"/>
                  <w:sz w:val="20"/>
                  <w:szCs w:val="20"/>
                </w:rPr>
                <w:t>Joinder and First Loan Modification Agreem</w:t>
              </w:r>
              <w:r>
                <w:rPr>
                  <w:rStyle w:val="a4"/>
                  <w:rFonts w:eastAsia="Times New Roman"/>
                  <w:sz w:val="20"/>
                  <w:szCs w:val="20"/>
                </w:rPr>
                <w:t xml:space="preserve">ent dated as of September 20, 2018 between Medical Transcription Billing, Corp., MTBC Acquisition, Corp., MTBC Health, Inc. and MTBC Practice Management, Corp. and Silicon Valley Bank (filed as Exhibit 10.1 to the Company’s Form 8-K filed on September 20, </w:t>
              </w:r>
              <w:r>
                <w:rPr>
                  <w:rStyle w:val="a4"/>
                  <w:rFonts w:eastAsia="Times New Roman"/>
                  <w:sz w:val="20"/>
                  <w:szCs w:val="20"/>
                </w:rPr>
                <w:t>2018,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10.14</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61" w:history="1">
              <w:r>
                <w:rPr>
                  <w:rStyle w:val="a4"/>
                  <w:rFonts w:eastAsia="Times New Roman"/>
                  <w:sz w:val="20"/>
                  <w:szCs w:val="20"/>
                </w:rPr>
                <w:t xml:space="preserve">Second Loan Modification Agreement dated November 15, 2019, by and between the Company and SVB (filed </w:t>
              </w:r>
              <w:r>
                <w:rPr>
                  <w:rStyle w:val="a4"/>
                  <w:rFonts w:eastAsia="Times New Roman"/>
                  <w:sz w:val="20"/>
                  <w:szCs w:val="20"/>
                </w:rPr>
                <w:t>as Exhibit 1.1 to the Company’s Form 8-K filed on November 21, 2019,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10.15</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62" w:history="1">
              <w:r>
                <w:rPr>
                  <w:rStyle w:val="a4"/>
                  <w:rFonts w:eastAsia="Times New Roman"/>
                  <w:sz w:val="20"/>
                  <w:szCs w:val="20"/>
                </w:rPr>
                <w:t>Joinder and Third Loan Modification Agreement dated as of February 28, 2020 between MTBC, Inc., MTBC Acquisition Corp., MTBC Health, Inc. and MTBC Practice Manag</w:t>
              </w:r>
              <w:r>
                <w:rPr>
                  <w:rStyle w:val="a4"/>
                  <w:rFonts w:eastAsia="Times New Roman"/>
                  <w:sz w:val="20"/>
                  <w:szCs w:val="20"/>
                </w:rPr>
                <w:t>ement Corp., MTBC-Med, Inc., CareCloud Corporation and Silicon Valley Bank (filed as Exhibit 10.16 to the Company’s Form 10-K filed on February 28, 2020, and incorporated herein by reference).</w:t>
              </w:r>
            </w:hyperlink>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23631353"/>
        </w:trPr>
        <w:tc>
          <w:tcPr>
            <w:tcW w:w="5000" w:type="pct"/>
            <w:hideMark/>
          </w:tcPr>
          <w:p w:rsidR="00000000" w:rsidRDefault="00B30BA7">
            <w:pPr>
              <w:jc w:val="center"/>
              <w:rPr>
                <w:rFonts w:eastAsia="Times New Roman"/>
                <w:sz w:val="20"/>
                <w:szCs w:val="20"/>
              </w:rPr>
            </w:pPr>
            <w:r>
              <w:rPr>
                <w:rFonts w:eastAsia="Times New Roman"/>
                <w:sz w:val="20"/>
                <w:szCs w:val="20"/>
              </w:rPr>
              <w:t>6</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79"/>
        <w:gridCol w:w="163"/>
        <w:gridCol w:w="7164"/>
      </w:tblGrid>
      <w:tr w:rsidR="00000000">
        <w:tc>
          <w:tcPr>
            <w:tcW w:w="864" w:type="dxa"/>
            <w:hideMark/>
          </w:tcPr>
          <w:p w:rsidR="00000000" w:rsidRDefault="00B30BA7">
            <w:pPr>
              <w:jc w:val="both"/>
              <w:rPr>
                <w:rFonts w:eastAsia="Times New Roman"/>
                <w:sz w:val="20"/>
                <w:szCs w:val="20"/>
              </w:rPr>
            </w:pPr>
            <w:r>
              <w:rPr>
                <w:rFonts w:eastAsia="Times New Roman"/>
                <w:sz w:val="20"/>
                <w:szCs w:val="20"/>
              </w:rPr>
              <w:t>10.16</w:t>
            </w:r>
          </w:p>
        </w:tc>
        <w:tc>
          <w:tcPr>
            <w:tcW w:w="144" w:type="dxa"/>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63" w:history="1">
              <w:r>
                <w:rPr>
                  <w:rStyle w:val="a4"/>
                  <w:rFonts w:eastAsia="Times New Roman"/>
                  <w:sz w:val="20"/>
                  <w:szCs w:val="20"/>
                </w:rPr>
                <w:t>Joinder and Fourth Loan Modification Agreement dated September 21, 2020, by and between the Company and SVB (filed as Exhibit 1.1 to the Company’s Form 8-K filed o</w:t>
              </w:r>
              <w:r>
                <w:rPr>
                  <w:rStyle w:val="a4"/>
                  <w:rFonts w:eastAsia="Times New Roman"/>
                  <w:sz w:val="20"/>
                  <w:szCs w:val="20"/>
                </w:rPr>
                <w:t>n September 25, 2020,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10.17</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64" w:history="1">
              <w:r>
                <w:rPr>
                  <w:rStyle w:val="a4"/>
                  <w:rFonts w:eastAsia="Times New Roman"/>
                  <w:sz w:val="20"/>
                  <w:szCs w:val="20"/>
                </w:rPr>
                <w:t>Joinder and Fifth Loan Modification Agreement dated September 21, 2021, by and between the Company and SVB (filed as Exhibit 10.1 to the Company’s Form 8-K filed on September 22, 2021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10.18</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65" w:history="1">
              <w:r>
                <w:rPr>
                  <w:rStyle w:val="a4"/>
                  <w:rFonts w:eastAsia="Times New Roman"/>
                  <w:sz w:val="20"/>
                  <w:szCs w:val="20"/>
                </w:rPr>
                <w:t>Joinder and Sixth Loan modification Agreement dated January 27, 2022, by and between the Company and SVB.</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10.19</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66" w:history="1">
              <w:r>
                <w:rPr>
                  <w:rStyle w:val="a4"/>
                  <w:rFonts w:eastAsia="Times New Roman"/>
                  <w:sz w:val="20"/>
                  <w:szCs w:val="20"/>
                </w:rPr>
                <w:t>Underwriting Agreement dated January 28, 2022 by and between the Company and B. Riley FBR, Inc. as representative of several underwriters named therein (filed as E</w:t>
              </w:r>
              <w:r>
                <w:rPr>
                  <w:rStyle w:val="a4"/>
                  <w:rFonts w:eastAsia="Times New Roman"/>
                  <w:sz w:val="20"/>
                  <w:szCs w:val="20"/>
                </w:rPr>
                <w:t>xhibit 1.1 to the Company’s Form 8-K filed on January 31, 2022, and incorporated herein by reference).</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21.1</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67" w:history="1">
              <w:r>
                <w:rPr>
                  <w:rStyle w:val="a4"/>
                  <w:rFonts w:eastAsia="Times New Roman"/>
                  <w:sz w:val="20"/>
                  <w:szCs w:val="20"/>
                </w:rPr>
                <w:t>List of subsidiaries.</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23.1</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68" w:history="1">
              <w:r>
                <w:rPr>
                  <w:rStyle w:val="a4"/>
                  <w:rFonts w:eastAsia="Times New Roman"/>
                  <w:sz w:val="20"/>
                  <w:szCs w:val="20"/>
                </w:rPr>
                <w:t>Consent of Grant Thornton LLP.</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31.1</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69" w:history="1">
              <w:r>
                <w:rPr>
                  <w:rStyle w:val="a4"/>
                  <w:rFonts w:eastAsia="Times New Roman"/>
                  <w:sz w:val="20"/>
                  <w:szCs w:val="20"/>
                </w:rPr>
                <w:t>Certification of the Company’s Principal Executive Officer pursuant to Exchange Act Rules 13a-14(a)/15d-14(a), of the Securities Exchange Act of 1934, as amended.</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31.2</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70" w:history="1">
              <w:r>
                <w:rPr>
                  <w:rStyle w:val="a4"/>
                  <w:rFonts w:eastAsia="Times New Roman"/>
                  <w:sz w:val="20"/>
                  <w:szCs w:val="20"/>
                </w:rPr>
                <w:t>Certification of the Com</w:t>
              </w:r>
              <w:r>
                <w:rPr>
                  <w:rStyle w:val="a4"/>
                  <w:rFonts w:eastAsia="Times New Roman"/>
                  <w:sz w:val="20"/>
                  <w:szCs w:val="20"/>
                </w:rPr>
                <w:t>pany’s Principal Financial Officer pursuant to Exchange Act Rules 13a-14(a)/15d-14(a), of the Securities Exchange Act of 1934, as amended.</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32.1</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71" w:history="1">
              <w:r>
                <w:rPr>
                  <w:rStyle w:val="a4"/>
                  <w:rFonts w:eastAsia="Times New Roman"/>
                  <w:sz w:val="20"/>
                  <w:szCs w:val="20"/>
                </w:rPr>
                <w:t>Certification of the Company’s Chief Executive Officer pursuant to 18 U.S.C</w:t>
              </w:r>
              <w:r>
                <w:rPr>
                  <w:rStyle w:val="a4"/>
                  <w:rFonts w:eastAsia="Times New Roman"/>
                  <w:sz w:val="20"/>
                  <w:szCs w:val="20"/>
                </w:rPr>
                <w:t>. Section 1350, as adopted pursuant to Section 906 of the Sarbanes-Oxley Act of 2002.</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32.2</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hyperlink r:id="rId72" w:history="1">
              <w:r>
                <w:rPr>
                  <w:rStyle w:val="a4"/>
                  <w:rFonts w:eastAsia="Times New Roman"/>
                  <w:sz w:val="20"/>
                  <w:szCs w:val="20"/>
                </w:rPr>
                <w:t>Certification of the Company’</w:t>
              </w:r>
              <w:r>
                <w:rPr>
                  <w:rStyle w:val="a4"/>
                  <w:rFonts w:eastAsia="Times New Roman"/>
                  <w:sz w:val="20"/>
                  <w:szCs w:val="20"/>
                </w:rPr>
                <w:t>s Chief Financial Officer pursuant to 18 U.S.C. Section 1350, as adopted pursuant to Section 906 of the Sarbanes-Oxley Act of 2002.</w:t>
              </w:r>
            </w:hyperlink>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101.INS</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XBRL Instance</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101.SCH</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101.CAL</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Calculation Linkbase</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vAlign w:val="bottom"/>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101.LAB</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XBRL Taxonomy Extension Label Linkbase</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101.PRE</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XBRL Taxonomy Extension Presentation Linkbase</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101.DEF</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XBRL Taxonomy Extension Definition Linkbase</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jc w:val="both"/>
              <w:rPr>
                <w:rFonts w:eastAsia="Times New Roman"/>
                <w:sz w:val="20"/>
                <w:szCs w:val="20"/>
              </w:rPr>
            </w:pPr>
            <w:r>
              <w:rPr>
                <w:rFonts w:eastAsia="Times New Roman"/>
                <w:sz w:val="20"/>
                <w:szCs w:val="20"/>
              </w:rPr>
              <w:t>104</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xml:space="preserve">Cover </w:t>
            </w:r>
            <w:r>
              <w:rPr>
                <w:rFonts w:eastAsia="Times New Roman"/>
                <w:sz w:val="20"/>
                <w:szCs w:val="20"/>
              </w:rPr>
              <w:t>Page Interactive Data File (formatted as Inline XBRL and contained in Exhibit 101).</w:t>
            </w:r>
          </w:p>
        </w:tc>
      </w:tr>
      <w:tr w:rsidR="00000000">
        <w:tc>
          <w:tcPr>
            <w:tcW w:w="0" w:type="auto"/>
            <w:gridSpan w:val="3"/>
            <w:vAlign w:val="bottom"/>
            <w:hideMark/>
          </w:tcPr>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Indicates management contract or compensatory plan or arrangement.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certifications on Exhibit 32 hereto are deemed not “filed” for purposes of Section 18 of the S</w:t>
            </w:r>
            <w:r>
              <w:rPr>
                <w:sz w:val="20"/>
                <w:szCs w:val="20"/>
              </w:rPr>
              <w:t>ecurities and Exchange Act of 1934, as amended, or otherwise subject to the liability of that Section. Such certifications will not be deemed incorporated by reference into any filing under the Securities Act or the Exchange Act.</w:t>
            </w:r>
          </w:p>
          <w:p w:rsidR="00000000" w:rsidRDefault="00B30BA7">
            <w:pPr>
              <w:pStyle w:val="a3"/>
              <w:spacing w:before="0" w:beforeAutospacing="0" w:after="0" w:afterAutospacing="0"/>
              <w:jc w:val="both"/>
              <w:rPr>
                <w:sz w:val="20"/>
                <w:szCs w:val="20"/>
              </w:rPr>
            </w:pPr>
            <w:r>
              <w:rPr>
                <w:sz w:val="20"/>
                <w:szCs w:val="20"/>
              </w:rPr>
              <w:t> </w:t>
            </w:r>
          </w:p>
        </w:tc>
      </w:tr>
    </w:tbl>
    <w:p w:rsidR="00000000" w:rsidRDefault="00B30BA7">
      <w:pPr>
        <w:divId w:val="864546"/>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864546"/>
        </w:trPr>
        <w:tc>
          <w:tcPr>
            <w:tcW w:w="5000" w:type="pct"/>
            <w:hideMark/>
          </w:tcPr>
          <w:p w:rsidR="00000000" w:rsidRDefault="00B30BA7">
            <w:pPr>
              <w:jc w:val="center"/>
              <w:rPr>
                <w:rFonts w:eastAsia="Times New Roman"/>
                <w:sz w:val="20"/>
                <w:szCs w:val="20"/>
              </w:rPr>
            </w:pPr>
            <w:r>
              <w:rPr>
                <w:rFonts w:eastAsia="Times New Roman"/>
                <w:sz w:val="20"/>
                <w:szCs w:val="20"/>
              </w:rPr>
              <w:t>6</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center"/>
        <w:rPr>
          <w:b/>
          <w:bCs/>
          <w:sz w:val="20"/>
          <w:szCs w:val="20"/>
        </w:rPr>
      </w:pPr>
      <w:r>
        <w:rPr>
          <w:b/>
          <w:bCs/>
          <w:sz w:val="20"/>
          <w:szCs w:val="20"/>
        </w:rPr>
        <w:t>Signatures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gridSpan w:val="2"/>
            <w:hideMark/>
          </w:tcPr>
          <w:p w:rsidR="00000000" w:rsidRDefault="00B30BA7">
            <w:pPr>
              <w:rPr>
                <w:rFonts w:eastAsia="Times New Roman"/>
                <w:sz w:val="20"/>
                <w:szCs w:val="20"/>
              </w:rPr>
            </w:pPr>
            <w:r>
              <w:rPr>
                <w:rFonts w:eastAsia="Times New Roman"/>
                <w:sz w:val="20"/>
                <w:szCs w:val="20"/>
              </w:rPr>
              <w:t>CareCloud, Inc.</w:t>
            </w:r>
          </w:p>
        </w:tc>
      </w:tr>
      <w:tr w:rsidR="00000000">
        <w:tc>
          <w:tcPr>
            <w:tcW w:w="2500" w:type="pct"/>
            <w:hideMark/>
          </w:tcPr>
          <w:p w:rsidR="00000000" w:rsidRDefault="00B30BA7">
            <w:pPr>
              <w:rPr>
                <w:rFonts w:eastAsia="Times New Roman"/>
                <w:sz w:val="20"/>
                <w:szCs w:val="20"/>
              </w:rPr>
            </w:pPr>
            <w:r>
              <w:rPr>
                <w:rFonts w:eastAsia="Times New Roman"/>
                <w:sz w:val="20"/>
                <w:szCs w:val="20"/>
              </w:rPr>
              <w:t> </w:t>
            </w:r>
          </w:p>
        </w:tc>
        <w:tc>
          <w:tcPr>
            <w:tcW w:w="150" w:type="pct"/>
            <w:hideMark/>
          </w:tcPr>
          <w:p w:rsidR="00000000" w:rsidRDefault="00B30BA7">
            <w:pPr>
              <w:rPr>
                <w:rFonts w:eastAsia="Times New Roman"/>
                <w:sz w:val="20"/>
                <w:szCs w:val="20"/>
              </w:rPr>
            </w:pPr>
            <w:r>
              <w:rPr>
                <w:rFonts w:eastAsia="Times New Roman"/>
                <w:sz w:val="20"/>
                <w:szCs w:val="20"/>
              </w:rPr>
              <w:t> </w:t>
            </w:r>
          </w:p>
        </w:tc>
        <w:tc>
          <w:tcPr>
            <w:tcW w:w="2350" w:type="pct"/>
            <w:hideMark/>
          </w:tcPr>
          <w:p w:rsidR="00000000" w:rsidRDefault="00B30BA7">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hideMark/>
          </w:tcPr>
          <w:p w:rsidR="00000000" w:rsidRDefault="00B30BA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B30BA7">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B30BA7">
            <w:pPr>
              <w:rPr>
                <w:rFonts w:eastAsia="Times New Roman"/>
                <w:sz w:val="20"/>
                <w:szCs w:val="20"/>
              </w:rPr>
            </w:pPr>
            <w:r>
              <w:rPr>
                <w:rFonts w:eastAsia="Times New Roman"/>
                <w:i/>
                <w:iCs/>
                <w:sz w:val="20"/>
                <w:szCs w:val="20"/>
              </w:rPr>
              <w:t>/s/ A. Hadi Chaudhry</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A. Hadi Chaudhry</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Date: March 14, 2022</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hideMark/>
          </w:tcPr>
          <w:p w:rsidR="00000000" w:rsidRDefault="00B30BA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B30BA7">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B30BA7">
            <w:pPr>
              <w:rPr>
                <w:rFonts w:eastAsia="Times New Roman"/>
                <w:sz w:val="20"/>
                <w:szCs w:val="20"/>
              </w:rPr>
            </w:pPr>
            <w:r>
              <w:rPr>
                <w:rFonts w:eastAsia="Times New Roman"/>
                <w:i/>
                <w:iCs/>
                <w:sz w:val="20"/>
                <w:szCs w:val="20"/>
              </w:rPr>
              <w:t>/s/ Bill Korn</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Bill Korn</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Chief Financial Officer</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Date: March 14, 2022</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this report has been signed below by the following persons on behalf of the Registrant and in the capacities and on the dates indicated:</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994"/>
        <w:gridCol w:w="166"/>
        <w:gridCol w:w="3987"/>
        <w:gridCol w:w="166"/>
        <w:gridCol w:w="1993"/>
      </w:tblGrid>
      <w:tr w:rsidR="00000000">
        <w:tc>
          <w:tcPr>
            <w:tcW w:w="1200" w:type="pct"/>
            <w:hideMark/>
          </w:tcPr>
          <w:p w:rsidR="00000000" w:rsidRDefault="00B30BA7">
            <w:pPr>
              <w:rPr>
                <w:rFonts w:eastAsia="Times New Roman"/>
                <w:sz w:val="20"/>
                <w:szCs w:val="20"/>
              </w:rPr>
            </w:pPr>
            <w:r>
              <w:rPr>
                <w:rFonts w:eastAsia="Times New Roman"/>
                <w:b/>
                <w:bCs/>
                <w:sz w:val="20"/>
                <w:szCs w:val="20"/>
              </w:rPr>
              <w:t>Signature</w:t>
            </w:r>
          </w:p>
        </w:tc>
        <w:tc>
          <w:tcPr>
            <w:tcW w:w="100" w:type="pct"/>
            <w:hideMark/>
          </w:tcPr>
          <w:p w:rsidR="00000000" w:rsidRDefault="00B30BA7">
            <w:pPr>
              <w:jc w:val="center"/>
              <w:rPr>
                <w:rFonts w:eastAsia="Times New Roman"/>
                <w:sz w:val="20"/>
                <w:szCs w:val="20"/>
              </w:rPr>
            </w:pPr>
            <w:r>
              <w:rPr>
                <w:rFonts w:eastAsia="Times New Roman"/>
                <w:sz w:val="20"/>
                <w:szCs w:val="20"/>
              </w:rPr>
              <w:t> </w:t>
            </w:r>
          </w:p>
        </w:tc>
        <w:tc>
          <w:tcPr>
            <w:tcW w:w="2400" w:type="pct"/>
            <w:hideMark/>
          </w:tcPr>
          <w:p w:rsidR="00000000" w:rsidRDefault="00B30BA7">
            <w:pPr>
              <w:jc w:val="center"/>
              <w:rPr>
                <w:rFonts w:eastAsia="Times New Roman"/>
                <w:sz w:val="20"/>
                <w:szCs w:val="20"/>
              </w:rPr>
            </w:pPr>
            <w:r>
              <w:rPr>
                <w:rFonts w:eastAsia="Times New Roman"/>
                <w:b/>
                <w:bCs/>
                <w:sz w:val="20"/>
                <w:szCs w:val="20"/>
              </w:rPr>
              <w:t>Title</w:t>
            </w:r>
          </w:p>
        </w:tc>
        <w:tc>
          <w:tcPr>
            <w:tcW w:w="100" w:type="pct"/>
            <w:hideMark/>
          </w:tcPr>
          <w:p w:rsidR="00000000" w:rsidRDefault="00B30BA7">
            <w:pPr>
              <w:jc w:val="center"/>
              <w:rPr>
                <w:rFonts w:eastAsia="Times New Roman"/>
                <w:sz w:val="20"/>
                <w:szCs w:val="20"/>
              </w:rPr>
            </w:pPr>
            <w:r>
              <w:rPr>
                <w:rFonts w:eastAsia="Times New Roman"/>
                <w:sz w:val="20"/>
                <w:szCs w:val="20"/>
              </w:rPr>
              <w:t> </w:t>
            </w:r>
          </w:p>
        </w:tc>
        <w:tc>
          <w:tcPr>
            <w:tcW w:w="1200" w:type="pct"/>
            <w:hideMark/>
          </w:tcPr>
          <w:p w:rsidR="00000000" w:rsidRDefault="00B30BA7">
            <w:pPr>
              <w:jc w:val="center"/>
              <w:rPr>
                <w:rFonts w:eastAsia="Times New Roman"/>
                <w:sz w:val="20"/>
                <w:szCs w:val="20"/>
              </w:rPr>
            </w:pPr>
            <w:r>
              <w:rPr>
                <w:rFonts w:eastAsia="Times New Roman"/>
                <w:b/>
                <w:bCs/>
                <w:sz w:val="20"/>
                <w:szCs w:val="20"/>
              </w:rPr>
              <w:t>Date</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B30BA7">
            <w:pPr>
              <w:rPr>
                <w:rFonts w:eastAsia="Times New Roman"/>
                <w:sz w:val="20"/>
                <w:szCs w:val="20"/>
              </w:rPr>
            </w:pPr>
            <w:r>
              <w:rPr>
                <w:rFonts w:eastAsia="Times New Roman"/>
                <w:i/>
                <w:iCs/>
                <w:sz w:val="20"/>
                <w:szCs w:val="20"/>
              </w:rPr>
              <w:t xml:space="preserve">/s/ </w:t>
            </w:r>
            <w:r>
              <w:rPr>
                <w:rFonts w:eastAsia="Times New Roman"/>
                <w:i/>
                <w:iCs/>
                <w:sz w:val="20"/>
                <w:szCs w:val="20"/>
              </w:rPr>
              <w:t>Mahmud Haq</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March 14, 2022</w:t>
            </w:r>
          </w:p>
        </w:tc>
      </w:tr>
      <w:tr w:rsidR="00000000">
        <w:tc>
          <w:tcPr>
            <w:tcW w:w="0" w:type="auto"/>
            <w:hideMark/>
          </w:tcPr>
          <w:p w:rsidR="00000000" w:rsidRDefault="00B30BA7">
            <w:pPr>
              <w:rPr>
                <w:rFonts w:eastAsia="Times New Roman"/>
                <w:sz w:val="20"/>
                <w:szCs w:val="20"/>
              </w:rPr>
            </w:pPr>
            <w:r>
              <w:rPr>
                <w:rFonts w:eastAsia="Times New Roman"/>
                <w:sz w:val="20"/>
                <w:szCs w:val="20"/>
              </w:rPr>
              <w:t>Mahmud Haq</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Executive Chairman and Director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B30BA7">
            <w:pPr>
              <w:rPr>
                <w:rFonts w:eastAsia="Times New Roman"/>
                <w:sz w:val="20"/>
                <w:szCs w:val="20"/>
              </w:rPr>
            </w:pPr>
            <w:r>
              <w:rPr>
                <w:rFonts w:eastAsia="Times New Roman"/>
                <w:i/>
                <w:iCs/>
                <w:sz w:val="20"/>
                <w:szCs w:val="20"/>
              </w:rPr>
              <w:t>/s/ A. Hadi Chaudhry</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March 14, 2022</w:t>
            </w:r>
          </w:p>
        </w:tc>
      </w:tr>
      <w:tr w:rsidR="00000000">
        <w:tc>
          <w:tcPr>
            <w:tcW w:w="0" w:type="auto"/>
            <w:hideMark/>
          </w:tcPr>
          <w:p w:rsidR="00000000" w:rsidRDefault="00B30BA7">
            <w:pPr>
              <w:rPr>
                <w:rFonts w:eastAsia="Times New Roman"/>
                <w:sz w:val="20"/>
                <w:szCs w:val="20"/>
              </w:rPr>
            </w:pPr>
            <w:r>
              <w:rPr>
                <w:rFonts w:eastAsia="Times New Roman"/>
                <w:sz w:val="20"/>
                <w:szCs w:val="20"/>
              </w:rPr>
              <w:t>A. Hadi Chaudhry</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Principal Executive Officer, President and Director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B30BA7">
            <w:pPr>
              <w:rPr>
                <w:rFonts w:eastAsia="Times New Roman"/>
                <w:sz w:val="20"/>
                <w:szCs w:val="20"/>
              </w:rPr>
            </w:pPr>
            <w:r>
              <w:rPr>
                <w:rFonts w:eastAsia="Times New Roman"/>
                <w:i/>
                <w:iCs/>
                <w:sz w:val="20"/>
                <w:szCs w:val="20"/>
              </w:rPr>
              <w:t>/s/ Bill Korn</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xml:space="preserve">March </w:t>
            </w:r>
            <w:r>
              <w:rPr>
                <w:rFonts w:eastAsia="Times New Roman"/>
                <w:sz w:val="20"/>
                <w:szCs w:val="20"/>
              </w:rPr>
              <w:t>14, 2022</w:t>
            </w:r>
          </w:p>
        </w:tc>
      </w:tr>
      <w:tr w:rsidR="00000000">
        <w:tc>
          <w:tcPr>
            <w:tcW w:w="0" w:type="auto"/>
            <w:vMerge w:val="restart"/>
            <w:tcBorders>
              <w:bottom w:val="single" w:sz="12" w:space="0" w:color="000000"/>
            </w:tcBorders>
            <w:hideMark/>
          </w:tcPr>
          <w:p w:rsidR="00000000" w:rsidRDefault="00B30BA7">
            <w:pPr>
              <w:pStyle w:val="a3"/>
              <w:spacing w:before="0" w:beforeAutospacing="0" w:after="0" w:afterAutospacing="0"/>
              <w:rPr>
                <w:sz w:val="20"/>
                <w:szCs w:val="20"/>
              </w:rPr>
            </w:pPr>
            <w:r>
              <w:rPr>
                <w:sz w:val="20"/>
                <w:szCs w:val="20"/>
              </w:rPr>
              <w:t>Bill Korn</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i/>
                <w:iCs/>
                <w:sz w:val="20"/>
                <w:szCs w:val="20"/>
              </w:rPr>
              <w:t>/s/ Norman Roth</w:t>
            </w:r>
          </w:p>
        </w:tc>
        <w:tc>
          <w:tcPr>
            <w:tcW w:w="0" w:type="auto"/>
            <w:vMerge w:val="restart"/>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Principal Financial Officer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vMerge/>
            <w:tcBorders>
              <w:bottom w:val="single" w:sz="12" w:space="0" w:color="000000"/>
            </w:tcBorders>
            <w:hideMark/>
          </w:tcPr>
          <w:p w:rsidR="00000000" w:rsidRDefault="00B30BA7">
            <w:pPr>
              <w:rPr>
                <w:sz w:val="20"/>
                <w:szCs w:val="20"/>
              </w:rPr>
            </w:pPr>
          </w:p>
        </w:tc>
        <w:tc>
          <w:tcPr>
            <w:tcW w:w="0" w:type="auto"/>
            <w:vMerge/>
            <w:hideMark/>
          </w:tcPr>
          <w:p w:rsidR="00000000" w:rsidRDefault="00B30BA7">
            <w:pPr>
              <w:rPr>
                <w:rFonts w:eastAsia="Times New Roman"/>
                <w:sz w:val="20"/>
                <w:szCs w:val="20"/>
              </w:rPr>
            </w:pP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vMerge/>
            <w:tcBorders>
              <w:bottom w:val="single" w:sz="12" w:space="0" w:color="000000"/>
            </w:tcBorders>
            <w:hideMark/>
          </w:tcPr>
          <w:p w:rsidR="00000000" w:rsidRDefault="00B30BA7">
            <w:pPr>
              <w:rPr>
                <w:sz w:val="20"/>
                <w:szCs w:val="20"/>
              </w:rPr>
            </w:pP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March 14, 2022</w:t>
            </w:r>
          </w:p>
        </w:tc>
      </w:tr>
      <w:tr w:rsidR="00000000">
        <w:tc>
          <w:tcPr>
            <w:tcW w:w="0" w:type="auto"/>
            <w:hideMark/>
          </w:tcPr>
          <w:p w:rsidR="00000000" w:rsidRDefault="00B30BA7">
            <w:pPr>
              <w:rPr>
                <w:rFonts w:eastAsia="Times New Roman"/>
                <w:sz w:val="20"/>
                <w:szCs w:val="20"/>
              </w:rPr>
            </w:pPr>
            <w:r>
              <w:rPr>
                <w:rFonts w:eastAsia="Times New Roman"/>
                <w:sz w:val="20"/>
                <w:szCs w:val="20"/>
              </w:rPr>
              <w:t>Norman Roth</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Principal Accounting Officer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B30BA7">
            <w:pPr>
              <w:rPr>
                <w:rFonts w:eastAsia="Times New Roman"/>
                <w:sz w:val="20"/>
                <w:szCs w:val="20"/>
              </w:rPr>
            </w:pPr>
            <w:r>
              <w:rPr>
                <w:rFonts w:eastAsia="Times New Roman"/>
                <w:i/>
                <w:iCs/>
                <w:sz w:val="20"/>
                <w:szCs w:val="20"/>
              </w:rPr>
              <w:t>/s/ Stephen Snyder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March 14, 2022</w:t>
            </w:r>
          </w:p>
        </w:tc>
      </w:tr>
      <w:tr w:rsidR="00000000">
        <w:tc>
          <w:tcPr>
            <w:tcW w:w="0" w:type="auto"/>
            <w:hideMark/>
          </w:tcPr>
          <w:p w:rsidR="00000000" w:rsidRDefault="00B30BA7">
            <w:pPr>
              <w:rPr>
                <w:rFonts w:eastAsia="Times New Roman"/>
                <w:sz w:val="20"/>
                <w:szCs w:val="20"/>
              </w:rPr>
            </w:pPr>
            <w:r>
              <w:rPr>
                <w:rFonts w:eastAsia="Times New Roman"/>
                <w:sz w:val="20"/>
                <w:szCs w:val="20"/>
              </w:rPr>
              <w:t>Stephen Snyder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Director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B30BA7">
            <w:pPr>
              <w:rPr>
                <w:rFonts w:eastAsia="Times New Roman"/>
                <w:sz w:val="20"/>
                <w:szCs w:val="20"/>
              </w:rPr>
            </w:pPr>
            <w:r>
              <w:rPr>
                <w:rFonts w:eastAsia="Times New Roman"/>
                <w:i/>
                <w:iCs/>
                <w:sz w:val="20"/>
                <w:szCs w:val="20"/>
              </w:rPr>
              <w:t xml:space="preserve">/s/ </w:t>
            </w:r>
            <w:r>
              <w:rPr>
                <w:rFonts w:eastAsia="Times New Roman"/>
                <w:i/>
                <w:iCs/>
                <w:sz w:val="20"/>
                <w:szCs w:val="20"/>
              </w:rPr>
              <w:t>Anne Busquet</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March 14, 2022</w:t>
            </w:r>
          </w:p>
        </w:tc>
      </w:tr>
      <w:tr w:rsidR="00000000">
        <w:tc>
          <w:tcPr>
            <w:tcW w:w="0" w:type="auto"/>
            <w:hideMark/>
          </w:tcPr>
          <w:p w:rsidR="00000000" w:rsidRDefault="00B30BA7">
            <w:pPr>
              <w:rPr>
                <w:rFonts w:eastAsia="Times New Roman"/>
                <w:sz w:val="20"/>
                <w:szCs w:val="20"/>
              </w:rPr>
            </w:pPr>
            <w:r>
              <w:rPr>
                <w:rFonts w:eastAsia="Times New Roman"/>
                <w:sz w:val="20"/>
                <w:szCs w:val="20"/>
              </w:rPr>
              <w:t>Anne Busquet</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Director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B30BA7">
            <w:pPr>
              <w:rPr>
                <w:rFonts w:eastAsia="Times New Roman"/>
                <w:sz w:val="20"/>
                <w:szCs w:val="20"/>
              </w:rPr>
            </w:pPr>
            <w:r>
              <w:rPr>
                <w:rFonts w:eastAsia="Times New Roman"/>
                <w:i/>
                <w:iCs/>
                <w:sz w:val="20"/>
                <w:szCs w:val="20"/>
              </w:rPr>
              <w:t>/s/ Lawrence Sharnak</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March 14, 2022</w:t>
            </w:r>
          </w:p>
        </w:tc>
      </w:tr>
      <w:tr w:rsidR="00000000">
        <w:tc>
          <w:tcPr>
            <w:tcW w:w="0" w:type="auto"/>
            <w:hideMark/>
          </w:tcPr>
          <w:p w:rsidR="00000000" w:rsidRDefault="00B30BA7">
            <w:pPr>
              <w:rPr>
                <w:rFonts w:eastAsia="Times New Roman"/>
                <w:sz w:val="20"/>
                <w:szCs w:val="20"/>
              </w:rPr>
            </w:pPr>
            <w:r>
              <w:rPr>
                <w:rFonts w:eastAsia="Times New Roman"/>
                <w:sz w:val="20"/>
                <w:szCs w:val="20"/>
              </w:rPr>
              <w:t>Lawrence Sharnak</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Director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B30BA7">
            <w:pPr>
              <w:rPr>
                <w:rFonts w:eastAsia="Times New Roman"/>
                <w:sz w:val="20"/>
                <w:szCs w:val="20"/>
              </w:rPr>
            </w:pPr>
            <w:r>
              <w:rPr>
                <w:rFonts w:eastAsia="Times New Roman"/>
                <w:i/>
                <w:iCs/>
                <w:sz w:val="20"/>
                <w:szCs w:val="20"/>
              </w:rPr>
              <w:t>/s/ John N. Daly</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March 14, 2022</w:t>
            </w:r>
          </w:p>
        </w:tc>
      </w:tr>
      <w:tr w:rsidR="00000000">
        <w:tc>
          <w:tcPr>
            <w:tcW w:w="0" w:type="auto"/>
            <w:hideMark/>
          </w:tcPr>
          <w:p w:rsidR="00000000" w:rsidRDefault="00B30BA7">
            <w:pPr>
              <w:rPr>
                <w:rFonts w:eastAsia="Times New Roman"/>
                <w:sz w:val="20"/>
                <w:szCs w:val="20"/>
              </w:rPr>
            </w:pPr>
            <w:r>
              <w:rPr>
                <w:rFonts w:eastAsia="Times New Roman"/>
                <w:sz w:val="20"/>
                <w:szCs w:val="20"/>
              </w:rPr>
              <w:t>John N. Daly</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Director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B30BA7">
            <w:pPr>
              <w:rPr>
                <w:rFonts w:eastAsia="Times New Roman"/>
                <w:sz w:val="20"/>
                <w:szCs w:val="20"/>
              </w:rPr>
            </w:pPr>
            <w:r>
              <w:rPr>
                <w:rFonts w:eastAsia="Times New Roman"/>
                <w:i/>
                <w:iCs/>
                <w:sz w:val="20"/>
                <w:szCs w:val="20"/>
              </w:rPr>
              <w:t xml:space="preserve">/s/ </w:t>
            </w:r>
            <w:r>
              <w:rPr>
                <w:rFonts w:eastAsia="Times New Roman"/>
                <w:i/>
                <w:iCs/>
                <w:sz w:val="20"/>
                <w:szCs w:val="20"/>
              </w:rPr>
              <w:t>Cameron Munter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March 14, 2022</w:t>
            </w:r>
          </w:p>
        </w:tc>
      </w:tr>
      <w:tr w:rsidR="00000000">
        <w:tc>
          <w:tcPr>
            <w:tcW w:w="0" w:type="auto"/>
            <w:hideMark/>
          </w:tcPr>
          <w:p w:rsidR="00000000" w:rsidRDefault="00B30BA7">
            <w:pPr>
              <w:pStyle w:val="a3"/>
              <w:spacing w:before="0" w:beforeAutospacing="0" w:after="0" w:afterAutospacing="0"/>
              <w:rPr>
                <w:sz w:val="20"/>
                <w:szCs w:val="20"/>
              </w:rPr>
            </w:pPr>
            <w:r>
              <w:rPr>
                <w:sz w:val="20"/>
                <w:szCs w:val="20"/>
              </w:rPr>
              <w:t>Cameron Munter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Director</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cente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6389677"/>
        </w:trPr>
        <w:tc>
          <w:tcPr>
            <w:tcW w:w="5000" w:type="pct"/>
            <w:hideMark/>
          </w:tcPr>
          <w:p w:rsidR="00000000" w:rsidRDefault="00B30BA7">
            <w:pPr>
              <w:jc w:val="center"/>
              <w:rPr>
                <w:rFonts w:eastAsia="Times New Roman"/>
                <w:sz w:val="20"/>
                <w:szCs w:val="20"/>
              </w:rPr>
            </w:pPr>
            <w:r>
              <w:rPr>
                <w:rFonts w:eastAsia="Times New Roman"/>
                <w:sz w:val="20"/>
                <w:szCs w:val="20"/>
              </w:rPr>
              <w:t>6</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center"/>
        <w:rPr>
          <w:sz w:val="20"/>
          <w:szCs w:val="20"/>
        </w:rPr>
      </w:pPr>
      <w:r>
        <w:rPr>
          <w:b/>
          <w:bCs/>
          <w:i/>
          <w:iCs/>
          <w:sz w:val="20"/>
          <w:szCs w:val="20"/>
        </w:rPr>
        <w:t> </w:t>
      </w:r>
    </w:p>
    <w:p w:rsidR="00000000" w:rsidRDefault="00B30BA7">
      <w:pPr>
        <w:pStyle w:val="a3"/>
        <w:spacing w:before="0" w:beforeAutospacing="0" w:after="0" w:afterAutospacing="0"/>
        <w:jc w:val="center"/>
        <w:rPr>
          <w:sz w:val="20"/>
          <w:szCs w:val="20"/>
        </w:rPr>
      </w:pPr>
      <w:r>
        <w:rPr>
          <w:b/>
          <w:bCs/>
          <w:sz w:val="20"/>
          <w:szCs w:val="20"/>
        </w:rPr>
        <w:t>Index to Consolidated Financial Statements</w:t>
      </w:r>
    </w:p>
    <w:p w:rsidR="00000000" w:rsidRDefault="00B30BA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86"/>
        <w:gridCol w:w="720"/>
      </w:tblGrid>
      <w:tr w:rsidR="00000000">
        <w:tc>
          <w:tcPr>
            <w:tcW w:w="0" w:type="auto"/>
            <w:shd w:val="clear" w:color="auto" w:fill="CCEEFF"/>
            <w:vAlign w:val="center"/>
            <w:hideMark/>
          </w:tcPr>
          <w:p w:rsidR="00000000" w:rsidRDefault="00B30BA7">
            <w:pPr>
              <w:rPr>
                <w:rFonts w:eastAsia="Times New Roman"/>
                <w:sz w:val="20"/>
                <w:szCs w:val="20"/>
              </w:rPr>
            </w:pPr>
            <w:hyperlink w:anchor="Gk_001" w:history="1">
              <w:r>
                <w:rPr>
                  <w:rStyle w:val="a4"/>
                  <w:rFonts w:eastAsia="Times New Roman"/>
                  <w:sz w:val="20"/>
                  <w:szCs w:val="20"/>
                </w:rPr>
                <w:t>Report of Independent Registered Public Accounting Firm</w:t>
              </w:r>
            </w:hyperlink>
            <w:r>
              <w:rPr>
                <w:rFonts w:eastAsia="Times New Roman"/>
                <w:sz w:val="20"/>
                <w:szCs w:val="20"/>
              </w:rPr>
              <w:t xml:space="preserve"> </w:t>
            </w:r>
            <w:r>
              <w:rPr>
                <w:rFonts w:eastAsia="Times New Roman"/>
                <w:sz w:val="20"/>
                <w:szCs w:val="20"/>
              </w:rPr>
              <w:t>Grant Thornton, LL</w:t>
            </w:r>
            <w:r>
              <w:rPr>
                <w:rFonts w:eastAsia="Times New Roman"/>
                <w:sz w:val="20"/>
                <w:szCs w:val="20"/>
              </w:rPr>
              <w:t>P</w:t>
            </w:r>
            <w:r>
              <w:rPr>
                <w:rFonts w:eastAsia="Times New Roman"/>
                <w:sz w:val="20"/>
                <w:szCs w:val="20"/>
              </w:rPr>
              <w:t xml:space="preserve"> (PCAOB ID Number</w:t>
            </w:r>
            <w:r>
              <w:rPr>
                <w:rFonts w:eastAsia="Times New Roman"/>
                <w:sz w:val="20"/>
                <w:szCs w:val="20"/>
              </w:rPr>
              <w:t xml:space="preserve"> </w:t>
            </w:r>
            <w:r>
              <w:rPr>
                <w:rFonts w:eastAsia="Times New Roman"/>
                <w:sz w:val="20"/>
                <w:szCs w:val="20"/>
              </w:rPr>
              <w:t>24</w:t>
            </w:r>
            <w:r>
              <w:rPr>
                <w:rFonts w:eastAsia="Times New Roman"/>
                <w:sz w:val="20"/>
                <w:szCs w:val="20"/>
              </w:rPr>
              <w:t>8</w:t>
            </w:r>
            <w:r>
              <w:rPr>
                <w:rFonts w:eastAsia="Times New Roman"/>
                <w:sz w:val="20"/>
                <w:szCs w:val="20"/>
              </w:rPr>
              <w:t>)</w:t>
            </w:r>
          </w:p>
        </w:tc>
        <w:tc>
          <w:tcPr>
            <w:tcW w:w="720" w:type="dxa"/>
            <w:shd w:val="clear" w:color="auto" w:fill="CCEEFF"/>
            <w:vAlign w:val="center"/>
            <w:hideMark/>
          </w:tcPr>
          <w:p w:rsidR="00000000" w:rsidRDefault="00B30BA7">
            <w:pPr>
              <w:jc w:val="center"/>
              <w:rPr>
                <w:rFonts w:eastAsia="Times New Roman"/>
                <w:sz w:val="20"/>
                <w:szCs w:val="20"/>
              </w:rPr>
            </w:pPr>
            <w:r>
              <w:rPr>
                <w:rFonts w:eastAsia="Times New Roman"/>
                <w:sz w:val="20"/>
                <w:szCs w:val="20"/>
              </w:rPr>
              <w:t>F-2</w:t>
            </w:r>
          </w:p>
        </w:tc>
      </w:tr>
      <w:tr w:rsidR="00000000">
        <w:tc>
          <w:tcPr>
            <w:tcW w:w="0" w:type="auto"/>
            <w:shd w:val="clear" w:color="auto" w:fill="FFFFFF"/>
            <w:vAlign w:val="center"/>
            <w:hideMark/>
          </w:tcPr>
          <w:p w:rsidR="00000000" w:rsidRDefault="00B30BA7">
            <w:pPr>
              <w:rPr>
                <w:rFonts w:eastAsia="Times New Roman"/>
                <w:sz w:val="20"/>
                <w:szCs w:val="20"/>
              </w:rPr>
            </w:pPr>
            <w:hyperlink w:anchor="Gk_002" w:history="1">
              <w:r>
                <w:rPr>
                  <w:rStyle w:val="a4"/>
                  <w:rFonts w:eastAsia="Times New Roman"/>
                  <w:sz w:val="20"/>
                  <w:szCs w:val="20"/>
                </w:rPr>
                <w:t>Report of Independent Registered Public Accounting Firm</w:t>
              </w:r>
            </w:hyperlink>
          </w:p>
        </w:tc>
        <w:tc>
          <w:tcPr>
            <w:tcW w:w="0" w:type="auto"/>
            <w:shd w:val="clear" w:color="auto" w:fill="FFFFFF"/>
            <w:vAlign w:val="center"/>
            <w:hideMark/>
          </w:tcPr>
          <w:p w:rsidR="00000000" w:rsidRDefault="00B30BA7">
            <w:pPr>
              <w:jc w:val="center"/>
              <w:rPr>
                <w:rFonts w:eastAsia="Times New Roman"/>
                <w:sz w:val="20"/>
                <w:szCs w:val="20"/>
              </w:rPr>
            </w:pPr>
            <w:r>
              <w:rPr>
                <w:rFonts w:eastAsia="Times New Roman"/>
                <w:sz w:val="20"/>
                <w:szCs w:val="20"/>
              </w:rPr>
              <w:t>F-4</w:t>
            </w:r>
          </w:p>
        </w:tc>
      </w:tr>
      <w:tr w:rsidR="00000000">
        <w:tc>
          <w:tcPr>
            <w:tcW w:w="0" w:type="auto"/>
            <w:shd w:val="clear" w:color="auto" w:fill="CCEEFF"/>
            <w:vAlign w:val="center"/>
            <w:hideMark/>
          </w:tcPr>
          <w:p w:rsidR="00000000" w:rsidRDefault="00B30BA7">
            <w:pPr>
              <w:rPr>
                <w:rFonts w:eastAsia="Times New Roman"/>
                <w:sz w:val="20"/>
                <w:szCs w:val="20"/>
              </w:rPr>
            </w:pPr>
            <w:hyperlink w:anchor="pj_003" w:history="1">
              <w:r>
                <w:rPr>
                  <w:rStyle w:val="a4"/>
                  <w:rFonts w:eastAsia="Times New Roman"/>
                  <w:sz w:val="20"/>
                  <w:szCs w:val="20"/>
                </w:rPr>
                <w:t xml:space="preserve">Consolidated Balance Sheets as of </w:t>
              </w:r>
              <w:r>
                <w:rPr>
                  <w:rStyle w:val="a4"/>
                  <w:rFonts w:eastAsia="Times New Roman"/>
                  <w:sz w:val="20"/>
                  <w:szCs w:val="20"/>
                </w:rPr>
                <w:t>December 31, 2021 and 2020</w:t>
              </w:r>
            </w:hyperlink>
          </w:p>
        </w:tc>
        <w:tc>
          <w:tcPr>
            <w:tcW w:w="0" w:type="auto"/>
            <w:shd w:val="clear" w:color="auto" w:fill="CCEEFF"/>
            <w:vAlign w:val="center"/>
            <w:hideMark/>
          </w:tcPr>
          <w:p w:rsidR="00000000" w:rsidRDefault="00B30BA7">
            <w:pPr>
              <w:jc w:val="center"/>
              <w:rPr>
                <w:rFonts w:eastAsia="Times New Roman"/>
                <w:sz w:val="20"/>
                <w:szCs w:val="20"/>
              </w:rPr>
            </w:pPr>
            <w:r>
              <w:rPr>
                <w:rFonts w:eastAsia="Times New Roman"/>
                <w:sz w:val="20"/>
                <w:szCs w:val="20"/>
              </w:rPr>
              <w:t>F-6</w:t>
            </w:r>
          </w:p>
        </w:tc>
      </w:tr>
      <w:tr w:rsidR="00000000">
        <w:tc>
          <w:tcPr>
            <w:tcW w:w="0" w:type="auto"/>
            <w:shd w:val="clear" w:color="auto" w:fill="FFFFFF"/>
            <w:vAlign w:val="center"/>
            <w:hideMark/>
          </w:tcPr>
          <w:p w:rsidR="00000000" w:rsidRDefault="00B30BA7">
            <w:pPr>
              <w:rPr>
                <w:rFonts w:eastAsia="Times New Roman"/>
                <w:sz w:val="20"/>
                <w:szCs w:val="20"/>
              </w:rPr>
            </w:pPr>
            <w:hyperlink w:anchor="pj_004" w:history="1">
              <w:r>
                <w:rPr>
                  <w:rStyle w:val="a4"/>
                  <w:rFonts w:eastAsia="Times New Roman"/>
                  <w:sz w:val="20"/>
                  <w:szCs w:val="20"/>
                </w:rPr>
                <w:t>Consolidated Statements of Operations for the years ended December 31, 2021 and 2020</w:t>
              </w:r>
            </w:hyperlink>
          </w:p>
        </w:tc>
        <w:tc>
          <w:tcPr>
            <w:tcW w:w="0" w:type="auto"/>
            <w:shd w:val="clear" w:color="auto" w:fill="FFFFFF"/>
            <w:vAlign w:val="center"/>
            <w:hideMark/>
          </w:tcPr>
          <w:p w:rsidR="00000000" w:rsidRDefault="00B30BA7">
            <w:pPr>
              <w:jc w:val="center"/>
              <w:rPr>
                <w:rFonts w:eastAsia="Times New Roman"/>
                <w:sz w:val="20"/>
                <w:szCs w:val="20"/>
              </w:rPr>
            </w:pPr>
            <w:r>
              <w:rPr>
                <w:rFonts w:eastAsia="Times New Roman"/>
                <w:sz w:val="20"/>
                <w:szCs w:val="20"/>
              </w:rPr>
              <w:t>F-7</w:t>
            </w:r>
          </w:p>
        </w:tc>
      </w:tr>
      <w:tr w:rsidR="00000000">
        <w:tc>
          <w:tcPr>
            <w:tcW w:w="0" w:type="auto"/>
            <w:shd w:val="clear" w:color="auto" w:fill="CCEEFF"/>
            <w:vAlign w:val="center"/>
            <w:hideMark/>
          </w:tcPr>
          <w:p w:rsidR="00000000" w:rsidRDefault="00B30BA7">
            <w:pPr>
              <w:rPr>
                <w:rFonts w:eastAsia="Times New Roman"/>
                <w:sz w:val="20"/>
                <w:szCs w:val="20"/>
              </w:rPr>
            </w:pPr>
            <w:hyperlink w:anchor="pj_005" w:history="1">
              <w:r>
                <w:rPr>
                  <w:rStyle w:val="a4"/>
                  <w:rFonts w:eastAsia="Times New Roman"/>
                  <w:sz w:val="20"/>
                  <w:szCs w:val="20"/>
                </w:rPr>
                <w:t xml:space="preserve">Consolidated </w:t>
              </w:r>
              <w:r>
                <w:rPr>
                  <w:rStyle w:val="a4"/>
                  <w:rFonts w:eastAsia="Times New Roman"/>
                  <w:sz w:val="20"/>
                  <w:szCs w:val="20"/>
                </w:rPr>
                <w:t>Statements of Comprehensive Income (Loss) for the years ended December 31, 2021 and 2020</w:t>
              </w:r>
            </w:hyperlink>
          </w:p>
        </w:tc>
        <w:tc>
          <w:tcPr>
            <w:tcW w:w="0" w:type="auto"/>
            <w:shd w:val="clear" w:color="auto" w:fill="CCEEFF"/>
            <w:vAlign w:val="center"/>
            <w:hideMark/>
          </w:tcPr>
          <w:p w:rsidR="00000000" w:rsidRDefault="00B30BA7">
            <w:pPr>
              <w:jc w:val="center"/>
              <w:rPr>
                <w:rFonts w:eastAsia="Times New Roman"/>
                <w:sz w:val="20"/>
                <w:szCs w:val="20"/>
              </w:rPr>
            </w:pPr>
            <w:r>
              <w:rPr>
                <w:rFonts w:eastAsia="Times New Roman"/>
                <w:sz w:val="20"/>
                <w:szCs w:val="20"/>
              </w:rPr>
              <w:t>F-8</w:t>
            </w:r>
          </w:p>
        </w:tc>
      </w:tr>
      <w:tr w:rsidR="00000000">
        <w:tc>
          <w:tcPr>
            <w:tcW w:w="0" w:type="auto"/>
            <w:shd w:val="clear" w:color="auto" w:fill="FFFFFF"/>
            <w:vAlign w:val="center"/>
            <w:hideMark/>
          </w:tcPr>
          <w:p w:rsidR="00000000" w:rsidRDefault="00B30BA7">
            <w:pPr>
              <w:rPr>
                <w:rFonts w:eastAsia="Times New Roman"/>
                <w:sz w:val="20"/>
                <w:szCs w:val="20"/>
              </w:rPr>
            </w:pPr>
            <w:hyperlink w:anchor="pj_006" w:history="1">
              <w:r>
                <w:rPr>
                  <w:rStyle w:val="a4"/>
                  <w:rFonts w:eastAsia="Times New Roman"/>
                  <w:sz w:val="20"/>
                  <w:szCs w:val="20"/>
                </w:rPr>
                <w:t>Consolidated Statements of Shareholders’ Equity for the years ended December 31, 2021 and 2020</w:t>
              </w:r>
            </w:hyperlink>
          </w:p>
        </w:tc>
        <w:tc>
          <w:tcPr>
            <w:tcW w:w="0" w:type="auto"/>
            <w:shd w:val="clear" w:color="auto" w:fill="FFFFFF"/>
            <w:vAlign w:val="center"/>
            <w:hideMark/>
          </w:tcPr>
          <w:p w:rsidR="00000000" w:rsidRDefault="00B30BA7">
            <w:pPr>
              <w:jc w:val="center"/>
              <w:rPr>
                <w:rFonts w:eastAsia="Times New Roman"/>
                <w:sz w:val="20"/>
                <w:szCs w:val="20"/>
              </w:rPr>
            </w:pPr>
            <w:r>
              <w:rPr>
                <w:rFonts w:eastAsia="Times New Roman"/>
                <w:sz w:val="20"/>
                <w:szCs w:val="20"/>
              </w:rPr>
              <w:t>F-9</w:t>
            </w:r>
          </w:p>
        </w:tc>
      </w:tr>
      <w:tr w:rsidR="00000000">
        <w:tc>
          <w:tcPr>
            <w:tcW w:w="0" w:type="auto"/>
            <w:shd w:val="clear" w:color="auto" w:fill="CCEEFF"/>
            <w:vAlign w:val="center"/>
            <w:hideMark/>
          </w:tcPr>
          <w:p w:rsidR="00000000" w:rsidRDefault="00B30BA7">
            <w:pPr>
              <w:rPr>
                <w:rFonts w:eastAsia="Times New Roman"/>
                <w:sz w:val="20"/>
                <w:szCs w:val="20"/>
              </w:rPr>
            </w:pPr>
            <w:hyperlink w:anchor="pj_007" w:history="1">
              <w:r>
                <w:rPr>
                  <w:rStyle w:val="a4"/>
                  <w:rFonts w:eastAsia="Times New Roman"/>
                  <w:sz w:val="20"/>
                  <w:szCs w:val="20"/>
                </w:rPr>
                <w:t>Cons</w:t>
              </w:r>
              <w:r>
                <w:rPr>
                  <w:rStyle w:val="a4"/>
                  <w:rFonts w:eastAsia="Times New Roman"/>
                  <w:sz w:val="20"/>
                  <w:szCs w:val="20"/>
                </w:rPr>
                <w:t>olidated Statements of Cash Flows for the years ended December 31, 2021 and 2020</w:t>
              </w:r>
            </w:hyperlink>
          </w:p>
        </w:tc>
        <w:tc>
          <w:tcPr>
            <w:tcW w:w="0" w:type="auto"/>
            <w:shd w:val="clear" w:color="auto" w:fill="CCEEFF"/>
            <w:vAlign w:val="center"/>
            <w:hideMark/>
          </w:tcPr>
          <w:p w:rsidR="00000000" w:rsidRDefault="00B30BA7">
            <w:pPr>
              <w:jc w:val="center"/>
              <w:rPr>
                <w:rFonts w:eastAsia="Times New Roman"/>
                <w:sz w:val="20"/>
                <w:szCs w:val="20"/>
              </w:rPr>
            </w:pPr>
            <w:r>
              <w:rPr>
                <w:rFonts w:eastAsia="Times New Roman"/>
                <w:sz w:val="20"/>
                <w:szCs w:val="20"/>
              </w:rPr>
              <w:t>F-10</w:t>
            </w:r>
          </w:p>
        </w:tc>
      </w:tr>
      <w:tr w:rsidR="00000000">
        <w:tc>
          <w:tcPr>
            <w:tcW w:w="0" w:type="auto"/>
            <w:shd w:val="clear" w:color="auto" w:fill="FFFFFF"/>
            <w:vAlign w:val="center"/>
            <w:hideMark/>
          </w:tcPr>
          <w:p w:rsidR="00000000" w:rsidRDefault="00B30BA7">
            <w:pPr>
              <w:rPr>
                <w:rFonts w:eastAsia="Times New Roman"/>
                <w:sz w:val="20"/>
                <w:szCs w:val="20"/>
              </w:rPr>
            </w:pPr>
            <w:hyperlink w:anchor="pj_008" w:history="1">
              <w:r>
                <w:rPr>
                  <w:rStyle w:val="a4"/>
                  <w:rFonts w:eastAsia="Times New Roman"/>
                  <w:sz w:val="20"/>
                  <w:szCs w:val="20"/>
                </w:rPr>
                <w:t>Notes to Consolidated Financial Statements</w:t>
              </w:r>
            </w:hyperlink>
          </w:p>
        </w:tc>
        <w:tc>
          <w:tcPr>
            <w:tcW w:w="0" w:type="auto"/>
            <w:shd w:val="clear" w:color="auto" w:fill="FFFFFF"/>
            <w:vAlign w:val="center"/>
            <w:hideMark/>
          </w:tcPr>
          <w:p w:rsidR="00000000" w:rsidRDefault="00B30BA7">
            <w:pPr>
              <w:jc w:val="center"/>
              <w:rPr>
                <w:rFonts w:eastAsia="Times New Roman"/>
                <w:sz w:val="20"/>
                <w:szCs w:val="20"/>
              </w:rPr>
            </w:pPr>
            <w:r>
              <w:rPr>
                <w:rFonts w:eastAsia="Times New Roman"/>
                <w:sz w:val="20"/>
                <w:szCs w:val="20"/>
              </w:rPr>
              <w:t>F-11</w:t>
            </w:r>
          </w:p>
        </w:tc>
      </w:tr>
    </w:tbl>
    <w:p w:rsidR="00000000" w:rsidRDefault="00B30BA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77371799"/>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center"/>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 xml:space="preserve">REPORT </w:t>
      </w:r>
      <w:r>
        <w:rPr>
          <w:b/>
          <w:bCs/>
          <w:sz w:val="20"/>
          <w:szCs w:val="20"/>
        </w:rPr>
        <w:t>OF INDEPENDENT REGISTERED PUBLIC ACCOUNTING FIRM</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Board of Directors and Shareholders</w:t>
      </w:r>
    </w:p>
    <w:p w:rsidR="00000000" w:rsidRDefault="00B30BA7">
      <w:pPr>
        <w:pStyle w:val="a3"/>
        <w:spacing w:before="0" w:beforeAutospacing="0" w:after="0" w:afterAutospacing="0"/>
        <w:jc w:val="both"/>
        <w:rPr>
          <w:sz w:val="20"/>
          <w:szCs w:val="20"/>
        </w:rPr>
      </w:pPr>
      <w:r>
        <w:rPr>
          <w:sz w:val="20"/>
          <w:szCs w:val="20"/>
        </w:rPr>
        <w:t>CareCloud, Inc.</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Opinion on the financial statements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have audited the accompanying consolidated balance sheets of CareCloud, Inc. (a Delaware corporation) and subs</w:t>
      </w:r>
      <w:r>
        <w:rPr>
          <w:sz w:val="20"/>
          <w:szCs w:val="20"/>
        </w:rPr>
        <w:t>idiaries (the “Company”) as of December 31, 2021 and 2020, the related consolidated statements of operations, comprehensive loss, changes in shareholders’ equity, and cash flows for each of the two years in the period ended December 31, 2021, and the relat</w:t>
      </w:r>
      <w:r>
        <w:rPr>
          <w:sz w:val="20"/>
          <w:szCs w:val="20"/>
        </w:rPr>
        <w:t xml:space="preserve">ed notes (collectively referred to as the “financial statements”). In our opinion, the financial statements present fairly, in all material respects, the financial position of the Company as of December 31, 2021 and 2020, and the results of its operations </w:t>
      </w:r>
      <w:r>
        <w:rPr>
          <w:sz w:val="20"/>
          <w:szCs w:val="20"/>
        </w:rPr>
        <w:t>and its cash flows for each of the two years in the period ended December 31, 2021, in conformity with accounting principles generally accepted in the United States of America.</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We also have audited, in accordance with the standards of the Public Company </w:t>
      </w:r>
      <w:r>
        <w:rPr>
          <w:sz w:val="20"/>
          <w:szCs w:val="20"/>
        </w:rPr>
        <w:t xml:space="preserve">Accounting Oversight Board (United States) (“PCAOB”), the Company’s internal control over financial reporting as of December 31, 2021, based on criteria established in the 2013 </w:t>
      </w:r>
      <w:r>
        <w:rPr>
          <w:i/>
          <w:iCs/>
          <w:sz w:val="20"/>
          <w:szCs w:val="20"/>
        </w:rPr>
        <w:t>Internal Control—Integrated Framework</w:t>
      </w:r>
      <w:r>
        <w:rPr>
          <w:sz w:val="20"/>
          <w:szCs w:val="20"/>
        </w:rPr>
        <w:t xml:space="preserve"> issued by the Committee of Sponsoring Org</w:t>
      </w:r>
      <w:r>
        <w:rPr>
          <w:sz w:val="20"/>
          <w:szCs w:val="20"/>
        </w:rPr>
        <w:t>anizations of the Treadway Commission (“COSO”), and our report dated March 14, 2022 expressed an adverse opinion.</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Basis for opinion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These financial statements are the responsibility of the Company’s management. Our responsibility is to express an opini</w:t>
      </w:r>
      <w:r>
        <w:rPr>
          <w:sz w:val="20"/>
          <w:szCs w:val="20"/>
        </w:rPr>
        <w:t>on on the Company’s financial statements based on our audits. We are a public accounting firm registered with the PCAOB and are required to be independent with respect to the Company in accordance with the U.S. federal securities laws and the applicable ru</w:t>
      </w:r>
      <w:r>
        <w:rPr>
          <w:sz w:val="20"/>
          <w:szCs w:val="20"/>
        </w:rPr>
        <w:t>les and regulations of the Securities and Exchange Commission and the PCAOB.</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conducted our audits in accordance with the standards of the PCAOB. Those standards require that we plan and perform the audit to obtain reasonable assurance about whether th</w:t>
      </w:r>
      <w:r>
        <w:rPr>
          <w:sz w:val="20"/>
          <w:szCs w:val="20"/>
        </w:rPr>
        <w:t>e financial statements are free of material misstatement, whether due to error or fraud. Our audits included performing procedures to assess the risks of material misstatement of the financial statements, whether due to error or fraud, and performing proce</w:t>
      </w:r>
      <w:r>
        <w:rPr>
          <w:sz w:val="20"/>
          <w:szCs w:val="20"/>
        </w:rPr>
        <w:t>dures that respond to those risks. Such procedures included examining, on a test basis, evidence regarding the amounts and disclosures in the financial statements. Our audits also included evaluating the accounting principles used and significant estimates</w:t>
      </w:r>
      <w:r>
        <w:rPr>
          <w:sz w:val="20"/>
          <w:szCs w:val="20"/>
        </w:rPr>
        <w:t xml:space="preserve"> made by management, as well as evaluating the overall presentation of the financial statements. We believe that our audits provide a reasonable basis for our opinion.</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Critical audit matters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critical audit matters communicated below are matters ari</w:t>
      </w:r>
      <w:r>
        <w:rPr>
          <w:sz w:val="20"/>
          <w:szCs w:val="20"/>
        </w:rPr>
        <w:t>sing from the current period audit of the consolidated financial statements that were communicated or required to be communicated to the audit committee and that: (1) relate to accounts or disclosures that are material to the consolidated financial stateme</w:t>
      </w:r>
      <w:r>
        <w:rPr>
          <w:sz w:val="20"/>
          <w:szCs w:val="20"/>
        </w:rPr>
        <w:t>nts and (2) involved especially challenging, subjective, or complex judgments. The communication of critical audit matters does not alter in any way our opinion on the consolidated financial statements, taken as a whole, and we are not, by communicating th</w:t>
      </w:r>
      <w:r>
        <w:rPr>
          <w:sz w:val="20"/>
          <w:szCs w:val="20"/>
        </w:rPr>
        <w:t>e critical audit matters below, providing a separate opinion on the critical audit matters or on the accounts or disclosures to which it relates.</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Valuation of certain intangible assets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As described further in Note 3 to the consolidated financial statem</w:t>
      </w:r>
      <w:r>
        <w:rPr>
          <w:sz w:val="20"/>
          <w:szCs w:val="20"/>
        </w:rPr>
        <w:t>ents, the Company completed the acquisition of Medmatica Consulting Associates, Inc. (“medSR”), during the year ended December 31, 2021. This transaction was accounted for as a business combination in accordance with ASC 805, Business Combinations, which r</w:t>
      </w:r>
      <w:r>
        <w:rPr>
          <w:sz w:val="20"/>
          <w:szCs w:val="20"/>
        </w:rPr>
        <w:t>esulted in the identification and recognition of customer relationships (“the identifiable intangible assets”). The Company used a discounted cash flow model to measure the customer relationship intangible assets. We identified the valuation of the identif</w:t>
      </w:r>
      <w:r>
        <w:rPr>
          <w:sz w:val="20"/>
          <w:szCs w:val="20"/>
        </w:rPr>
        <w:t>iable intangible assets associated with this acquisition as a critical audit matter.</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principal considerations for our determination that the valuation of the identifiable intangible assets as a critical audit matter is the complexity and high degree of subjectivity associated with auditing the Company’s fair value of the identifiable intan</w:t>
      </w:r>
      <w:r>
        <w:rPr>
          <w:sz w:val="20"/>
          <w:szCs w:val="20"/>
        </w:rPr>
        <w:t>gible assets. The significant assumptions used to estimate the fair value of the identifiable intangible assets include certain assumptions that form the basis of the future net cash flows such as assumed growth rates, discount rate, economic lives, and cu</w:t>
      </w:r>
      <w:r>
        <w:rPr>
          <w:sz w:val="20"/>
          <w:szCs w:val="20"/>
        </w:rPr>
        <w:t>stomer attrition. These significant assumptions are forward looking and consider anticipated market conditions, which in turn, requires subjective auditor judgement.</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59384063"/>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Our audit procedures related to the valuation of intangible assets included t</w:t>
      </w:r>
      <w:r>
        <w:rPr>
          <w:sz w:val="20"/>
          <w:szCs w:val="20"/>
        </w:rPr>
        <w:t>he following, among others: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B30BA7">
            <w:pPr>
              <w:rPr>
                <w:rFonts w:eastAsia="Times New Roman"/>
                <w:sz w:val="20"/>
                <w:szCs w:val="20"/>
              </w:rPr>
            </w:pPr>
            <w:r>
              <w:rPr>
                <w:rFonts w:eastAsia="Times New Roman"/>
                <w:sz w:val="20"/>
                <w:szCs w:val="20"/>
              </w:rPr>
              <w:t> </w:t>
            </w: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evaluated the design and tested the operating effectiveness of the Company’s controls over the valuation of the identifiable intangible assets. This included testing controls over the estimation process supporting the r</w:t>
            </w:r>
            <w:r>
              <w:rPr>
                <w:rFonts w:eastAsia="Times New Roman"/>
                <w:sz w:val="20"/>
                <w:szCs w:val="20"/>
              </w:rPr>
              <w:t>ecognition and measurement of identified intangible assets and contingent consideration, including management’s evaluation of underlying assumptions and estimates used to determine the fair value.</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We </w:t>
            </w:r>
            <w:r>
              <w:rPr>
                <w:rFonts w:eastAsia="Times New Roman"/>
                <w:sz w:val="20"/>
                <w:szCs w:val="20"/>
              </w:rPr>
              <w:t>involved valuation professionals with specialized skills and knowledge who assisted in evaluating the appropriateness of the selected valuation methodology for the identifiable intangible assets and evaluating the reasonableness of certain significant assu</w:t>
            </w:r>
            <w:r>
              <w:rPr>
                <w:rFonts w:eastAsia="Times New Roman"/>
                <w:sz w:val="20"/>
                <w:szCs w:val="20"/>
              </w:rPr>
              <w:t>mptions used, including assumed growth rates, discount rate, and customer attrition.</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evaluated whether significant assumptions used, including assumed growth rates, discount rate, economic lives, and customer attrition, were reasonable by co</w:t>
            </w:r>
            <w:r>
              <w:rPr>
                <w:rFonts w:eastAsia="Times New Roman"/>
                <w:sz w:val="20"/>
                <w:szCs w:val="20"/>
              </w:rPr>
              <w:t>nsidering past performance of similar assets, market data, current market forecasts, and whether such assumptions were consistent with evidence obtained in other areas of the audit.</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Valuation of contingent consideration</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As described further in Note 3 </w:t>
      </w:r>
      <w:r>
        <w:rPr>
          <w:sz w:val="20"/>
          <w:szCs w:val="20"/>
        </w:rPr>
        <w:t>to the consolidated financial statements, the purchase price of medSR also included contingent consideration that is fair valued as of the acquisition date based on certain profitability and revenue targets being achieved. The Company performed the initial</w:t>
      </w:r>
      <w:r>
        <w:rPr>
          <w:sz w:val="20"/>
          <w:szCs w:val="20"/>
        </w:rPr>
        <w:t xml:space="preserve"> valuation of the contingent consideration upon the acquisition date as well as performed a re-measurement of the contingent consideration as of the December 31, 2021. The Company used a Monte Carlo simulation model to estimate the fair value of the contin</w:t>
      </w:r>
      <w:r>
        <w:rPr>
          <w:sz w:val="20"/>
          <w:szCs w:val="20"/>
        </w:rPr>
        <w:t>gent consideration earnout. We identified the valuation of the contingent consideration as a critical audit matter.</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principal considerations for our determination that the valuation of the initial measurement and subsequent re-measurement of continge</w:t>
      </w:r>
      <w:r>
        <w:rPr>
          <w:sz w:val="20"/>
          <w:szCs w:val="20"/>
        </w:rPr>
        <w:t>nt consideration as a critical audit matter is the complexity and high degree of subjectivity associated with auditing the Company’s fair value of the contingent consideration due to the complexity of the Monte Carlo simulation model and related assumption</w:t>
      </w:r>
      <w:r>
        <w:rPr>
          <w:sz w:val="20"/>
          <w:szCs w:val="20"/>
        </w:rPr>
        <w:t>s used. The significant assumptions and estimates include the probability the Company will achieve a specified range of revenue, profitability levels, and volatility. These significant assumptions are forward looking and consider anticipated market conditi</w:t>
      </w:r>
      <w:r>
        <w:rPr>
          <w:sz w:val="20"/>
          <w:szCs w:val="20"/>
        </w:rPr>
        <w:t>ons, which in turn, requires subjective auditor judgement.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audit procedures related to the valuation of contingent consideration included the following, among others: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B30BA7">
            <w:pPr>
              <w:rPr>
                <w:rFonts w:eastAsia="Times New Roman"/>
                <w:sz w:val="20"/>
                <w:szCs w:val="20"/>
              </w:rPr>
            </w:pPr>
            <w:r>
              <w:rPr>
                <w:rFonts w:eastAsia="Times New Roman"/>
                <w:sz w:val="20"/>
                <w:szCs w:val="20"/>
              </w:rPr>
              <w:t> </w:t>
            </w:r>
          </w:p>
        </w:tc>
        <w:tc>
          <w:tcPr>
            <w:tcW w:w="360" w:type="dxa"/>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 xml:space="preserve">We </w:t>
            </w:r>
            <w:r>
              <w:rPr>
                <w:rFonts w:eastAsia="Times New Roman"/>
                <w:sz w:val="20"/>
                <w:szCs w:val="20"/>
              </w:rPr>
              <w:t>involved valuation professionals with specialized skills and knowledge, who assisted in evaluating the appropriateness of the selected valuation methodology and evaluating the reasonableness of certain significant assumptions used to estimate the fair valu</w:t>
            </w:r>
            <w:r>
              <w:rPr>
                <w:rFonts w:eastAsia="Times New Roman"/>
                <w:sz w:val="20"/>
                <w:szCs w:val="20"/>
              </w:rPr>
              <w:t>e of the contingent consideration, which include the probability the Company will achieve a specified range of revenue and profitability levels and volatility.</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rPr>
                <w:rFonts w:eastAsia="Times New Roman"/>
                <w:sz w:val="20"/>
                <w:szCs w:val="20"/>
              </w:rPr>
            </w:pPr>
            <w:r>
              <w:rPr>
                <w:rFonts w:eastAsia="Times New Roman"/>
                <w:sz w:val="20"/>
                <w:szCs w:val="20"/>
              </w:rPr>
              <w:t>●</w:t>
            </w:r>
          </w:p>
        </w:tc>
        <w:tc>
          <w:tcPr>
            <w:tcW w:w="0" w:type="auto"/>
            <w:hideMark/>
          </w:tcPr>
          <w:p w:rsidR="00000000" w:rsidRDefault="00B30BA7">
            <w:pPr>
              <w:jc w:val="both"/>
              <w:rPr>
                <w:rFonts w:eastAsia="Times New Roman"/>
                <w:sz w:val="20"/>
                <w:szCs w:val="20"/>
              </w:rPr>
            </w:pPr>
            <w:r>
              <w:rPr>
                <w:rFonts w:eastAsia="Times New Roman"/>
                <w:sz w:val="20"/>
                <w:szCs w:val="20"/>
              </w:rPr>
              <w:t>We evaluated whether assumptions used, including the probability the Company will ac</w:t>
            </w:r>
            <w:r>
              <w:rPr>
                <w:rFonts w:eastAsia="Times New Roman"/>
                <w:sz w:val="20"/>
                <w:szCs w:val="20"/>
              </w:rPr>
              <w:t>hieve a specified range of revenue and profitability levels, by considering past performance of similar assets, market data, current market forecasts, and whether such assumptions were consistent with evidence obtained in other areas of the audit.</w:t>
            </w:r>
          </w:p>
        </w:tc>
      </w:tr>
    </w:tbl>
    <w:p w:rsidR="00000000" w:rsidRDefault="00B30BA7">
      <w:pPr>
        <w:pStyle w:val="a3"/>
        <w:spacing w:before="0" w:beforeAutospacing="0" w:after="0" w:afterAutospacing="0"/>
        <w:ind w:left="720" w:hanging="360"/>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/s/ G</w:t>
      </w:r>
      <w:r>
        <w:rPr>
          <w:i/>
          <w:iCs/>
          <w:sz w:val="20"/>
          <w:szCs w:val="20"/>
        </w:rPr>
        <w:t>RANT THORNTON LLP</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have served as the Company’s auditor since 2015.</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Iselin, New Jerse</w:t>
      </w:r>
      <w:r>
        <w:rPr>
          <w:sz w:val="20"/>
          <w:szCs w:val="20"/>
        </w:rPr>
        <w:t>y</w:t>
      </w:r>
    </w:p>
    <w:p w:rsidR="00000000" w:rsidRDefault="00B30BA7">
      <w:pPr>
        <w:pStyle w:val="a3"/>
        <w:spacing w:before="0" w:beforeAutospacing="0" w:after="0" w:afterAutospacing="0"/>
        <w:jc w:val="both"/>
        <w:rPr>
          <w:sz w:val="20"/>
          <w:szCs w:val="20"/>
        </w:rPr>
      </w:pPr>
      <w:r>
        <w:rPr>
          <w:sz w:val="20"/>
          <w:szCs w:val="20"/>
        </w:rPr>
        <w:t>March 14, 2022</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0633457"/>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center"/>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REPORT OF INDEPENDENT REGISTERED PUBLIC ACCOUNTING FIRM</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Board of Directors and Shareholders</w:t>
      </w:r>
    </w:p>
    <w:p w:rsidR="00000000" w:rsidRDefault="00B30BA7">
      <w:pPr>
        <w:pStyle w:val="a3"/>
        <w:spacing w:before="0" w:beforeAutospacing="0" w:after="0" w:afterAutospacing="0"/>
        <w:rPr>
          <w:sz w:val="20"/>
          <w:szCs w:val="20"/>
        </w:rPr>
      </w:pPr>
      <w:r>
        <w:rPr>
          <w:sz w:val="20"/>
          <w:szCs w:val="20"/>
        </w:rPr>
        <w:t>CareCloud, Inc.</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rPr>
          <w:sz w:val="20"/>
          <w:szCs w:val="20"/>
        </w:rPr>
      </w:pPr>
      <w:r>
        <w:rPr>
          <w:b/>
          <w:bCs/>
          <w:sz w:val="20"/>
          <w:szCs w:val="20"/>
        </w:rPr>
        <w:t xml:space="preserve">Opinion </w:t>
      </w:r>
      <w:r>
        <w:rPr>
          <w:b/>
          <w:bCs/>
          <w:sz w:val="20"/>
          <w:szCs w:val="20"/>
        </w:rPr>
        <w:t>on internal control over financial reporting</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We have audited the internal control over financial reporting of CareCloud, Inc. (a Delaware corporation) and subsidiaries (the “Company”) as of December 31, 2021, based on criteria established in the 2013 </w:t>
      </w:r>
      <w:r>
        <w:rPr>
          <w:i/>
          <w:iCs/>
          <w:sz w:val="20"/>
          <w:szCs w:val="20"/>
        </w:rPr>
        <w:t>Int</w:t>
      </w:r>
      <w:r>
        <w:rPr>
          <w:i/>
          <w:iCs/>
          <w:sz w:val="20"/>
          <w:szCs w:val="20"/>
        </w:rPr>
        <w:t>ernal Control—Integrated Framework</w:t>
      </w:r>
      <w:r>
        <w:rPr>
          <w:sz w:val="20"/>
          <w:szCs w:val="20"/>
        </w:rPr>
        <w:t xml:space="preserve"> issued by the Committee of Sponsoring Organizations of the Treadway Commission (“COSO”). In our opinion, because of the effect of the material weakness described in the following paragraphs on the achievement of the objec</w:t>
      </w:r>
      <w:r>
        <w:rPr>
          <w:sz w:val="20"/>
          <w:szCs w:val="20"/>
        </w:rPr>
        <w:t xml:space="preserve">tives of the control criteria, the Company has not maintained effective internal control over financial reporting as of December 31, 2021, based on criteria established in the 2013 </w:t>
      </w:r>
      <w:r>
        <w:rPr>
          <w:i/>
          <w:iCs/>
          <w:sz w:val="20"/>
          <w:szCs w:val="20"/>
        </w:rPr>
        <w:t>Internal Control—Integrated Framework</w:t>
      </w:r>
      <w:r>
        <w:rPr>
          <w:sz w:val="20"/>
          <w:szCs w:val="20"/>
        </w:rPr>
        <w:t xml:space="preserve"> issued by COSO.</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 material weakness</w:t>
      </w:r>
      <w:r>
        <w:rPr>
          <w:sz w:val="20"/>
          <w:szCs w:val="20"/>
        </w:rPr>
        <w:t xml:space="preserve"> is a deficiency, or combination of control deficiencies, in internal control over financial reporting, such that there is a reasonable possibility that a material misstatement of the company’s annual or interim financial statements will not be prevented o</w:t>
      </w:r>
      <w:r>
        <w:rPr>
          <w:sz w:val="20"/>
          <w:szCs w:val="20"/>
        </w:rPr>
        <w:t>r detected on a timely basis. The following material weakness has been identified and included in management’s assessment.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material weakness was due to a lack of controls over the completeness and accuracy of key inputs related to the measurement of </w:t>
      </w:r>
      <w:r>
        <w:rPr>
          <w:sz w:val="20"/>
          <w:szCs w:val="20"/>
        </w:rPr>
        <w:t>a non-routine transaction.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We </w:t>
      </w:r>
      <w:r>
        <w:rPr>
          <w:sz w:val="20"/>
          <w:szCs w:val="20"/>
        </w:rPr>
        <w:t>also have audited, in accordance with the standards of the Public Company Accounting Oversight Board (United States) (“PCAOB”), the consolidated financial statements of the Company as of and for the year ended December 31, 2021. The material weakness ident</w:t>
      </w:r>
      <w:r>
        <w:rPr>
          <w:sz w:val="20"/>
          <w:szCs w:val="20"/>
        </w:rPr>
        <w:t>ified above was considered in determining the nature, timing, and extent of audit tests applied in our audit of the 2021 consolidated financial statements, and this report does not affect our report dated March 14, 2021which expressed an unqualified opinio</w:t>
      </w:r>
      <w:r>
        <w:rPr>
          <w:sz w:val="20"/>
          <w:szCs w:val="20"/>
        </w:rPr>
        <w:t>n on those financial statements.</w:t>
      </w:r>
    </w:p>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rPr>
          <w:sz w:val="20"/>
          <w:szCs w:val="20"/>
        </w:rPr>
      </w:pPr>
      <w:r>
        <w:rPr>
          <w:b/>
          <w:bCs/>
          <w:sz w:val="20"/>
          <w:szCs w:val="20"/>
        </w:rPr>
        <w:t>Basis for opinion</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Company’s management is responsible for maintaining effective internal control over financial reporting and for its assessment of the effectiveness of internal control over financial reporting, inc</w:t>
      </w:r>
      <w:r>
        <w:rPr>
          <w:sz w:val="20"/>
          <w:szCs w:val="20"/>
        </w:rPr>
        <w:t>luded in the accompanying Management’s Report on Internal Control Over Financial Reporting (“Management’s Report”). Our responsibility is to express an opinion on the Company’s internal control over financial reporting based on our audit. We are a public a</w:t>
      </w:r>
      <w:r>
        <w:rPr>
          <w:sz w:val="20"/>
          <w:szCs w:val="20"/>
        </w:rPr>
        <w:t>ccounting firm registered with the PCAOB and are required to be independent with respect to the Company in accordance with the U.S. federal securities laws and the applicable rules and regulations of the Securities and Exchange Commission and the PCAOB.</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material</w:t>
      </w:r>
      <w:r>
        <w:rPr>
          <w:sz w:val="20"/>
          <w:szCs w:val="20"/>
        </w:rPr>
        <w:t xml:space="preserve"> respects. Our audit included obtaining an understanding of internal control over financial reporting, assessing the risk that a material weakness exists, testing and evaluating the design and operating effectiveness of internal control based on the assess</w:t>
      </w:r>
      <w:r>
        <w:rPr>
          <w:sz w:val="20"/>
          <w:szCs w:val="20"/>
        </w:rPr>
        <w:t>ed risk, and performing such other procedures as we considered necessary in the circumstances. We believe that our audit provides a reasonable basis for our opinion.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audit of, and opinion on, the Company’s internal control over financial reporting do</w:t>
      </w:r>
      <w:r>
        <w:rPr>
          <w:sz w:val="20"/>
          <w:szCs w:val="20"/>
        </w:rPr>
        <w:t>es not include the internal control over financial reporting of medSR, Inc. (“medSR”), a wholly-owned subsidiary, whose financial statements reflect total assets and revenues constituting $21.1 million and $15.9 million, respectively, of the related consol</w:t>
      </w:r>
      <w:r>
        <w:rPr>
          <w:sz w:val="20"/>
          <w:szCs w:val="20"/>
        </w:rPr>
        <w:t>idated financial statement amounts as of and for the year ended December 31, 2021. As indicated in Management’s Report, medSR was acquired during 2021. Management’s assertion on the effectiveness of the Company’s internal control over financial reporting e</w:t>
      </w:r>
      <w:r>
        <w:rPr>
          <w:sz w:val="20"/>
          <w:szCs w:val="20"/>
        </w:rPr>
        <w:t>xcluded internal control over financial reporting of medSR.</w:t>
      </w:r>
    </w:p>
    <w:p w:rsidR="00000000" w:rsidRDefault="00B30BA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23582100"/>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Definition and limitations of internal control over financial reporting</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 company’s internal control over financial reporting is a process designed to provide reasonable assurance r</w:t>
      </w:r>
      <w:r>
        <w:rPr>
          <w:sz w:val="20"/>
          <w:szCs w:val="20"/>
        </w:rPr>
        <w:t>egarding the reliability of financial reporting and the preparation of financial statements for external purposes in accordance with generally accepted accounting principles. A company’s internal control over financial reporting includes those policies and</w:t>
      </w:r>
      <w:r>
        <w:rPr>
          <w:sz w:val="20"/>
          <w:szCs w:val="20"/>
        </w:rPr>
        <w:t xml:space="preserve"> procedures that (1) pertain to the maintenance of records that, in reasonable detail, accurately and fairly reflect the transactions and dispositions of the assets of the company; (2) provide reasonable assurance that transactions are recorded as necessar</w:t>
      </w:r>
      <w:r>
        <w:rPr>
          <w:sz w:val="20"/>
          <w:szCs w:val="20"/>
        </w:rPr>
        <w:t>y to permit preparation of financial statements in accordance with generally accepted accounting principles, and that receipts and expenditures of the company are being made only in accordance with authorizations of management and directors of the company;</w:t>
      </w:r>
      <w:r>
        <w:rPr>
          <w:sz w:val="20"/>
          <w:szCs w:val="20"/>
        </w:rPr>
        <w:t xml:space="preserve"> and (3) provide reasonable assurance regarding prevention or timely detection of unauthorized acquisition, use, or disposition of the company’s assets that could have a material effect on the financial statements.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Because </w:t>
      </w:r>
      <w:r>
        <w:rPr>
          <w:sz w:val="20"/>
          <w:szCs w:val="20"/>
        </w:rPr>
        <w:t>of its inherent limitations, internal control over financial reporting may not prevent or detect misstatements. Also, projections of any evaluation of effectiveness to future periods are subject to the risk that controls may become inadequate because of ch</w:t>
      </w:r>
      <w:r>
        <w:rPr>
          <w:sz w:val="20"/>
          <w:szCs w:val="20"/>
        </w:rPr>
        <w:t>anges in conditions, or that the degree of compliance with the policies or procedures may deteriorate.</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i/>
          <w:iCs/>
          <w:sz w:val="20"/>
          <w:szCs w:val="20"/>
        </w:rPr>
        <w:t>/s/ GRANT THORNTON LLP</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Iselin, New Jersey</w:t>
      </w:r>
    </w:p>
    <w:p w:rsidR="00000000" w:rsidRDefault="00B30BA7">
      <w:pPr>
        <w:pStyle w:val="a3"/>
        <w:spacing w:before="0" w:beforeAutospacing="0" w:after="0" w:afterAutospacing="0"/>
        <w:rPr>
          <w:sz w:val="20"/>
          <w:szCs w:val="20"/>
        </w:rPr>
      </w:pPr>
      <w:r>
        <w:rPr>
          <w:sz w:val="20"/>
          <w:szCs w:val="20"/>
        </w:rPr>
        <w:t>March 14, 2022</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08065975"/>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center"/>
        <w:rPr>
          <w:sz w:val="20"/>
          <w:szCs w:val="20"/>
        </w:rPr>
      </w:pPr>
      <w:r>
        <w:rPr>
          <w:b/>
          <w:bCs/>
          <w:sz w:val="20"/>
          <w:szCs w:val="20"/>
        </w:rPr>
        <w:t> </w:t>
      </w:r>
    </w:p>
    <w:p w:rsidR="00000000" w:rsidRDefault="00B30BA7">
      <w:pPr>
        <w:pStyle w:val="a3"/>
        <w:spacing w:before="0" w:beforeAutospacing="0" w:after="0" w:afterAutospacing="0"/>
        <w:jc w:val="center"/>
        <w:rPr>
          <w:sz w:val="20"/>
          <w:szCs w:val="20"/>
        </w:rPr>
      </w:pPr>
      <w:r>
        <w:rPr>
          <w:b/>
          <w:bCs/>
          <w:sz w:val="20"/>
          <w:szCs w:val="20"/>
        </w:rPr>
        <w:t>CARECLOUD, INC.</w:t>
      </w:r>
    </w:p>
    <w:p w:rsidR="00000000" w:rsidRDefault="00B30BA7">
      <w:pPr>
        <w:pStyle w:val="a3"/>
        <w:spacing w:before="0" w:beforeAutospacing="0" w:after="0" w:afterAutospacing="0"/>
        <w:jc w:val="center"/>
        <w:rPr>
          <w:sz w:val="20"/>
          <w:szCs w:val="20"/>
        </w:rPr>
      </w:pPr>
      <w:r>
        <w:rPr>
          <w:b/>
          <w:bCs/>
          <w:sz w:val="20"/>
          <w:szCs w:val="20"/>
        </w:rPr>
        <w:t>CONSOLIDATED BALANCE SHEETS</w:t>
      </w:r>
    </w:p>
    <w:p w:rsidR="00000000" w:rsidRDefault="00B30BA7">
      <w:pPr>
        <w:pStyle w:val="a3"/>
        <w:spacing w:before="0" w:beforeAutospacing="0" w:after="0" w:afterAutospacing="0"/>
        <w:jc w:val="center"/>
        <w:rPr>
          <w:sz w:val="20"/>
          <w:szCs w:val="20"/>
        </w:rPr>
      </w:pPr>
      <w:r>
        <w:rPr>
          <w:b/>
          <w:bCs/>
          <w:sz w:val="20"/>
          <w:szCs w:val="20"/>
        </w:rPr>
        <w:t>AS OF DECEMBER 31, 2021 AND 2020</w:t>
      </w:r>
    </w:p>
    <w:p w:rsidR="00000000" w:rsidRDefault="00B30BA7">
      <w:pPr>
        <w:pStyle w:val="a3"/>
        <w:pBdr>
          <w:bottom w:val="single" w:sz="12" w:space="0" w:color="000000"/>
        </w:pBdr>
        <w:spacing w:before="0" w:beforeAutospacing="0" w:after="0" w:afterAutospacing="0"/>
        <w:jc w:val="center"/>
        <w:rPr>
          <w:sz w:val="20"/>
          <w:szCs w:val="20"/>
        </w:rPr>
      </w:pPr>
      <w:r>
        <w:rPr>
          <w:sz w:val="20"/>
          <w:szCs w:val="20"/>
        </w:rPr>
        <w:t>($</w:t>
      </w:r>
      <w:r>
        <w:rPr>
          <w:sz w:val="20"/>
          <w:szCs w:val="20"/>
        </w:rPr>
        <w:t xml:space="preserve"> in thousands, except share and per share amounts)</w:t>
      </w:r>
    </w:p>
    <w:p w:rsidR="00000000" w:rsidRDefault="00B30BA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Balance Sheets"/>
      </w:tblPr>
      <w:tblGrid>
        <w:gridCol w:w="4979"/>
        <w:gridCol w:w="161"/>
        <w:gridCol w:w="100"/>
        <w:gridCol w:w="1324"/>
        <w:gridCol w:w="78"/>
        <w:gridCol w:w="161"/>
        <w:gridCol w:w="100"/>
        <w:gridCol w:w="1324"/>
        <w:gridCol w:w="79"/>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9,340</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20,925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Restricted cash</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pStyle w:val="a3"/>
              <w:spacing w:before="0" w:beforeAutospacing="0" w:after="0" w:afterAutospacing="0"/>
              <w:jc w:val="right"/>
              <w:rPr>
                <w:sz w:val="20"/>
                <w:szCs w:val="20"/>
              </w:rPr>
            </w:pPr>
            <w:r>
              <w:rPr>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Accounts receivable -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17,006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12,089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4,725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4,105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503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399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Current assets - related party</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Prepaid expenses and other current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2,972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7,288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Total </w:t>
            </w:r>
            <w:r>
              <w:rPr>
                <w:rFonts w:eastAsia="Times New Roman"/>
                <w:sz w:val="20"/>
                <w:szCs w:val="20"/>
              </w:rPr>
              <w:t>current assets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35,559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44,819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Property and equipment -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5,404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4,921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6,940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7,743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Intangible assets -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30,778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29,978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61,186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49,291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Other </w:t>
            </w:r>
            <w:r>
              <w:rPr>
                <w:rFonts w:eastAsia="Times New Roman"/>
                <w:sz w:val="20"/>
                <w:szCs w:val="20"/>
              </w:rPr>
              <w:t>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981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1,247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TOTAL ASSETS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140,848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137,999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LIABILITIES AND SHAREHOLDERS’ EQUITY</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5,948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6,461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Accrued compensation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4,251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2,590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5,091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8,501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Operating lease liability (current portion)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4,729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Deferred revenue (current portion)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1,085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1,173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Accrued liability to related party</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pStyle w:val="a3"/>
              <w:spacing w:before="0" w:beforeAutospacing="0" w:after="0" w:afterAutospacing="0"/>
              <w:jc w:val="right"/>
              <w:rPr>
                <w:sz w:val="20"/>
                <w:szCs w:val="20"/>
              </w:rPr>
            </w:pPr>
            <w:r>
              <w:rPr>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Deferred </w:t>
            </w:r>
            <w:r>
              <w:rPr>
                <w:rFonts w:eastAsia="Times New Roman"/>
                <w:sz w:val="20"/>
                <w:szCs w:val="20"/>
              </w:rPr>
              <w:t>payroll taxes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934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Notes payable (current portion)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344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401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Contingent consideration (current portion)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3,090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Dividend payable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3,856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4,241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Consideration payable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Total </w:t>
            </w:r>
            <w:r>
              <w:rPr>
                <w:rFonts w:eastAsia="Times New Roman"/>
                <w:sz w:val="20"/>
                <w:szCs w:val="20"/>
              </w:rPr>
              <w:t>current liabilities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29,562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29,024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Notes payable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Borrowings under line of credit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Deferred payroll taxes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4,545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6,297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341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Deferred tax liability</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449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160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42,917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36,754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COMMITMENTS AND CONTINGENCIES (NOTE 11)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Preferred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w:t>
            </w:r>
            <w:r>
              <w:rPr>
                <w:rFonts w:eastAsia="Times New Roman"/>
                <w:sz w:val="20"/>
                <w:szCs w:val="20"/>
              </w:rPr>
              <w:t>par value - authorized</w:t>
            </w:r>
            <w:r>
              <w:rPr>
                <w:rFonts w:eastAsia="Times New Roman"/>
                <w:sz w:val="20"/>
                <w:szCs w:val="20"/>
              </w:rPr>
              <w:t xml:space="preserve"> </w:t>
            </w:r>
            <w:r>
              <w:rPr>
                <w:rFonts w:eastAsia="Times New Roman"/>
                <w:sz w:val="20"/>
                <w:szCs w:val="20"/>
              </w:rPr>
              <w:t>7,000,00</w:t>
            </w:r>
            <w:r>
              <w:rPr>
                <w:rFonts w:eastAsia="Times New Roman"/>
                <w:sz w:val="20"/>
                <w:szCs w:val="20"/>
              </w:rPr>
              <w:t>0</w:t>
            </w:r>
            <w:r>
              <w:rPr>
                <w:rFonts w:eastAsia="Times New Roman"/>
                <w:sz w:val="20"/>
                <w:szCs w:val="20"/>
              </w:rPr>
              <w:t xml:space="preserve"> shares at December 31, 2021 and December 31, 2020; issued and outstanding</w:t>
            </w:r>
            <w:r>
              <w:rPr>
                <w:rFonts w:eastAsia="Times New Roman"/>
                <w:sz w:val="20"/>
                <w:szCs w:val="20"/>
              </w:rPr>
              <w:t xml:space="preserve"> </w:t>
            </w:r>
            <w:r>
              <w:rPr>
                <w:rFonts w:eastAsia="Times New Roman"/>
                <w:sz w:val="20"/>
                <w:szCs w:val="20"/>
              </w:rPr>
              <w:t>5,299,22</w:t>
            </w:r>
            <w:r>
              <w:rPr>
                <w:rFonts w:eastAsia="Times New Roman"/>
                <w:sz w:val="20"/>
                <w:szCs w:val="20"/>
              </w:rPr>
              <w:t>7</w:t>
            </w:r>
            <w:r>
              <w:rPr>
                <w:rFonts w:eastAsia="Times New Roman"/>
                <w:sz w:val="20"/>
                <w:szCs w:val="20"/>
              </w:rPr>
              <w:t xml:space="preserve"> and</w:t>
            </w:r>
            <w:r>
              <w:rPr>
                <w:rFonts w:eastAsia="Times New Roman"/>
                <w:sz w:val="20"/>
                <w:szCs w:val="20"/>
              </w:rPr>
              <w:t xml:space="preserve"> </w:t>
            </w:r>
            <w:r>
              <w:rPr>
                <w:rFonts w:eastAsia="Times New Roman"/>
                <w:sz w:val="20"/>
                <w:szCs w:val="20"/>
              </w:rPr>
              <w:t>5,475,27</w:t>
            </w:r>
            <w:r>
              <w:rPr>
                <w:rFonts w:eastAsia="Times New Roman"/>
                <w:sz w:val="20"/>
                <w:szCs w:val="20"/>
              </w:rPr>
              <w:t>9</w:t>
            </w:r>
            <w:r>
              <w:rPr>
                <w:rFonts w:eastAsia="Times New Roman"/>
                <w:sz w:val="20"/>
                <w:szCs w:val="20"/>
              </w:rPr>
              <w:t xml:space="preserve"> shares at December 31, 2021 and December 31, 2020, respectively</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 - authorized</w:t>
            </w:r>
            <w:r>
              <w:rPr>
                <w:rFonts w:eastAsia="Times New Roman"/>
                <w:sz w:val="20"/>
                <w:szCs w:val="20"/>
              </w:rPr>
              <w:t xml:space="preserve"> </w:t>
            </w:r>
            <w:r>
              <w:rPr>
                <w:rFonts w:eastAsia="Times New Roman"/>
                <w:sz w:val="20"/>
                <w:szCs w:val="20"/>
              </w:rPr>
              <w:t>29,000,00</w:t>
            </w:r>
            <w:r>
              <w:rPr>
                <w:rFonts w:eastAsia="Times New Roman"/>
                <w:sz w:val="20"/>
                <w:szCs w:val="20"/>
              </w:rPr>
              <w:t>0</w:t>
            </w:r>
            <w:r>
              <w:rPr>
                <w:rFonts w:eastAsia="Times New Roman"/>
                <w:sz w:val="20"/>
                <w:szCs w:val="20"/>
              </w:rPr>
              <w:t xml:space="preserve"> shares at December 31, 2021 and December 31, 2020; issued</w:t>
            </w:r>
            <w:r>
              <w:rPr>
                <w:rFonts w:eastAsia="Times New Roman"/>
                <w:sz w:val="20"/>
                <w:szCs w:val="20"/>
              </w:rPr>
              <w:t xml:space="preserve"> </w:t>
            </w:r>
            <w:r>
              <w:rPr>
                <w:rFonts w:eastAsia="Times New Roman"/>
                <w:sz w:val="20"/>
                <w:szCs w:val="20"/>
              </w:rPr>
              <w:t>15,657,64</w:t>
            </w:r>
            <w:r>
              <w:rPr>
                <w:rFonts w:eastAsia="Times New Roman"/>
                <w:sz w:val="20"/>
                <w:szCs w:val="20"/>
              </w:rPr>
              <w:t>1</w:t>
            </w:r>
            <w:r>
              <w:rPr>
                <w:rFonts w:eastAsia="Times New Roman"/>
                <w:sz w:val="20"/>
                <w:szCs w:val="20"/>
              </w:rPr>
              <w:t xml:space="preserve"> and</w:t>
            </w:r>
            <w:r>
              <w:rPr>
                <w:rFonts w:eastAsia="Times New Roman"/>
                <w:sz w:val="20"/>
                <w:szCs w:val="20"/>
              </w:rPr>
              <w:t xml:space="preserve"> </w:t>
            </w:r>
            <w:r>
              <w:rPr>
                <w:rFonts w:eastAsia="Times New Roman"/>
                <w:sz w:val="20"/>
                <w:szCs w:val="20"/>
              </w:rPr>
              <w:t>14,121,04</w:t>
            </w:r>
            <w:r>
              <w:rPr>
                <w:rFonts w:eastAsia="Times New Roman"/>
                <w:sz w:val="20"/>
                <w:szCs w:val="20"/>
              </w:rPr>
              <w:t>4</w:t>
            </w:r>
            <w:r>
              <w:rPr>
                <w:rFonts w:eastAsia="Times New Roman"/>
                <w:sz w:val="20"/>
                <w:szCs w:val="20"/>
              </w:rPr>
              <w:t xml:space="preserve"> shares at December 31, 2021 and December 31, 2020, respectively;</w:t>
            </w:r>
            <w:r>
              <w:rPr>
                <w:rFonts w:eastAsia="Times New Roman"/>
                <w:sz w:val="20"/>
                <w:szCs w:val="20"/>
              </w:rPr>
              <w:t xml:space="preserve"> </w:t>
            </w:r>
            <w:r>
              <w:rPr>
                <w:rFonts w:eastAsia="Times New Roman"/>
                <w:sz w:val="20"/>
                <w:szCs w:val="20"/>
              </w:rPr>
              <w:t>14,916,84</w:t>
            </w:r>
            <w:r>
              <w:rPr>
                <w:rFonts w:eastAsia="Times New Roman"/>
                <w:sz w:val="20"/>
                <w:szCs w:val="20"/>
              </w:rPr>
              <w:t>2</w:t>
            </w:r>
            <w:r>
              <w:rPr>
                <w:rFonts w:eastAsia="Times New Roman"/>
                <w:sz w:val="20"/>
                <w:szCs w:val="20"/>
              </w:rPr>
              <w:t xml:space="preserve"> and</w:t>
            </w:r>
            <w:r>
              <w:rPr>
                <w:rFonts w:eastAsia="Times New Roman"/>
                <w:sz w:val="20"/>
                <w:szCs w:val="20"/>
              </w:rPr>
              <w:t xml:space="preserve"> </w:t>
            </w:r>
            <w:r>
              <w:rPr>
                <w:rFonts w:eastAsia="Times New Roman"/>
                <w:sz w:val="20"/>
                <w:szCs w:val="20"/>
              </w:rPr>
              <w:t>13,380,24</w:t>
            </w:r>
            <w:r>
              <w:rPr>
                <w:rFonts w:eastAsia="Times New Roman"/>
                <w:sz w:val="20"/>
                <w:szCs w:val="20"/>
              </w:rPr>
              <w:t>5</w:t>
            </w:r>
            <w:r>
              <w:rPr>
                <w:rFonts w:eastAsia="Times New Roman"/>
                <w:sz w:val="20"/>
                <w:szCs w:val="20"/>
              </w:rPr>
              <w:t xml:space="preserve"> shares outstanding at December 31, 2021 and December 31, 2020, respect</w:t>
            </w:r>
            <w:r>
              <w:rPr>
                <w:rFonts w:eastAsia="Times New Roman"/>
                <w:sz w:val="20"/>
                <w:szCs w:val="20"/>
              </w:rPr>
              <w:t>ively</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131,379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136,781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(31,053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(33,889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Accumulated other comprehensive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(1,754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Less:</w:t>
            </w:r>
            <w:r>
              <w:rPr>
                <w:rFonts w:eastAsia="Times New Roman"/>
                <w:sz w:val="20"/>
                <w:szCs w:val="20"/>
              </w:rPr>
              <w:t xml:space="preserve"> </w:t>
            </w:r>
            <w:r>
              <w:rPr>
                <w:rFonts w:eastAsia="Times New Roman"/>
                <w:sz w:val="20"/>
                <w:szCs w:val="20"/>
              </w:rPr>
              <w:t>740,79</w:t>
            </w:r>
            <w:r>
              <w:rPr>
                <w:rFonts w:eastAsia="Times New Roman"/>
                <w:sz w:val="20"/>
                <w:szCs w:val="20"/>
              </w:rPr>
              <w:t>9</w:t>
            </w:r>
            <w:r>
              <w:rPr>
                <w:rFonts w:eastAsia="Times New Roman"/>
                <w:sz w:val="20"/>
                <w:szCs w:val="20"/>
              </w:rPr>
              <w:t xml:space="preserve"> </w:t>
            </w:r>
            <w:r>
              <w:rPr>
                <w:rFonts w:eastAsia="Times New Roman"/>
                <w:sz w:val="20"/>
                <w:szCs w:val="20"/>
              </w:rPr>
              <w:t>common shares held in treasury, at cost at December 31, 2021 and December 31, 2020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(662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(662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Total shareholders’ equity</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97,931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101,245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TOTAL LIABILITIES AND SHAREHOLDERS’ EQUITY</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140,848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137,999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center"/>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 xml:space="preserve">See </w:t>
      </w:r>
      <w:r>
        <w:rPr>
          <w:sz w:val="20"/>
          <w:szCs w:val="20"/>
        </w:rPr>
        <w:t>notes to consolidated financial statements.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07151151"/>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center"/>
        <w:rPr>
          <w:sz w:val="20"/>
          <w:szCs w:val="20"/>
        </w:rPr>
      </w:pPr>
      <w:r>
        <w:rPr>
          <w:b/>
          <w:bCs/>
          <w:sz w:val="20"/>
          <w:szCs w:val="20"/>
        </w:rPr>
        <w:t>CARECLOUD, INC.</w:t>
      </w:r>
    </w:p>
    <w:p w:rsidR="00000000" w:rsidRDefault="00B30BA7">
      <w:pPr>
        <w:pStyle w:val="a3"/>
        <w:spacing w:before="0" w:beforeAutospacing="0" w:after="0" w:afterAutospacing="0"/>
        <w:jc w:val="center"/>
        <w:rPr>
          <w:sz w:val="20"/>
          <w:szCs w:val="20"/>
        </w:rPr>
      </w:pPr>
      <w:r>
        <w:rPr>
          <w:b/>
          <w:bCs/>
          <w:sz w:val="20"/>
          <w:szCs w:val="20"/>
        </w:rPr>
        <w:t xml:space="preserve">CONSOLIDATED STATEMENTS OF OPERATIONS </w:t>
      </w:r>
    </w:p>
    <w:p w:rsidR="00000000" w:rsidRDefault="00B30BA7">
      <w:pPr>
        <w:pStyle w:val="a3"/>
        <w:spacing w:before="0" w:beforeAutospacing="0" w:after="0" w:afterAutospacing="0"/>
        <w:jc w:val="center"/>
        <w:rPr>
          <w:sz w:val="20"/>
          <w:szCs w:val="20"/>
        </w:rPr>
      </w:pPr>
      <w:r>
        <w:rPr>
          <w:b/>
          <w:bCs/>
          <w:sz w:val="20"/>
          <w:szCs w:val="20"/>
        </w:rPr>
        <w:t>FOR THE YEARS ENDED DECEMBER 31, 2021 AND 2020</w:t>
      </w:r>
    </w:p>
    <w:p w:rsidR="00000000" w:rsidRDefault="00B30BA7">
      <w:pPr>
        <w:pStyle w:val="a3"/>
        <w:pBdr>
          <w:bottom w:val="single" w:sz="12" w:space="0" w:color="000000"/>
        </w:pBdr>
        <w:spacing w:before="0" w:beforeAutospacing="0" w:after="0" w:afterAutospacing="0"/>
        <w:jc w:val="center"/>
        <w:rPr>
          <w:sz w:val="20"/>
          <w:szCs w:val="20"/>
        </w:rPr>
      </w:pPr>
      <w:r>
        <w:rPr>
          <w:sz w:val="20"/>
          <w:szCs w:val="20"/>
        </w:rPr>
        <w:t xml:space="preserve">($ </w:t>
      </w:r>
      <w:r>
        <w:rPr>
          <w:sz w:val="20"/>
          <w:szCs w:val="20"/>
        </w:rPr>
        <w:t>in thousands, except share and per share amounts)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Operations"/>
      </w:tblPr>
      <w:tblGrid>
        <w:gridCol w:w="4979"/>
        <w:gridCol w:w="161"/>
        <w:gridCol w:w="100"/>
        <w:gridCol w:w="1324"/>
        <w:gridCol w:w="78"/>
        <w:gridCol w:w="161"/>
        <w:gridCol w:w="100"/>
        <w:gridCol w:w="1324"/>
        <w:gridCol w:w="79"/>
      </w:tblGrid>
      <w:tr w:rsidR="00000000">
        <w:trPr>
          <w:hidden/>
        </w:trPr>
        <w:tc>
          <w:tcPr>
            <w:tcW w:w="0" w:type="auto"/>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2020</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139,599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105,122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86,918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64,821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8,786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6,582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24,273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22,811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4,408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9,311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Depreciation </w:t>
            </w:r>
            <w:r>
              <w:rPr>
                <w:rFonts w:eastAsia="Times New Roman"/>
                <w:sz w:val="20"/>
                <w:szCs w:val="20"/>
              </w:rPr>
              <w:t>and amortization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12,195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9,905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136,070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113,393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OPERATING INCOME (LOSS)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3,529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(8,271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OTHER:</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Interest income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(455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(96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INCOME (LOSS) BEFORE PROVISION FOR INCOME TAXES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2,993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(8,710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Income tax provision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157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NET </w:t>
            </w:r>
            <w:r>
              <w:rPr>
                <w:rFonts w:eastAsia="Times New Roman"/>
                <w:sz w:val="20"/>
                <w:szCs w:val="20"/>
              </w:rPr>
              <w:t>INCOME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2,836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(8,813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Preferred stock dividend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14,052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13,877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NET LOSS ATTRIBUTABLE TO COMMON SHAREHOLDERS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(11,216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(22,690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Net </w:t>
            </w:r>
            <w:r>
              <w:rPr>
                <w:rFonts w:eastAsia="Times New Roman"/>
                <w:sz w:val="20"/>
                <w:szCs w:val="20"/>
              </w:rPr>
              <w:t>loss per common share: basic and diluted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(0.77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14,541,061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12,678,845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 xml:space="preserve">See </w:t>
      </w:r>
      <w:r>
        <w:rPr>
          <w:sz w:val="20"/>
          <w:szCs w:val="20"/>
        </w:rPr>
        <w:t>notes to consolidated financial statements.</w:t>
      </w:r>
    </w:p>
    <w:p w:rsidR="00000000" w:rsidRDefault="00B30BA7">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39725981"/>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center"/>
        <w:rPr>
          <w:sz w:val="20"/>
          <w:szCs w:val="20"/>
        </w:rPr>
      </w:pPr>
      <w:r>
        <w:rPr>
          <w:b/>
          <w:bCs/>
          <w:sz w:val="20"/>
          <w:szCs w:val="20"/>
        </w:rPr>
        <w:t> </w:t>
      </w:r>
    </w:p>
    <w:p w:rsidR="00000000" w:rsidRDefault="00B30BA7">
      <w:pPr>
        <w:pStyle w:val="a3"/>
        <w:spacing w:before="0" w:beforeAutospacing="0" w:after="0" w:afterAutospacing="0"/>
        <w:jc w:val="center"/>
        <w:rPr>
          <w:sz w:val="20"/>
          <w:szCs w:val="20"/>
        </w:rPr>
      </w:pPr>
      <w:r>
        <w:rPr>
          <w:b/>
          <w:bCs/>
          <w:sz w:val="20"/>
          <w:szCs w:val="20"/>
        </w:rPr>
        <w:t>CARECLOUD, INC.</w:t>
      </w:r>
    </w:p>
    <w:p w:rsidR="00000000" w:rsidRDefault="00B30BA7">
      <w:pPr>
        <w:pStyle w:val="a3"/>
        <w:spacing w:before="0" w:beforeAutospacing="0" w:after="0" w:afterAutospacing="0"/>
        <w:jc w:val="center"/>
        <w:rPr>
          <w:sz w:val="20"/>
          <w:szCs w:val="20"/>
        </w:rPr>
      </w:pPr>
      <w:r>
        <w:rPr>
          <w:b/>
          <w:bCs/>
          <w:sz w:val="20"/>
          <w:szCs w:val="20"/>
        </w:rPr>
        <w:t>CONSOLIDATED STATEMENTS OF COMPREHENSIVE INCOME (LOSS)</w:t>
      </w:r>
    </w:p>
    <w:p w:rsidR="00000000" w:rsidRDefault="00B30BA7">
      <w:pPr>
        <w:pStyle w:val="a3"/>
        <w:spacing w:before="0" w:beforeAutospacing="0" w:after="0" w:afterAutospacing="0"/>
        <w:jc w:val="center"/>
        <w:rPr>
          <w:sz w:val="20"/>
          <w:szCs w:val="20"/>
        </w:rPr>
      </w:pPr>
      <w:r>
        <w:rPr>
          <w:b/>
          <w:bCs/>
          <w:sz w:val="20"/>
          <w:szCs w:val="20"/>
        </w:rPr>
        <w:t>FOR THE YEARS ENDED DECEMBER 31, 2021 AND 2020</w:t>
      </w:r>
    </w:p>
    <w:p w:rsidR="00000000" w:rsidRDefault="00B30BA7">
      <w:pPr>
        <w:pStyle w:val="a3"/>
        <w:pBdr>
          <w:bottom w:val="single" w:sz="12" w:space="0" w:color="000000"/>
        </w:pBdr>
        <w:spacing w:before="0" w:beforeAutospacing="0" w:after="0" w:afterAutospacing="0"/>
        <w:jc w:val="center"/>
        <w:rPr>
          <w:sz w:val="20"/>
          <w:szCs w:val="20"/>
        </w:rPr>
      </w:pPr>
      <w:r>
        <w:rPr>
          <w:sz w:val="20"/>
          <w:szCs w:val="20"/>
        </w:rPr>
        <w:t>($ in thousands)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omprehensive Income (Loss)"/>
      </w:tblPr>
      <w:tblGrid>
        <w:gridCol w:w="4979"/>
        <w:gridCol w:w="161"/>
        <w:gridCol w:w="100"/>
        <w:gridCol w:w="1324"/>
        <w:gridCol w:w="78"/>
        <w:gridCol w:w="161"/>
        <w:gridCol w:w="100"/>
        <w:gridCol w:w="1324"/>
        <w:gridCol w:w="79"/>
      </w:tblGrid>
      <w:tr w:rsidR="00000000">
        <w:trPr>
          <w:hidden/>
        </w:trPr>
        <w:tc>
          <w:tcPr>
            <w:tcW w:w="0" w:type="auto"/>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2020</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NET INCOME (LOSS)</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2,836</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(8,813</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OTHER COMPREHENSIVE LOSS, NET OF TAX</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Foreign currency translation adjustment</w:t>
            </w:r>
            <w:r>
              <w:rPr>
                <w:rFonts w:eastAsia="Times New Roman"/>
                <w:sz w:val="20"/>
                <w:szCs w:val="20"/>
              </w:rPr>
              <w:t xml:space="preserve"> </w:t>
            </w:r>
            <w:r>
              <w:rPr>
                <w:rFonts w:eastAsia="Times New Roman"/>
                <w:sz w:val="20"/>
                <w:szCs w:val="20"/>
              </w:rPr>
              <w:t>(a</w:t>
            </w: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(750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(161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COMPREHENSIVE INCOME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2,086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(8,974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pacing w:before="0" w:beforeAutospacing="0" w:after="0" w:afterAutospacing="0"/>
        <w:jc w:val="center"/>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B30BA7">
            <w:pPr>
              <w:spacing w:after="120"/>
              <w:rPr>
                <w:rFonts w:eastAsia="Times New Roman"/>
                <w:sz w:val="20"/>
                <w:szCs w:val="20"/>
              </w:rPr>
            </w:pPr>
            <w:r>
              <w:rPr>
                <w:rFonts w:eastAsia="Times New Roman"/>
                <w:sz w:val="20"/>
                <w:szCs w:val="20"/>
              </w:rPr>
              <w:t>(a</w:t>
            </w:r>
            <w:r>
              <w:rPr>
                <w:rFonts w:eastAsia="Times New Roman"/>
                <w:sz w:val="20"/>
                <w:szCs w:val="20"/>
              </w:rPr>
              <w:t>)</w:t>
            </w:r>
          </w:p>
        </w:tc>
        <w:tc>
          <w:tcPr>
            <w:tcW w:w="0" w:type="auto"/>
            <w:hideMark/>
          </w:tcPr>
          <w:p w:rsidR="00000000" w:rsidRDefault="00B30BA7">
            <w:pPr>
              <w:spacing w:after="120"/>
              <w:jc w:val="both"/>
              <w:rPr>
                <w:rFonts w:eastAsia="Times New Roman"/>
                <w:sz w:val="20"/>
                <w:szCs w:val="20"/>
              </w:rPr>
            </w:pPr>
            <w:r>
              <w:rPr>
                <w:rFonts w:eastAsia="Times New Roman"/>
                <w:sz w:val="20"/>
                <w:szCs w:val="20"/>
              </w:rPr>
              <w:t xml:space="preserve">No </w:t>
            </w:r>
            <w:r>
              <w:rPr>
                <w:rFonts w:eastAsia="Times New Roman"/>
                <w:sz w:val="20"/>
                <w:szCs w:val="20"/>
              </w:rPr>
              <w:t>tax effect has been recorded as the Company recorded a valuation allowance against the tax benefit from its foreign currency translation adjustments</w:t>
            </w:r>
            <w:r>
              <w:rPr>
                <w:rFonts w:eastAsia="Times New Roman"/>
                <w:sz w:val="20"/>
                <w:szCs w:val="20"/>
              </w:rPr>
              <w:t>.</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See notes to consolidated financial statements.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14262664"/>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center"/>
        <w:rPr>
          <w:sz w:val="20"/>
          <w:szCs w:val="20"/>
        </w:rPr>
      </w:pPr>
      <w:r>
        <w:rPr>
          <w:sz w:val="20"/>
          <w:szCs w:val="20"/>
        </w:rPr>
        <w:t> </w:t>
      </w:r>
    </w:p>
    <w:p w:rsidR="00000000" w:rsidRDefault="00B30BA7">
      <w:pPr>
        <w:pStyle w:val="a3"/>
        <w:spacing w:before="0" w:beforeAutospacing="0" w:after="0" w:afterAutospacing="0"/>
        <w:jc w:val="center"/>
        <w:rPr>
          <w:sz w:val="20"/>
          <w:szCs w:val="20"/>
        </w:rPr>
      </w:pPr>
      <w:r>
        <w:rPr>
          <w:b/>
          <w:bCs/>
          <w:sz w:val="20"/>
          <w:szCs w:val="20"/>
        </w:rPr>
        <w:t>CARECLOUD, INC.</w:t>
      </w:r>
    </w:p>
    <w:p w:rsidR="00000000" w:rsidRDefault="00B30BA7">
      <w:pPr>
        <w:pStyle w:val="a3"/>
        <w:spacing w:before="0" w:beforeAutospacing="0" w:after="0" w:afterAutospacing="0"/>
        <w:jc w:val="center"/>
        <w:rPr>
          <w:sz w:val="20"/>
          <w:szCs w:val="20"/>
        </w:rPr>
      </w:pPr>
      <w:r>
        <w:rPr>
          <w:b/>
          <w:bCs/>
          <w:sz w:val="20"/>
          <w:szCs w:val="20"/>
        </w:rPr>
        <w:t xml:space="preserve">CONSOLIDATED </w:t>
      </w:r>
      <w:r>
        <w:rPr>
          <w:b/>
          <w:bCs/>
          <w:sz w:val="20"/>
          <w:szCs w:val="20"/>
        </w:rPr>
        <w:t>STATEMENTS OF SHAREHOLDERS’ EQUITY</w:t>
      </w:r>
    </w:p>
    <w:p w:rsidR="00000000" w:rsidRDefault="00B30BA7">
      <w:pPr>
        <w:pStyle w:val="a3"/>
        <w:spacing w:before="0" w:beforeAutospacing="0" w:after="0" w:afterAutospacing="0"/>
        <w:jc w:val="center"/>
        <w:rPr>
          <w:sz w:val="20"/>
          <w:szCs w:val="20"/>
        </w:rPr>
      </w:pPr>
      <w:r>
        <w:rPr>
          <w:b/>
          <w:bCs/>
          <w:sz w:val="20"/>
          <w:szCs w:val="20"/>
        </w:rPr>
        <w:t>FOR THE YEARS ENDED DECEMBER 31, 2021 AND 2020</w:t>
      </w:r>
    </w:p>
    <w:p w:rsidR="00000000" w:rsidRDefault="00B30BA7">
      <w:pPr>
        <w:pStyle w:val="a3"/>
        <w:pBdr>
          <w:bottom w:val="single" w:sz="12" w:space="0" w:color="000000"/>
        </w:pBdr>
        <w:spacing w:before="0" w:beforeAutospacing="0" w:after="0" w:afterAutospacing="0"/>
        <w:jc w:val="center"/>
        <w:rPr>
          <w:sz w:val="20"/>
          <w:szCs w:val="20"/>
        </w:rPr>
      </w:pPr>
      <w:r>
        <w:rPr>
          <w:sz w:val="20"/>
          <w:szCs w:val="20"/>
        </w:rPr>
        <w:t>($ in thousands, except for number of shares)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Shareholders&amp;apos; Equity"/>
      </w:tblPr>
      <w:tblGrid>
        <w:gridCol w:w="1161"/>
        <w:gridCol w:w="50"/>
        <w:gridCol w:w="50"/>
        <w:gridCol w:w="800"/>
        <w:gridCol w:w="67"/>
        <w:gridCol w:w="50"/>
        <w:gridCol w:w="141"/>
        <w:gridCol w:w="560"/>
        <w:gridCol w:w="50"/>
        <w:gridCol w:w="50"/>
        <w:gridCol w:w="50"/>
        <w:gridCol w:w="900"/>
        <w:gridCol w:w="50"/>
        <w:gridCol w:w="50"/>
        <w:gridCol w:w="141"/>
        <w:gridCol w:w="560"/>
        <w:gridCol w:w="50"/>
        <w:gridCol w:w="50"/>
        <w:gridCol w:w="183"/>
        <w:gridCol w:w="729"/>
        <w:gridCol w:w="67"/>
        <w:gridCol w:w="50"/>
        <w:gridCol w:w="227"/>
        <w:gridCol w:w="907"/>
        <w:gridCol w:w="67"/>
        <w:gridCol w:w="50"/>
        <w:gridCol w:w="267"/>
        <w:gridCol w:w="1067"/>
        <w:gridCol w:w="67"/>
        <w:gridCol w:w="50"/>
        <w:gridCol w:w="185"/>
        <w:gridCol w:w="738"/>
        <w:gridCol w:w="67"/>
        <w:gridCol w:w="50"/>
        <w:gridCol w:w="240"/>
        <w:gridCol w:w="960"/>
        <w:gridCol w:w="67"/>
      </w:tblGrid>
      <w:tr w:rsidR="00000000">
        <w:trPr>
          <w:hidden/>
        </w:trPr>
        <w:tc>
          <w:tcPr>
            <w:tcW w:w="0" w:type="auto"/>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Shares</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Amount</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Shares</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Amount</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Capital</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Deficit</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Loss</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Stock</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vanish/>
                <w:sz w:val="20"/>
                <w:szCs w:val="20"/>
              </w:rPr>
            </w:pPr>
            <w:r>
              <w:rPr>
                <w:rFonts w:eastAsia="Times New Roman"/>
                <w:b/>
                <w:bCs/>
                <w:vanish/>
                <w:sz w:val="20"/>
                <w:szCs w:val="20"/>
              </w:rPr>
              <w:t>Equity</w:t>
            </w:r>
          </w:p>
        </w:tc>
        <w:tc>
          <w:tcPr>
            <w:tcW w:w="0" w:type="auto"/>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Preferred Stock</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Common Stock</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B30BA7">
            <w:pPr>
              <w:jc w:val="center"/>
              <w:rPr>
                <w:rFonts w:eastAsia="Times New Roman"/>
                <w:b/>
                <w:bCs/>
                <w:sz w:val="20"/>
                <w:szCs w:val="20"/>
              </w:rPr>
            </w:pPr>
            <w:r>
              <w:rPr>
                <w:rFonts w:eastAsia="Times New Roman"/>
                <w:b/>
                <w:bCs/>
                <w:sz w:val="20"/>
                <w:szCs w:val="20"/>
              </w:rPr>
              <w:t>Additional Paid-in</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B30BA7">
            <w:pPr>
              <w:jc w:val="center"/>
              <w:rPr>
                <w:rFonts w:eastAsia="Times New Roman"/>
                <w:b/>
                <w:bCs/>
                <w:sz w:val="20"/>
                <w:szCs w:val="20"/>
              </w:rPr>
            </w:pPr>
            <w:r>
              <w:rPr>
                <w:rFonts w:eastAsia="Times New Roman"/>
                <w:b/>
                <w:bCs/>
                <w:sz w:val="20"/>
                <w:szCs w:val="20"/>
              </w:rPr>
              <w:t>Accumulated</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B30BA7">
            <w:pPr>
              <w:jc w:val="center"/>
              <w:rPr>
                <w:rFonts w:eastAsia="Times New Roman"/>
                <w:b/>
                <w:bCs/>
                <w:sz w:val="20"/>
                <w:szCs w:val="20"/>
              </w:rPr>
            </w:pPr>
            <w:r>
              <w:rPr>
                <w:rFonts w:eastAsia="Times New Roman"/>
                <w:b/>
                <w:bCs/>
                <w:sz w:val="20"/>
                <w:szCs w:val="20"/>
              </w:rPr>
              <w:t>Accumulated Other Comprehensive</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B30BA7">
            <w:pPr>
              <w:jc w:val="center"/>
              <w:rPr>
                <w:rFonts w:eastAsia="Times New Roman"/>
                <w:b/>
                <w:bCs/>
                <w:sz w:val="20"/>
                <w:szCs w:val="20"/>
              </w:rPr>
            </w:pPr>
            <w:r>
              <w:rPr>
                <w:rFonts w:eastAsia="Times New Roman"/>
                <w:b/>
                <w:bCs/>
                <w:sz w:val="20"/>
                <w:szCs w:val="20"/>
              </w:rPr>
              <w:t>Treasury (Common)</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B30BA7">
            <w:pPr>
              <w:jc w:val="center"/>
              <w:rPr>
                <w:rFonts w:eastAsia="Times New Roman"/>
                <w:b/>
                <w:bCs/>
                <w:sz w:val="20"/>
                <w:szCs w:val="20"/>
              </w:rPr>
            </w:pPr>
            <w:r>
              <w:rPr>
                <w:rFonts w:eastAsia="Times New Roman"/>
                <w:b/>
                <w:bCs/>
                <w:sz w:val="20"/>
                <w:szCs w:val="20"/>
              </w:rPr>
              <w:t>Total Shareholders’</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Shares</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Amount</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Shares</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Amount</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Capital</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Deficit</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Loss</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Stock</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b/>
                <w:bCs/>
                <w:sz w:val="20"/>
                <w:szCs w:val="20"/>
              </w:rPr>
              <w:t>Equity</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B30BA7">
        <w:tc>
          <w:tcPr>
            <w:tcW w:w="1850" w:type="pct"/>
            <w:shd w:val="clear" w:color="auto" w:fill="CCEEFF"/>
            <w:vAlign w:val="bottom"/>
            <w:hideMark/>
          </w:tcPr>
          <w:p w:rsidR="00000000" w:rsidRDefault="00B30BA7">
            <w:pPr>
              <w:rPr>
                <w:rFonts w:eastAsia="Times New Roman"/>
                <w:sz w:val="20"/>
                <w:szCs w:val="20"/>
              </w:rPr>
            </w:pPr>
            <w:r>
              <w:rPr>
                <w:rFonts w:eastAsia="Times New Roman"/>
                <w:sz w:val="20"/>
                <w:szCs w:val="20"/>
              </w:rPr>
              <w:t>Balance - January 1, 2020</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2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2,539,325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2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12,978,485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69,403</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(25,076</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(843</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(662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42,837</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Net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(8,813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r>
              <w:rPr>
                <w:rFonts w:eastAsia="Times New Roman"/>
                <w:sz w:val="20"/>
                <w:szCs w:val="20"/>
              </w:rPr>
              <w:t>8,813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Foreign currency translation adjustment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(161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(161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Issuance of stock under the equity incentive plan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43,954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549,210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Cancellation of shares held in escrow</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B30BA7">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Cancellation of shares held in escrow, shares</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B30BA7">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Settlement of contingent liability</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B30BA7">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Sale of common stock</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B30BA7">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Sale of common stock, shares</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Issuance of preferred stock, net of fees and expenses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1,932,000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44,541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44,543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Issuance </w:t>
            </w:r>
            <w:r>
              <w:rPr>
                <w:rFonts w:eastAsia="Times New Roman"/>
                <w:sz w:val="20"/>
                <w:szCs w:val="20"/>
              </w:rPr>
              <w:t>of preferred stock in connection with the CareCloud and Meridian acquisitions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960,000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22,603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22,604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Issuance </w:t>
            </w:r>
            <w:r>
              <w:rPr>
                <w:rFonts w:eastAsia="Times New Roman"/>
                <w:sz w:val="20"/>
                <w:szCs w:val="20"/>
              </w:rPr>
              <w:t>of warrants in connection with the CareCloud and Meridian acquisitions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5,070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5,070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Exercise of common stock warrants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593,349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4,449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4,450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Stock-based compensation, net of cash settlements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4,592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4,592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Tax </w:t>
            </w:r>
            <w:r>
              <w:rPr>
                <w:rFonts w:eastAsia="Times New Roman"/>
                <w:sz w:val="20"/>
                <w:szCs w:val="20"/>
              </w:rPr>
              <w:t>withholding obligations on stock issued to employees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Preferred stock dividends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(13,877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(13,877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Balance </w:t>
            </w:r>
            <w:r>
              <w:rPr>
                <w:rFonts w:eastAsia="Times New Roman"/>
                <w:sz w:val="20"/>
                <w:szCs w:val="20"/>
              </w:rPr>
              <w:t>- December 31, 2020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5,475,279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14,121,044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136,781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(33,889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(662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101,245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Balance - January 1, 2021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5,475,279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14,121,044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136,781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(33,889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(662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101,245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xml:space="preserve">Beginning balance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5,475,279</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5</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14,121,044</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14</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136,781</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(33,889</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(1,004</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(662</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101,245</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Net </w:t>
            </w:r>
            <w:r>
              <w:rPr>
                <w:rFonts w:eastAsia="Times New Roman"/>
                <w:sz w:val="20"/>
                <w:szCs w:val="20"/>
              </w:rPr>
              <w:t>income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2,836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2,836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rPr>
          <w:hidden/>
        </w:trPr>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Net income (loss)</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2,836</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2,836</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Foreign </w:t>
            </w:r>
            <w:r>
              <w:rPr>
                <w:rFonts w:eastAsia="Times New Roman"/>
                <w:sz w:val="20"/>
                <w:szCs w:val="20"/>
              </w:rPr>
              <w:t>currency translation adjustment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(750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(750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Issuance of stock under the equity incentive plan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39,770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332,208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Cancellation of shares held in escrow</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(215,822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Settlement of contingent liability</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Sale </w:t>
            </w:r>
            <w:r>
              <w:rPr>
                <w:rFonts w:eastAsia="Times New Roman"/>
                <w:sz w:val="20"/>
                <w:szCs w:val="20"/>
              </w:rPr>
              <w:t>of common stock</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346,389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2,730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2,731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Exercise of common stock warrants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858,000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6,434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6,435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Stock-based </w:t>
            </w:r>
            <w:r>
              <w:rPr>
                <w:rFonts w:eastAsia="Times New Roman"/>
                <w:sz w:val="20"/>
                <w:szCs w:val="20"/>
              </w:rPr>
              <w:t>compensation, net of cash settlements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3,486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3,486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Preferred stock dividends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(14,052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(14,052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B30BA7">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Balance </w:t>
            </w:r>
            <w:r>
              <w:rPr>
                <w:rFonts w:eastAsia="Times New Roman"/>
                <w:sz w:val="20"/>
                <w:szCs w:val="20"/>
              </w:rPr>
              <w:t>- December 31, 2021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5,299,227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15,657,641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131,379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(31,053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(1,754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(662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97,931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B30BA7">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Ending balance</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5,299,227</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5</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15,657,641</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16</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131,379</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(31,053</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(1,754</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(662</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97,931</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bl>
    <w:p w:rsidR="00000000" w:rsidRDefault="00B30BA7">
      <w:pPr>
        <w:pStyle w:val="a3"/>
        <w:spacing w:before="0" w:beforeAutospacing="0" w:after="0" w:afterAutospacing="0"/>
        <w:rPr>
          <w:sz w:val="20"/>
          <w:szCs w:val="20"/>
        </w:rPr>
      </w:pPr>
      <w:r>
        <w:rPr>
          <w:b/>
          <w:bCs/>
          <w:sz w:val="20"/>
          <w:szCs w:val="20"/>
        </w:rPr>
        <w:t> </w:t>
      </w:r>
    </w:p>
    <w:p w:rsidR="00000000" w:rsidRDefault="00B30BA7">
      <w:pPr>
        <w:pStyle w:val="a3"/>
        <w:spacing w:before="0" w:beforeAutospacing="0" w:after="0" w:afterAutospacing="0"/>
        <w:rPr>
          <w:sz w:val="20"/>
          <w:szCs w:val="20"/>
        </w:rPr>
      </w:pPr>
      <w:r>
        <w:rPr>
          <w:sz w:val="20"/>
          <w:szCs w:val="20"/>
        </w:rPr>
        <w:t>For all years presented, the preferred stock dividends were paid monthly at the rate of $2.75 per share per annum.</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See notes to consolidated financial statements.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57344444"/>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center"/>
        <w:rPr>
          <w:sz w:val="20"/>
          <w:szCs w:val="20"/>
        </w:rPr>
      </w:pPr>
      <w:r>
        <w:rPr>
          <w:b/>
          <w:bCs/>
          <w:sz w:val="20"/>
          <w:szCs w:val="20"/>
        </w:rPr>
        <w:t> </w:t>
      </w:r>
    </w:p>
    <w:p w:rsidR="00000000" w:rsidRDefault="00B30BA7">
      <w:pPr>
        <w:pStyle w:val="a3"/>
        <w:spacing w:before="0" w:beforeAutospacing="0" w:after="0" w:afterAutospacing="0"/>
        <w:jc w:val="center"/>
        <w:rPr>
          <w:sz w:val="20"/>
          <w:szCs w:val="20"/>
        </w:rPr>
      </w:pPr>
      <w:r>
        <w:rPr>
          <w:b/>
          <w:bCs/>
          <w:sz w:val="20"/>
          <w:szCs w:val="20"/>
        </w:rPr>
        <w:t>CARECLOUD, INC.</w:t>
      </w:r>
    </w:p>
    <w:p w:rsidR="00000000" w:rsidRDefault="00B30BA7">
      <w:pPr>
        <w:pStyle w:val="a3"/>
        <w:spacing w:before="0" w:beforeAutospacing="0" w:after="0" w:afterAutospacing="0"/>
        <w:jc w:val="center"/>
        <w:rPr>
          <w:sz w:val="20"/>
          <w:szCs w:val="20"/>
        </w:rPr>
      </w:pPr>
      <w:r>
        <w:rPr>
          <w:b/>
          <w:bCs/>
          <w:sz w:val="20"/>
          <w:szCs w:val="20"/>
        </w:rPr>
        <w:t xml:space="preserve">CONSOLIDATED </w:t>
      </w:r>
      <w:r>
        <w:rPr>
          <w:b/>
          <w:bCs/>
          <w:sz w:val="20"/>
          <w:szCs w:val="20"/>
        </w:rPr>
        <w:t>STATEMENTS OF CASH FLOWS</w:t>
      </w:r>
    </w:p>
    <w:p w:rsidR="00000000" w:rsidRDefault="00B30BA7">
      <w:pPr>
        <w:pStyle w:val="a3"/>
        <w:spacing w:before="0" w:beforeAutospacing="0" w:after="0" w:afterAutospacing="0"/>
        <w:jc w:val="center"/>
        <w:rPr>
          <w:sz w:val="20"/>
          <w:szCs w:val="20"/>
        </w:rPr>
      </w:pPr>
      <w:r>
        <w:rPr>
          <w:b/>
          <w:bCs/>
          <w:sz w:val="20"/>
          <w:szCs w:val="20"/>
        </w:rPr>
        <w:t>FOR THE YEARS ENDED DECEMBER 31, 2021 AND 2020</w:t>
      </w:r>
    </w:p>
    <w:p w:rsidR="00000000" w:rsidRDefault="00B30BA7">
      <w:pPr>
        <w:pStyle w:val="a3"/>
        <w:pBdr>
          <w:bottom w:val="single" w:sz="12" w:space="0" w:color="000000"/>
        </w:pBdr>
        <w:spacing w:before="0" w:beforeAutospacing="0" w:after="0" w:afterAutospacing="0"/>
        <w:jc w:val="center"/>
        <w:rPr>
          <w:sz w:val="20"/>
          <w:szCs w:val="20"/>
        </w:rPr>
      </w:pPr>
      <w:r>
        <w:rPr>
          <w:sz w:val="20"/>
          <w:szCs w:val="20"/>
        </w:rPr>
        <w:t>($ in thousands)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ash Flows"/>
      </w:tblPr>
      <w:tblGrid>
        <w:gridCol w:w="4979"/>
        <w:gridCol w:w="161"/>
        <w:gridCol w:w="100"/>
        <w:gridCol w:w="1324"/>
        <w:gridCol w:w="78"/>
        <w:gridCol w:w="161"/>
        <w:gridCol w:w="100"/>
        <w:gridCol w:w="1324"/>
        <w:gridCol w:w="79"/>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B30BA7">
            <w:pPr>
              <w:rPr>
                <w:rFonts w:eastAsia="Times New Roman"/>
                <w:sz w:val="20"/>
                <w:szCs w:val="20"/>
              </w:rPr>
            </w:pPr>
            <w:r>
              <w:rPr>
                <w:rFonts w:eastAsia="Times New Roman"/>
                <w:sz w:val="20"/>
                <w:szCs w:val="20"/>
              </w:rPr>
              <w:t>Net income (loss)</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2,836</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(8,813</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Adjustments </w:t>
            </w:r>
            <w:r>
              <w:rPr>
                <w:rFonts w:eastAsia="Times New Roman"/>
                <w:sz w:val="20"/>
                <w:szCs w:val="20"/>
              </w:rPr>
              <w:t>to reconcile net income (loss) to net cash provided by (used in) operating activities: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12,676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10,134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3,574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2,889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263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890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369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Provision (benefit) for deferred income taxes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Foreign exchange gain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857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677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Loss (Gain) on sale of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5,396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6,502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Adjustment of goodwill</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Changes </w:t>
            </w:r>
            <w:r>
              <w:rPr>
                <w:rFonts w:eastAsia="Times New Roman"/>
                <w:sz w:val="20"/>
                <w:szCs w:val="20"/>
              </w:rPr>
              <w:t>in operating assets and liabilities, net of businesses acquired: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394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Other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(118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Accounts </w:t>
            </w:r>
            <w:r>
              <w:rPr>
                <w:rFonts w:eastAsia="Times New Roman"/>
                <w:sz w:val="20"/>
                <w:szCs w:val="20"/>
              </w:rPr>
              <w:t>payable and other liabilities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(10,366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(11,878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Net cash provided by (used in) operating activities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13,334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(892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INVESTING ACTIVITIES: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Purchase of property and equipment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(2,928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(2,589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(7,636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(5,163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Cash paid for acquisitions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(12,582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(23,717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6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(23,146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(31,469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FINANCING ACTIVITIES: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Preferred </w:t>
            </w:r>
            <w:r>
              <w:rPr>
                <w:rFonts w:eastAsia="Times New Roman"/>
                <w:sz w:val="20"/>
                <w:szCs w:val="20"/>
              </w:rPr>
              <w:t>stock dividends paid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(14,437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(11,382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(2,123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(2,198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Repayments of notes payable, net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(1,045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(666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Financing costs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Proceeds from exercise of warrants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6,435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4,450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Proceeds from issuance of common stock, net of expenses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2,731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Proceeds from line of credit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26,000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19,500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Repayment from line of credit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(18,000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(19,500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Settlement of contingent obligation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Proceeds from issuance of preferred stock, net of expenses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44,543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Net cash (used in) provided by financing activities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(519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33,422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EFFECT </w:t>
            </w:r>
            <w:r>
              <w:rPr>
                <w:rFonts w:eastAsia="Times New Roman"/>
                <w:sz w:val="20"/>
                <w:szCs w:val="20"/>
              </w:rPr>
              <w:t>OF EXCHANGE RATE CHANGES ON CASH</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(254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NET (DECREASE) INCREASE IN CASH</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(10,585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931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CASH - beginning of the period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20,925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19,994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CASH AND RESTRICTED CASH - end of the year</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10,340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20,925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SUPPLEMENTAL NONCASH INVESTING AND FINANCING ACTIVITIES: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Preferred stock (cancelled) issued in connection with an acquisition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24,000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Contingent consideration at fair value at acquisition date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5,605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Vehicle financing obtained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Dividends declared, not paid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3,856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4,241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Purchase of prepaid insurance with assumption of note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967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668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Warrants issued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5,070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Escrow </w:t>
            </w:r>
            <w:r>
              <w:rPr>
                <w:rFonts w:eastAsia="Times New Roman"/>
                <w:sz w:val="20"/>
                <w:szCs w:val="20"/>
              </w:rPr>
              <w:t>recorded as indemnification asset and offsetting accrual</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SUPPLEMENTAL INFORMATION - Cash paid during the year for:</w:t>
            </w:r>
          </w:p>
        </w:tc>
        <w:tc>
          <w:tcPr>
            <w:tcW w:w="0" w:type="auto"/>
            <w:shd w:val="clear" w:color="auto" w:fill="CCEEFF"/>
            <w:vAlign w:val="bottom"/>
            <w:hideMark/>
          </w:tcPr>
          <w:p w:rsidR="00000000" w:rsidRDefault="00B30BA7">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B30BA7">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B30BA7">
            <w:pPr>
              <w:jc w:val="right"/>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B30BA7">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Income taxes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282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Interest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165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sz w:val="20"/>
          <w:szCs w:val="20"/>
        </w:rPr>
        <w:t xml:space="preserve">See </w:t>
      </w:r>
      <w:r>
        <w:rPr>
          <w:sz w:val="20"/>
          <w:szCs w:val="20"/>
        </w:rPr>
        <w:t>notes to consolidated financial statements.</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31282468"/>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center"/>
        <w:rPr>
          <w:sz w:val="20"/>
          <w:szCs w:val="20"/>
        </w:rPr>
      </w:pPr>
      <w:r>
        <w:rPr>
          <w:b/>
          <w:bCs/>
          <w:sz w:val="20"/>
          <w:szCs w:val="20"/>
        </w:rPr>
        <w:t>CARECLOUD, INC.</w:t>
      </w:r>
    </w:p>
    <w:p w:rsidR="00000000" w:rsidRDefault="00B30BA7">
      <w:pPr>
        <w:pStyle w:val="a3"/>
        <w:spacing w:before="0" w:beforeAutospacing="0" w:after="0" w:afterAutospacing="0"/>
        <w:ind w:left="475"/>
        <w:jc w:val="center"/>
        <w:rPr>
          <w:sz w:val="20"/>
          <w:szCs w:val="20"/>
        </w:rPr>
      </w:pPr>
      <w:r>
        <w:rPr>
          <w:b/>
          <w:bCs/>
          <w:sz w:val="20"/>
          <w:szCs w:val="20"/>
        </w:rPr>
        <w:t>NOTES TO CONSOLIDATED FINANCIAL STATEMENTS</w:t>
      </w:r>
    </w:p>
    <w:p w:rsidR="00000000" w:rsidRDefault="00B30BA7">
      <w:pPr>
        <w:pStyle w:val="a3"/>
        <w:spacing w:before="0" w:beforeAutospacing="0" w:after="0" w:afterAutospacing="0"/>
        <w:ind w:left="475"/>
        <w:jc w:val="center"/>
        <w:rPr>
          <w:sz w:val="20"/>
          <w:szCs w:val="20"/>
        </w:rPr>
      </w:pPr>
      <w:r>
        <w:rPr>
          <w:b/>
          <w:bCs/>
          <w:sz w:val="20"/>
          <w:szCs w:val="20"/>
        </w:rPr>
        <w:t>AS OF AND FOR THE YEARS ENDED DECEMBER 31, 2021 AND 2020</w:t>
      </w:r>
    </w:p>
    <w:p w:rsidR="00000000" w:rsidRDefault="00B30BA7">
      <w:pPr>
        <w:pStyle w:val="a3"/>
        <w:spacing w:before="0" w:beforeAutospacing="0" w:after="0" w:afterAutospacing="0"/>
        <w:ind w:left="475"/>
        <w:jc w:val="center"/>
        <w:rPr>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1.</w:t>
      </w:r>
      <w:r>
        <w:rPr>
          <w:b/>
          <w:bCs/>
          <w:caps/>
          <w:sz w:val="20"/>
          <w:szCs w:val="20"/>
        </w:rPr>
        <w:t xml:space="preserve"> </w:t>
      </w:r>
      <w:r>
        <w:rPr>
          <w:b/>
          <w:bCs/>
          <w:caps/>
          <w:sz w:val="20"/>
          <w:szCs w:val="20"/>
        </w:rPr>
        <w:t>ORGANIZATION AND BUSINES</w:t>
      </w:r>
      <w:r>
        <w:rPr>
          <w:b/>
          <w:bCs/>
          <w:caps/>
          <w:sz w:val="20"/>
          <w:szCs w:val="20"/>
        </w:rPr>
        <w: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CareCloud, </w:t>
      </w:r>
      <w:r>
        <w:rPr>
          <w:sz w:val="20"/>
          <w:szCs w:val="20"/>
        </w:rPr>
        <w:t>Inc., formerly MTBC, Inc. (“CareCloud”, and together with its consolidated subsidiaries, the “Company,” “we,” “us” and/or “our”) is a healthcare information technology company that provides a full suite of proprietary cloud-based solutions, together with r</w:t>
      </w:r>
      <w:r>
        <w:rPr>
          <w:sz w:val="20"/>
          <w:szCs w:val="20"/>
        </w:rPr>
        <w:t>elated business services, to healthcare providers and hospitals throughout the United States. The Company’s integrated services are designed to help customers increase revenues, streamline workflows and make better business and clinical decisions, while re</w:t>
      </w:r>
      <w:r>
        <w:rPr>
          <w:sz w:val="20"/>
          <w:szCs w:val="20"/>
        </w:rPr>
        <w:t>ducing administrative burdens and operating costs. Our Software-as-a-Service (“SaaS”) platform includes revenue cycle management (“RCM”), practice management (“PM”), electronic health record (“EHR”), business intelligence, telehealth, patient experience ma</w:t>
      </w:r>
      <w:r>
        <w:rPr>
          <w:sz w:val="20"/>
          <w:szCs w:val="20"/>
        </w:rPr>
        <w:t>nagement (“PXM”) solutions and complementary software tools and business services for high-performance medical groups and health systems. CareCloud has its corporate offices in Somerset, New Jersey and maintains client support teams throughout the U.S., an</w:t>
      </w:r>
      <w:r>
        <w:rPr>
          <w:sz w:val="20"/>
          <w:szCs w:val="20"/>
        </w:rPr>
        <w:t>d offshore offices in Pakistan and Azad Jammu and Kashmir, a region administered by Pakistan (the “Pakistan Offices”), and in Sri Lanka.</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caps/>
          <w:sz w:val="20"/>
          <w:szCs w:val="20"/>
        </w:rPr>
      </w:pPr>
      <w:r>
        <w:rPr>
          <w:sz w:val="20"/>
          <w:szCs w:val="20"/>
        </w:rPr>
        <w:t xml:space="preserve">CareCloud was founded in 1999 under the name Medical Transcription Billing, Corp. and incorporated under the laws of </w:t>
      </w:r>
      <w:r>
        <w:rPr>
          <w:sz w:val="20"/>
          <w:szCs w:val="20"/>
        </w:rPr>
        <w:t>the State of Delaware in 2001. In 2004, the Company formed MTBC Private Limited (or “MTBC Pvt. Ltd.”), a</w:t>
      </w:r>
      <w:r>
        <w:rPr>
          <w:sz w:val="20"/>
          <w:szCs w:val="20"/>
        </w:rPr>
        <w:t xml:space="preserve"> </w:t>
      </w:r>
      <w:r>
        <w:rPr>
          <w:sz w:val="20"/>
          <w:szCs w:val="20"/>
        </w:rPr>
        <w:t>99.</w:t>
      </w:r>
      <w:r>
        <w:rPr>
          <w:sz w:val="20"/>
          <w:szCs w:val="20"/>
        </w:rPr>
        <w:t>9</w:t>
      </w:r>
      <w:r>
        <w:rPr>
          <w:sz w:val="20"/>
          <w:szCs w:val="20"/>
        </w:rPr>
        <w:t>% majority-owned subsidiary of CareCloud based in Pakistan. The remaining</w:t>
      </w:r>
      <w:r>
        <w:rPr>
          <w:sz w:val="20"/>
          <w:szCs w:val="20"/>
        </w:rPr>
        <w:t xml:space="preserve"> </w:t>
      </w:r>
      <w:r>
        <w:rPr>
          <w:sz w:val="20"/>
          <w:szCs w:val="20"/>
        </w:rPr>
        <w:t>0.</w:t>
      </w:r>
      <w:r>
        <w:rPr>
          <w:sz w:val="20"/>
          <w:szCs w:val="20"/>
        </w:rPr>
        <w:t>1</w:t>
      </w:r>
      <w:r>
        <w:rPr>
          <w:sz w:val="20"/>
          <w:szCs w:val="20"/>
        </w:rPr>
        <w:t>% of the shares of MTBC Pvt. Ltd. is owned by the founder and Executiv</w:t>
      </w:r>
      <w:r>
        <w:rPr>
          <w:sz w:val="20"/>
          <w:szCs w:val="20"/>
        </w:rPr>
        <w:t>e Chairman of CareCloud. In 2016, the Company formed MTBC Acquisition Corp. (“MAC”), a Delaware corporation, in connection with its acquisition of substantially all of the assets of MediGain, LLC and its subsidiary, Millennium Practice Management Associate</w:t>
      </w:r>
      <w:r>
        <w:rPr>
          <w:sz w:val="20"/>
          <w:szCs w:val="20"/>
        </w:rPr>
        <w:t>s, LLC (together “MediGain”). MAC has a wholly owned subsidiary in Sri Lanka, RCM MediGain Colombo, Pvt. Ltd. In May 2018, the Company formed CareCloud Practice Management, Corp. (“CPM”), a Delaware corporation, to operate the medical practice management b</w:t>
      </w:r>
      <w:r>
        <w:rPr>
          <w:sz w:val="20"/>
          <w:szCs w:val="20"/>
        </w:rPr>
        <w:t>usiness acquired from Orion Healthcorp.</w:t>
      </w:r>
    </w:p>
    <w:p w:rsidR="00000000" w:rsidRDefault="00B30BA7">
      <w:pPr>
        <w:pStyle w:val="a3"/>
        <w:spacing w:before="0" w:beforeAutospacing="0" w:after="0" w:afterAutospacing="0"/>
        <w:jc w:val="both"/>
        <w:rPr>
          <w:caps/>
          <w:sz w:val="20"/>
          <w:szCs w:val="20"/>
        </w:rPr>
      </w:pPr>
      <w:r>
        <w:rPr>
          <w:sz w:val="20"/>
          <w:szCs w:val="20"/>
        </w:rPr>
        <w:t> </w:t>
      </w:r>
    </w:p>
    <w:p w:rsidR="00000000" w:rsidRDefault="00B30BA7">
      <w:pPr>
        <w:pStyle w:val="a3"/>
        <w:spacing w:before="0" w:beforeAutospacing="0" w:after="0" w:afterAutospacing="0"/>
        <w:jc w:val="both"/>
        <w:rPr>
          <w:caps/>
          <w:sz w:val="20"/>
          <w:szCs w:val="20"/>
        </w:rPr>
      </w:pPr>
      <w:r>
        <w:rPr>
          <w:sz w:val="20"/>
          <w:szCs w:val="20"/>
        </w:rPr>
        <w:t>In January 2020, the Company purchased CareCloud Corporation, a company whose name we took. That company is now known as CareCloud Health, Inc. (“CCH”). In June 2020, the Company purchased Meridian Billing Manageme</w:t>
      </w:r>
      <w:r>
        <w:rPr>
          <w:sz w:val="20"/>
          <w:szCs w:val="20"/>
        </w:rPr>
        <w:t>nt Co. and its affiliate Origin Holdings, Inc. (collectively “Meridian” and sometimes referred to as “Meridian Medical Management”).</w:t>
      </w:r>
    </w:p>
    <w:p w:rsidR="00000000" w:rsidRDefault="00B30BA7">
      <w:pPr>
        <w:pStyle w:val="a3"/>
        <w:spacing w:before="0" w:beforeAutospacing="0" w:after="0" w:afterAutospacing="0"/>
        <w:jc w:val="both"/>
        <w:rPr>
          <w:caps/>
          <w:sz w:val="20"/>
          <w:szCs w:val="20"/>
        </w:rPr>
      </w:pPr>
      <w:r>
        <w:rPr>
          <w:sz w:val="20"/>
          <w:szCs w:val="20"/>
        </w:rPr>
        <w:t> </w:t>
      </w:r>
    </w:p>
    <w:p w:rsidR="00000000" w:rsidRDefault="00B30BA7">
      <w:pPr>
        <w:pStyle w:val="a3"/>
        <w:spacing w:before="0" w:beforeAutospacing="0" w:after="0" w:afterAutospacing="0"/>
        <w:jc w:val="both"/>
        <w:rPr>
          <w:caps/>
          <w:sz w:val="20"/>
          <w:szCs w:val="20"/>
        </w:rPr>
      </w:pPr>
      <w:r>
        <w:rPr>
          <w:sz w:val="20"/>
          <w:szCs w:val="20"/>
        </w:rPr>
        <w:t xml:space="preserve">During March 2021, the Company formed a new wholly-owned subsidiary, CareCloud Acquisition, Corp. (“CAC”). In June 2021, </w:t>
      </w:r>
      <w:r>
        <w:rPr>
          <w:sz w:val="20"/>
          <w:szCs w:val="20"/>
        </w:rPr>
        <w:t xml:space="preserve">CAC purchased certain assets and assumed certain liabilities of MedMatica Consulting Associates Inc., (“MedMatica”) and purchased the stock of Santa Rosa Staffing, Inc., (“SRS”). The assets and liabilities of MedMatica were merged into SRS and the company </w:t>
      </w:r>
      <w:r>
        <w:rPr>
          <w:sz w:val="20"/>
          <w:szCs w:val="20"/>
        </w:rPr>
        <w:t>was renamed medSR, Inc. (“medSR”). See Note 3.</w:t>
      </w:r>
    </w:p>
    <w:p w:rsidR="00000000" w:rsidRDefault="00B30BA7">
      <w:pPr>
        <w:pStyle w:val="a3"/>
        <w:spacing w:before="0" w:beforeAutospacing="0" w:after="0" w:afterAutospacing="0"/>
        <w:jc w:val="both"/>
        <w:rPr>
          <w:caps/>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2.</w:t>
      </w:r>
      <w:r>
        <w:rPr>
          <w:b/>
          <w:bCs/>
          <w:caps/>
          <w:sz w:val="20"/>
          <w:szCs w:val="20"/>
        </w:rPr>
        <w:t xml:space="preserve"> </w:t>
      </w:r>
      <w:r>
        <w:rPr>
          <w:b/>
          <w:bCs/>
          <w:caps/>
          <w:sz w:val="20"/>
          <w:szCs w:val="20"/>
        </w:rPr>
        <w:t>SIGNIFICANT ACCOUNTING POLICIE</w:t>
      </w:r>
      <w:r>
        <w:rPr>
          <w:b/>
          <w:bCs/>
          <w:caps/>
          <w:sz w:val="20"/>
          <w:szCs w:val="20"/>
        </w:rPr>
        <w:t>S</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Principles of Consolidatio</w:t>
      </w:r>
      <w:r>
        <w:rPr>
          <w:b/>
          <w:bCs/>
          <w:sz w:val="20"/>
          <w:szCs w:val="20"/>
        </w:rPr>
        <w:t>n</w:t>
      </w:r>
      <w:r>
        <w:rPr>
          <w:sz w:val="20"/>
          <w:szCs w:val="20"/>
        </w:rPr>
        <w:t xml:space="preserve"> — </w:t>
      </w:r>
      <w:r>
        <w:rPr>
          <w:sz w:val="20"/>
          <w:szCs w:val="20"/>
        </w:rPr>
        <w:t>The accompanying consolidated financial statements have been prepared in accordance with accounting principles generally accepted in the United States of America (“GAAP”) and include the operating results and financial condition of CareCloud, its wholly-ow</w:t>
      </w:r>
      <w:r>
        <w:rPr>
          <w:sz w:val="20"/>
          <w:szCs w:val="20"/>
        </w:rPr>
        <w:t>ned subsidiaries; MAC, CPM, its majority-owned subsidiary MTBC Pvt. Ltd, CCH (since January 2020), Meridian Medical Management (since June 2020), medSR (since June 2021) and the subsidiary in Sri Lanka. The non-controlling interest of MTBC Pvt. Ltd. is inc</w:t>
      </w:r>
      <w:r>
        <w:rPr>
          <w:sz w:val="20"/>
          <w:szCs w:val="20"/>
        </w:rPr>
        <w:t>onsequential to the consolidated financial statements. All intercompany accounts and transactions have been eliminated in consolidation.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Segment Reportin</w:t>
      </w:r>
      <w:r>
        <w:rPr>
          <w:b/>
          <w:bCs/>
          <w:sz w:val="20"/>
          <w:szCs w:val="20"/>
        </w:rPr>
        <w:t>g</w:t>
      </w:r>
      <w:r>
        <w:rPr>
          <w:sz w:val="20"/>
          <w:szCs w:val="20"/>
        </w:rPr>
        <w:t xml:space="preserve"> — The Company views its operations as comprising two operating segments, Healthcare IT and Practice</w:t>
      </w:r>
      <w:r>
        <w:rPr>
          <w:sz w:val="20"/>
          <w:szCs w:val="20"/>
        </w:rPr>
        <w:t xml:space="preserve"> Management. The chief operating decision maker (“CODM”) monitors and reviews financial information at these segment levels for assessing operating results and the allocation of resources.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Use of Estimate</w:t>
      </w:r>
      <w:r>
        <w:rPr>
          <w:b/>
          <w:bCs/>
          <w:sz w:val="20"/>
          <w:szCs w:val="20"/>
        </w:rPr>
        <w:t>s</w:t>
      </w:r>
      <w:r>
        <w:rPr>
          <w:sz w:val="20"/>
          <w:szCs w:val="20"/>
        </w:rPr>
        <w:t xml:space="preserve"> — The preparation of consolidated financial stat</w:t>
      </w:r>
      <w:r>
        <w:rPr>
          <w:sz w:val="20"/>
          <w:szCs w:val="20"/>
        </w:rPr>
        <w:t>ements in conformity with GAAP requires management to make estimates and assumptions that affect the reported amounts of assets and liabilities at the date of the consolidated financial statements, as well as the reported amounts of revenues and expenses d</w:t>
      </w:r>
      <w:r>
        <w:rPr>
          <w:sz w:val="20"/>
          <w:szCs w:val="20"/>
        </w:rPr>
        <w:t>uring the reporting period. Significant estimates and assumptions made by management include, but are not limited to: (1) impairment of long-lived assets, (2) depreciable lives of assets, (3) allowance for doubtful accounts, (4) contingent consideration, (</w:t>
      </w:r>
      <w:r>
        <w:rPr>
          <w:sz w:val="20"/>
          <w:szCs w:val="20"/>
        </w:rPr>
        <w:t>5) estimates of variable consideration related to the contract asset, (6) fair value of identifiable purchased tangible and intangible assets, including determination of expected customer life, (7) stock-based compensation, and (8) estimating lease terms a</w:t>
      </w:r>
      <w:r>
        <w:rPr>
          <w:sz w:val="20"/>
          <w:szCs w:val="20"/>
        </w:rPr>
        <w:t>nd incremental borrowing rates. Actual results could significantly differ from those estimates.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71935958"/>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sz w:val="20"/>
          <w:szCs w:val="20"/>
        </w:rPr>
        <w:t>Revenue Recognitio</w:t>
      </w:r>
      <w:r>
        <w:rPr>
          <w:b/>
          <w:bCs/>
          <w:sz w:val="20"/>
          <w:szCs w:val="20"/>
        </w:rPr>
        <w:t>n</w:t>
      </w:r>
      <w:r>
        <w:rPr>
          <w:b/>
          <w:bCs/>
          <w:sz w:val="20"/>
          <w:szCs w:val="20"/>
        </w:rPr>
        <w:t xml:space="preserve"> </w:t>
      </w:r>
      <w:r>
        <w:rPr>
          <w:sz w:val="20"/>
          <w:szCs w:val="20"/>
        </w:rPr>
        <w:t>— We derive revenue from five primary sources: (1) technology-enabled business solutions, (2) professional services, (3) print</w:t>
      </w:r>
      <w:r>
        <w:rPr>
          <w:sz w:val="20"/>
          <w:szCs w:val="20"/>
        </w:rPr>
        <w:t>ing and mailing services, (4) group purchasing services and (5) medical practice management services. All of our revenue arrangements are based on contracts with customers. Most of our contracts with customers contain single performance obligations, althou</w:t>
      </w:r>
      <w:r>
        <w:rPr>
          <w:sz w:val="20"/>
          <w:szCs w:val="20"/>
        </w:rPr>
        <w:t>gh certain contracts do contain multiple performance obligations where we perform more than one service for the same customer. We account for individual performance obligations separately if they are distinct within the context of the contract. For contrac</w:t>
      </w:r>
      <w:r>
        <w:rPr>
          <w:sz w:val="20"/>
          <w:szCs w:val="20"/>
        </w:rPr>
        <w:t>ts where we provide multiple services such as where we perform multiple ancillary services, each service represents its own performance obligation. Selling or transaction prices are based on the contractual prices for each service at its stand-alone sellin</w:t>
      </w:r>
      <w:r>
        <w:rPr>
          <w:sz w:val="20"/>
          <w:szCs w:val="20"/>
        </w:rPr>
        <w:t>g price.</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A five-step approach is applied in the recognition of revenue under ASC 606: (1) identify the contract with a customer, (2) identify the performance obligations in the contract, (3) determine the transaction price, (4) allocate the transaction p</w:t>
      </w:r>
      <w:r>
        <w:rPr>
          <w:sz w:val="20"/>
          <w:szCs w:val="20"/>
        </w:rPr>
        <w:t>rice to the performance obligations in the contract, and (5) recognize revenue when we satisfy a performance obligation.</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Although </w:t>
      </w:r>
      <w:r>
        <w:rPr>
          <w:sz w:val="20"/>
          <w:szCs w:val="20"/>
        </w:rPr>
        <w:t>we believe that our approach to estimates and judgments is reasonable, actual results could differ, and we may be exposed to increases or decreases in revenue that could be material. Our estimates of variable consideration may prove to be inaccurate, in wh</w:t>
      </w:r>
      <w:r>
        <w:rPr>
          <w:sz w:val="20"/>
          <w:szCs w:val="20"/>
        </w:rPr>
        <w:t>ich case we may have understated or overstated the revenue recognized in a reporting period. The amount of variable consideration recognized to date that remains subject to estimation is included within the contract asset within the consolidated balance sh</w:t>
      </w:r>
      <w:r>
        <w:rPr>
          <w:sz w:val="20"/>
          <w:szCs w:val="20"/>
        </w:rPr>
        <w:t>eet.</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Payment of invoices is due as specified in the underlying customer agreement, typically 30 days from the invoice date, which occurs on the date of transfer of control of the services to the customer. Since payment terms are less than a year, we have</w:t>
      </w:r>
      <w:r>
        <w:rPr>
          <w:sz w:val="20"/>
          <w:szCs w:val="20"/>
        </w:rPr>
        <w:t xml:space="preserve"> elected the practical expedient and do not assess whether a customer contract has a significant financing component.</w:t>
      </w:r>
    </w:p>
    <w:p w:rsidR="00000000" w:rsidRDefault="00B30BA7">
      <w:pPr>
        <w:pStyle w:val="a3"/>
        <w:spacing w:before="0" w:beforeAutospacing="0" w:after="0" w:afterAutospacing="0"/>
        <w:jc w:val="both"/>
        <w:rPr>
          <w:sz w:val="20"/>
          <w:szCs w:val="20"/>
        </w:rPr>
      </w:pPr>
      <w:r>
        <w:rPr>
          <w:i/>
          <w:iCs/>
          <w:sz w:val="20"/>
          <w:szCs w:val="20"/>
        </w:rPr>
        <w:t> </w:t>
      </w:r>
    </w:p>
    <w:p w:rsidR="00000000" w:rsidRDefault="00B30BA7">
      <w:pPr>
        <w:pStyle w:val="a3"/>
        <w:spacing w:before="0" w:beforeAutospacing="0" w:after="0" w:afterAutospacing="0"/>
        <w:jc w:val="both"/>
        <w:rPr>
          <w:sz w:val="20"/>
          <w:szCs w:val="20"/>
        </w:rPr>
      </w:pPr>
      <w:r>
        <w:rPr>
          <w:sz w:val="20"/>
          <w:szCs w:val="20"/>
        </w:rPr>
        <w:t>The Company’s revenue arrangements generally do not include a general right of refund for services provided (See Note 9, Revenue, for ad</w:t>
      </w:r>
      <w:r>
        <w:rPr>
          <w:sz w:val="20"/>
          <w:szCs w:val="20"/>
        </w:rPr>
        <w:t>ditional information).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Direct Operating Cost</w:t>
      </w:r>
      <w:r>
        <w:rPr>
          <w:b/>
          <w:bCs/>
          <w:sz w:val="20"/>
          <w:szCs w:val="20"/>
        </w:rPr>
        <w:t>s</w:t>
      </w:r>
      <w:r>
        <w:rPr>
          <w:sz w:val="20"/>
          <w:szCs w:val="20"/>
        </w:rPr>
        <w:t xml:space="preserve"> — Direct operating costs consist primarily of salaries and benefits related to personnel who provide services to clients and at our managed medical practices, claims processing costs, medical supplies at our </w:t>
      </w:r>
      <w:r>
        <w:rPr>
          <w:sz w:val="20"/>
          <w:szCs w:val="20"/>
        </w:rPr>
        <w:t>managed practices and other direct costs related to the Company’s services. Costs associated with the implementation of new clients are expensed as incurred. The reported amounts of direct operating costs include allocated amounts for rent expense and over</w:t>
      </w:r>
      <w:r>
        <w:rPr>
          <w:sz w:val="20"/>
          <w:szCs w:val="20"/>
        </w:rPr>
        <w:t>head costs.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Selling and Marketing Expense</w:t>
      </w:r>
      <w:r>
        <w:rPr>
          <w:b/>
          <w:bCs/>
          <w:sz w:val="20"/>
          <w:szCs w:val="20"/>
        </w:rPr>
        <w:t>s</w:t>
      </w:r>
      <w:r>
        <w:rPr>
          <w:sz w:val="20"/>
          <w:szCs w:val="20"/>
        </w:rPr>
        <w:t xml:space="preserve"> — Selling and marketing expenses consist primarily of compensation and benefits, travel and advertising expenses and are expensed as incurred. The Company incurred approximately </w:t>
      </w:r>
      <w:r>
        <w:rPr>
          <w:sz w:val="20"/>
          <w:szCs w:val="20"/>
        </w:rPr>
        <w:t>$</w:t>
      </w:r>
      <w:r>
        <w:rPr>
          <w:sz w:val="20"/>
          <w:szCs w:val="20"/>
        </w:rPr>
        <w:t>3.</w:t>
      </w:r>
      <w:r>
        <w:rPr>
          <w:sz w:val="20"/>
          <w:szCs w:val="20"/>
        </w:rPr>
        <w:t>9</w:t>
      </w:r>
      <w:r>
        <w:rPr>
          <w:sz w:val="20"/>
          <w:szCs w:val="20"/>
        </w:rPr>
        <w:t xml:space="preserve"> million and </w:t>
      </w:r>
      <w:r>
        <w:rPr>
          <w:sz w:val="20"/>
          <w:szCs w:val="20"/>
        </w:rPr>
        <w:t>$</w:t>
      </w:r>
      <w:r>
        <w:rPr>
          <w:sz w:val="20"/>
          <w:szCs w:val="20"/>
        </w:rPr>
        <w:t>2.</w:t>
      </w:r>
      <w:r>
        <w:rPr>
          <w:sz w:val="20"/>
          <w:szCs w:val="20"/>
        </w:rPr>
        <w:t>1</w:t>
      </w:r>
      <w:r>
        <w:rPr>
          <w:sz w:val="20"/>
          <w:szCs w:val="20"/>
        </w:rPr>
        <w:t xml:space="preserve"> million of </w:t>
      </w:r>
      <w:r>
        <w:rPr>
          <w:sz w:val="20"/>
          <w:szCs w:val="20"/>
        </w:rPr>
        <w:t>advertising costs for the years ended December 31, 2021 and 2020, respectively.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Research and Development Expense</w:t>
      </w:r>
      <w:r>
        <w:rPr>
          <w:b/>
          <w:bCs/>
          <w:sz w:val="20"/>
          <w:szCs w:val="20"/>
        </w:rPr>
        <w:t>s</w:t>
      </w:r>
      <w:r>
        <w:rPr>
          <w:sz w:val="20"/>
          <w:szCs w:val="20"/>
        </w:rPr>
        <w:t xml:space="preserve"> — Research and development expenses consist primarily of personnel-related costs incurred performing market research, analyzing proposed pro</w:t>
      </w:r>
      <w:r>
        <w:rPr>
          <w:sz w:val="20"/>
          <w:szCs w:val="20"/>
        </w:rPr>
        <w:t>ducts and developing new products.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Internal-Use Software Cost</w:t>
      </w:r>
      <w:r>
        <w:rPr>
          <w:b/>
          <w:bCs/>
          <w:sz w:val="20"/>
          <w:szCs w:val="20"/>
        </w:rPr>
        <w:t>s</w:t>
      </w:r>
      <w:r>
        <w:rPr>
          <w:sz w:val="20"/>
          <w:szCs w:val="20"/>
        </w:rPr>
        <w:t xml:space="preserve"> — The Company capitalizes certain development costs incurred in connection with its internal-use software. Costs incurred in the preliminary stages of development are expensed as incurred. On</w:t>
      </w:r>
      <w:r>
        <w:rPr>
          <w:sz w:val="20"/>
          <w:szCs w:val="20"/>
        </w:rPr>
        <w:t xml:space="preserve">ce an application has reached the development stage, internal and external costs, if direct, are capitalized until the software is substantially complete and ready for its intended use. Capitalization ceases upon completion of all substantial testing. The </w:t>
      </w:r>
      <w:r>
        <w:rPr>
          <w:sz w:val="20"/>
          <w:szCs w:val="20"/>
        </w:rPr>
        <w:t>Company also capitalizes costs related to specific upgrades and enhancements when it is probable that the expenditures will result in additional functionality. Capitalized costs are recorded as part of intangible assets in the accompanying consolidated bal</w:t>
      </w:r>
      <w:r>
        <w:rPr>
          <w:sz w:val="20"/>
          <w:szCs w:val="20"/>
        </w:rPr>
        <w:t>ance sheets. Maintenance and training costs are expensed as incurred. Internal use software is amortized on a straight line basis over its estimated useful life, generally three years. Management evaluates the useful lives of these assets on an annual basi</w:t>
      </w:r>
      <w:r>
        <w:rPr>
          <w:sz w:val="20"/>
          <w:szCs w:val="20"/>
        </w:rPr>
        <w:t xml:space="preserve">s and tests for impairment whenever events or changes in circumstances occur that could impact the recoverability of these assets. During the years ended December 31, 2021 and 2020, the Company capitalized approximately </w:t>
      </w:r>
      <w:r>
        <w:rPr>
          <w:sz w:val="20"/>
          <w:szCs w:val="20"/>
        </w:rPr>
        <w:t>$</w:t>
      </w:r>
      <w:r>
        <w:rPr>
          <w:sz w:val="20"/>
          <w:szCs w:val="20"/>
        </w:rPr>
        <w:t>7.6</w:t>
      </w:r>
      <w:r>
        <w:rPr>
          <w:sz w:val="20"/>
          <w:szCs w:val="20"/>
        </w:rPr>
        <w:t xml:space="preserve"> </w:t>
      </w:r>
      <w:r>
        <w:rPr>
          <w:sz w:val="20"/>
          <w:szCs w:val="20"/>
        </w:rPr>
        <w:t xml:space="preserve">million and </w:t>
      </w:r>
      <w:r>
        <w:rPr>
          <w:sz w:val="20"/>
          <w:szCs w:val="20"/>
        </w:rPr>
        <w:t>$</w:t>
      </w:r>
      <w:r>
        <w:rPr>
          <w:sz w:val="20"/>
          <w:szCs w:val="20"/>
        </w:rPr>
        <w:t>5.2</w:t>
      </w:r>
      <w:r>
        <w:rPr>
          <w:sz w:val="20"/>
          <w:szCs w:val="20"/>
        </w:rPr>
        <w:t xml:space="preserve"> </w:t>
      </w:r>
      <w:r>
        <w:rPr>
          <w:sz w:val="20"/>
          <w:szCs w:val="20"/>
        </w:rPr>
        <w:t>million, respe</w:t>
      </w:r>
      <w:r>
        <w:rPr>
          <w:sz w:val="20"/>
          <w:szCs w:val="20"/>
        </w:rPr>
        <w:t>ctively, primarily consisting of salaries and payroll-related costs of employees and consultants who devoted time to the development of internal-use software projects.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50176683"/>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Accounts Receivabl</w:t>
      </w:r>
      <w:r>
        <w:rPr>
          <w:b/>
          <w:bCs/>
          <w:sz w:val="20"/>
          <w:szCs w:val="20"/>
        </w:rPr>
        <w:t>e</w:t>
      </w:r>
      <w:r>
        <w:rPr>
          <w:sz w:val="20"/>
          <w:szCs w:val="20"/>
        </w:rPr>
        <w:t xml:space="preserve"> — </w:t>
      </w:r>
      <w:r>
        <w:rPr>
          <w:sz w:val="20"/>
          <w:szCs w:val="20"/>
        </w:rPr>
        <w:t>Accounts receivable are stated at their net realizable value. Accounts receivable are presented on the consolidated balance sheet net of an allowance for doubtful accounts, which is established based on reviews of the accounts receivable aging, an assessme</w:t>
      </w:r>
      <w:r>
        <w:rPr>
          <w:sz w:val="20"/>
          <w:szCs w:val="20"/>
        </w:rPr>
        <w:t>nt of the customers’ history and current creditworthiness and the probability of collection. Accounts are written off when it is determined that collection of the outstanding balance is no longer probable.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movement in the allowance for doubtful accou</w:t>
      </w:r>
      <w:r>
        <w:rPr>
          <w:sz w:val="20"/>
          <w:szCs w:val="20"/>
        </w:rPr>
        <w:t>nts for the years ended December 31, 2021 and 2020 was as follows:</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SCHEDULE OF ALLOWANCE FOR DOUBTFUL ACCOUNT</w:t>
      </w:r>
      <w:r>
        <w:rPr>
          <w:vanish/>
          <w:sz w:val="20"/>
          <w:szCs w:val="20"/>
        </w:rPr>
        <w:t>S</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rPr>
          <w:hidden/>
        </w:trPr>
        <w:tc>
          <w:tcPr>
            <w:tcW w:w="0" w:type="auto"/>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2020</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 Beginning balance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522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256</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Provision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890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369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Recoveries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268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Write-offs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(944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(371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Ending balance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537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522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Property and Equipmen</w:t>
      </w:r>
      <w:r>
        <w:rPr>
          <w:b/>
          <w:bCs/>
          <w:sz w:val="20"/>
          <w:szCs w:val="20"/>
        </w:rPr>
        <w:t>t</w:t>
      </w:r>
      <w:r>
        <w:rPr>
          <w:sz w:val="20"/>
          <w:szCs w:val="20"/>
        </w:rPr>
        <w:t xml:space="preserve"> — Property and equipment are </w:t>
      </w:r>
      <w:r>
        <w:rPr>
          <w:sz w:val="20"/>
          <w:szCs w:val="20"/>
        </w:rPr>
        <w:t xml:space="preserve">stated at cost, less accumulated depreciation. Depreciation is calculated using the straight-line basis over the estimated useful lives of the assets ranging from three to five years. Ordinary maintenance and repairs are expensed as incurred. Depreciation </w:t>
      </w:r>
      <w:r>
        <w:rPr>
          <w:sz w:val="20"/>
          <w:szCs w:val="20"/>
        </w:rPr>
        <w:t>for computers is calculated over three years, while the remaining assets (except leasehold improvements) are depreciated over five years. The Company amortizes leasehold improvements over the lesser of the lease term or the remaining economic life of those</w:t>
      </w:r>
      <w:r>
        <w:rPr>
          <w:sz w:val="20"/>
          <w:szCs w:val="20"/>
        </w:rPr>
        <w:t xml:space="preserve"> assets. Generally, the lease term is the base lease term plus certain renewal option periods for which renewal is reasonably certain and for which failure to exercise the renewal option would result in an economic penalty to the Company.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Intangible Asse</w:t>
      </w:r>
      <w:r>
        <w:rPr>
          <w:b/>
          <w:bCs/>
          <w:sz w:val="20"/>
          <w:szCs w:val="20"/>
        </w:rPr>
        <w:t>t</w:t>
      </w:r>
      <w:r>
        <w:rPr>
          <w:b/>
          <w:bCs/>
          <w:sz w:val="20"/>
          <w:szCs w:val="20"/>
        </w:rPr>
        <w:t>s</w:t>
      </w:r>
      <w:r>
        <w:rPr>
          <w:sz w:val="20"/>
          <w:szCs w:val="20"/>
        </w:rPr>
        <w:t xml:space="preserve"> — Intangible assets include customer relationships, covenants not-to-compete acquired in connection with acquisitions, software purchase and development costs and trademarks acquired. Amortization for intangible assets related to revenue cycle managemen</w:t>
      </w:r>
      <w:r>
        <w:rPr>
          <w:sz w:val="20"/>
          <w:szCs w:val="20"/>
        </w:rPr>
        <w:t>t is recorded primarily using the double declining balance method over three to four years. Amortization for intangible assets related to the group purchasing organization and practice management is recorded on a straight line basis over four and twelve ye</w:t>
      </w:r>
      <w:r>
        <w:rPr>
          <w:sz w:val="20"/>
          <w:szCs w:val="20"/>
        </w:rPr>
        <w:t>ars, respectively.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Evaluation of Long-Lived Asset</w:t>
      </w:r>
      <w:r>
        <w:rPr>
          <w:b/>
          <w:bCs/>
          <w:sz w:val="20"/>
          <w:szCs w:val="20"/>
        </w:rPr>
        <w:t>s</w:t>
      </w:r>
      <w:r>
        <w:rPr>
          <w:b/>
          <w:bCs/>
          <w:sz w:val="20"/>
          <w:szCs w:val="20"/>
        </w:rPr>
        <w:t xml:space="preserve"> </w:t>
      </w:r>
      <w:r>
        <w:rPr>
          <w:sz w:val="20"/>
          <w:szCs w:val="20"/>
        </w:rPr>
        <w:t xml:space="preserve">— The Company reviews its long-lived assets for impairment whenever changes in circumstances indicate </w:t>
      </w:r>
      <w:r>
        <w:rPr>
          <w:sz w:val="20"/>
          <w:szCs w:val="20"/>
        </w:rPr>
        <w:t>that the carrying value of an asset may not be recoverable. If the sum of undiscounted expected future cash flows is less than the carrying amount of the asset group, the Company will recognize an impairment loss based on the fair value of the asset.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w:t>
      </w:r>
      <w:r>
        <w:rPr>
          <w:sz w:val="20"/>
          <w:szCs w:val="20"/>
        </w:rPr>
        <w:t xml:space="preserve">re was no impairment of internal-use software costs, intangible assets or property and equipment during the years ended December 31, 2021 and 2020, other than the impairment recorded on right-of-use (“ROU”) assets of approximately </w:t>
      </w:r>
      <w:r>
        <w:rPr>
          <w:sz w:val="20"/>
          <w:szCs w:val="20"/>
        </w:rPr>
        <w:t>$</w:t>
      </w:r>
      <w:r>
        <w:rPr>
          <w:sz w:val="20"/>
          <w:szCs w:val="20"/>
        </w:rPr>
        <w:t>68,00</w:t>
      </w:r>
      <w:r>
        <w:rPr>
          <w:sz w:val="20"/>
          <w:szCs w:val="20"/>
        </w:rPr>
        <w:t>0</w:t>
      </w:r>
      <w:r>
        <w:rPr>
          <w:sz w:val="20"/>
          <w:szCs w:val="20"/>
        </w:rPr>
        <w:t xml:space="preserve"> and </w:t>
      </w:r>
      <w:r>
        <w:rPr>
          <w:sz w:val="20"/>
          <w:szCs w:val="20"/>
        </w:rPr>
        <w:t>$</w:t>
      </w:r>
      <w:r>
        <w:rPr>
          <w:sz w:val="20"/>
          <w:szCs w:val="20"/>
        </w:rPr>
        <w:t>298,00</w:t>
      </w:r>
      <w:r>
        <w:rPr>
          <w:sz w:val="20"/>
          <w:szCs w:val="20"/>
        </w:rPr>
        <w:t>0</w:t>
      </w:r>
      <w:r>
        <w:rPr>
          <w:sz w:val="20"/>
          <w:szCs w:val="20"/>
        </w:rPr>
        <w:t xml:space="preserve"> for </w:t>
      </w:r>
      <w:r>
        <w:rPr>
          <w:sz w:val="20"/>
          <w:szCs w:val="20"/>
        </w:rPr>
        <w:t xml:space="preserve">the years ended December 31, 2021 and 2020, respectively. In addition, during the year ended December 31, 2021 the Company recorded approximately </w:t>
      </w:r>
      <w:r>
        <w:rPr>
          <w:sz w:val="20"/>
          <w:szCs w:val="20"/>
        </w:rPr>
        <w:t>$</w:t>
      </w:r>
      <w:r>
        <w:rPr>
          <w:sz w:val="20"/>
          <w:szCs w:val="20"/>
        </w:rPr>
        <w:t>774,00</w:t>
      </w:r>
      <w:r>
        <w:rPr>
          <w:sz w:val="20"/>
          <w:szCs w:val="20"/>
        </w:rPr>
        <w:t>0</w:t>
      </w:r>
      <w:r>
        <w:rPr>
          <w:sz w:val="20"/>
          <w:szCs w:val="20"/>
        </w:rPr>
        <w:t xml:space="preserve"> of impairment charges on a vendor contract.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Goodwill</w:t>
      </w:r>
      <w:r>
        <w:rPr>
          <w:b/>
          <w:bCs/>
          <w:sz w:val="20"/>
          <w:szCs w:val="20"/>
        </w:rPr>
        <w:t xml:space="preserve"> </w:t>
      </w:r>
      <w:r>
        <w:rPr>
          <w:sz w:val="20"/>
          <w:szCs w:val="20"/>
        </w:rPr>
        <w:t>— Goodwill consists of the excess of the purch</w:t>
      </w:r>
      <w:r>
        <w:rPr>
          <w:sz w:val="20"/>
          <w:szCs w:val="20"/>
        </w:rPr>
        <w:t>ase price over the fair value of identifiable net assets of businesses acquired. The Company tests goodwill for impairment annually as of October 31</w:t>
      </w:r>
      <w:r>
        <w:rPr>
          <w:sz w:val="20"/>
          <w:szCs w:val="20"/>
          <w:vertAlign w:val="superscript"/>
        </w:rPr>
        <w:t>st</w:t>
      </w:r>
      <w:r>
        <w:rPr>
          <w:sz w:val="20"/>
          <w:szCs w:val="20"/>
        </w:rPr>
        <w:t>, referred to as the annual test date. Conditions that could trigger a more frequent impairment assessment</w:t>
      </w:r>
      <w:r>
        <w:rPr>
          <w:sz w:val="20"/>
          <w:szCs w:val="20"/>
        </w:rPr>
        <w:t xml:space="preserve"> include, but are not limited to, a significant adverse change to the Company in certain agreements, significant underperformance relative to historical or projected future operating results, loss of customer relationships, an economic downturn in customer</w:t>
      </w:r>
      <w:r>
        <w:rPr>
          <w:sz w:val="20"/>
          <w:szCs w:val="20"/>
        </w:rPr>
        <w:t xml:space="preserve">s’ industries, or increased competition. Impairment testing for goodwill is performed at the reporting-unit level. The Company has determined that its business consists of two operating segments and two reporting units. No impairment charges were recorded </w:t>
      </w:r>
      <w:r>
        <w:rPr>
          <w:sz w:val="20"/>
          <w:szCs w:val="20"/>
        </w:rPr>
        <w:t>during the years ended December 31, 2021 or 2020.</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Treasury Stoc</w:t>
      </w:r>
      <w:r>
        <w:rPr>
          <w:b/>
          <w:bCs/>
          <w:sz w:val="20"/>
          <w:szCs w:val="20"/>
        </w:rPr>
        <w:t>k</w:t>
      </w:r>
      <w:r>
        <w:rPr>
          <w:sz w:val="20"/>
          <w:szCs w:val="20"/>
        </w:rPr>
        <w:t xml:space="preserve"> — Treasury stock is recorded at cost and represents shares repurchased by the Company. No shares were repurchased or issued from treasury stock during the years ended December 31, 2021 and </w:t>
      </w:r>
      <w:r>
        <w:rPr>
          <w:sz w:val="20"/>
          <w:szCs w:val="20"/>
        </w:rPr>
        <w:t>2020.</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Stock-Based Compensatio</w:t>
      </w:r>
      <w:r>
        <w:rPr>
          <w:b/>
          <w:bCs/>
          <w:sz w:val="20"/>
          <w:szCs w:val="20"/>
        </w:rPr>
        <w:t>n</w:t>
      </w:r>
      <w:r>
        <w:rPr>
          <w:b/>
          <w:bCs/>
          <w:sz w:val="20"/>
          <w:szCs w:val="20"/>
        </w:rPr>
        <w:t xml:space="preserve"> </w:t>
      </w:r>
      <w:r>
        <w:rPr>
          <w:sz w:val="20"/>
          <w:szCs w:val="20"/>
        </w:rPr>
        <w:t xml:space="preserve">— The Company recognizes compensation for all share-based payments granted based on the grant date fair value. Compensation expense is generally recognized on a straight-line basis over the vesting period. The Company does </w:t>
      </w:r>
      <w:r>
        <w:rPr>
          <w:sz w:val="20"/>
          <w:szCs w:val="20"/>
        </w:rPr>
        <w:t xml:space="preserve">not estimate forfeitures in recognizing the expense for share-based payments, as historical forfeiture rates have not been significant. </w:t>
      </w:r>
      <w:r>
        <w:rPr>
          <w:color w:val="000000"/>
          <w:sz w:val="20"/>
          <w:szCs w:val="20"/>
        </w:rPr>
        <w:t>For restricted stock units (“RSUs”) classified as equity, the market price of our common stock on the date of grant is u</w:t>
      </w:r>
      <w:r>
        <w:rPr>
          <w:color w:val="000000"/>
          <w:sz w:val="20"/>
          <w:szCs w:val="20"/>
        </w:rPr>
        <w:t>sed in recording the fair value of the award. For RSUs classified as a liability, the earned amount is marked to market based on the end-of-period common stock price.</w:t>
      </w:r>
    </w:p>
    <w:p w:rsidR="00000000" w:rsidRDefault="00B30BA7">
      <w:pPr>
        <w:pStyle w:val="a3"/>
        <w:spacing w:before="0" w:beforeAutospacing="0" w:after="0" w:afterAutospacing="0"/>
        <w:jc w:val="both"/>
        <w:rPr>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0964060"/>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color w:val="000000"/>
          <w:sz w:val="20"/>
          <w:szCs w:val="20"/>
        </w:rPr>
        <w:t> </w:t>
      </w:r>
    </w:p>
    <w:p w:rsidR="00000000" w:rsidRDefault="00B30BA7">
      <w:pPr>
        <w:pStyle w:val="a3"/>
        <w:spacing w:before="0" w:beforeAutospacing="0" w:after="0" w:afterAutospacing="0"/>
        <w:jc w:val="both"/>
        <w:rPr>
          <w:sz w:val="20"/>
          <w:szCs w:val="20"/>
        </w:rPr>
      </w:pPr>
      <w:r>
        <w:rPr>
          <w:b/>
          <w:bCs/>
          <w:sz w:val="20"/>
          <w:szCs w:val="20"/>
        </w:rPr>
        <w:t>Business Combination</w:t>
      </w:r>
      <w:r>
        <w:rPr>
          <w:b/>
          <w:bCs/>
          <w:sz w:val="20"/>
          <w:szCs w:val="20"/>
        </w:rPr>
        <w:t>s</w:t>
      </w:r>
      <w:r>
        <w:rPr>
          <w:sz w:val="20"/>
          <w:szCs w:val="20"/>
        </w:rPr>
        <w:t xml:space="preserve"> — The Company accounts for business combinations unde</w:t>
      </w:r>
      <w:r>
        <w:rPr>
          <w:sz w:val="20"/>
          <w:szCs w:val="20"/>
        </w:rPr>
        <w:t xml:space="preserve">r the provisions of ASC 805, </w:t>
      </w:r>
      <w:r>
        <w:rPr>
          <w:i/>
          <w:iCs/>
          <w:sz w:val="20"/>
          <w:szCs w:val="20"/>
        </w:rPr>
        <w:t>Business Combinations</w:t>
      </w:r>
      <w:r>
        <w:rPr>
          <w:sz w:val="20"/>
          <w:szCs w:val="20"/>
        </w:rPr>
        <w:t>, which requires that the acquisition method of accounting be used for all business combinations. Assets acquired and liabilities assumed are recorded at the date of acquisition at their respective fair val</w:t>
      </w:r>
      <w:r>
        <w:rPr>
          <w:sz w:val="20"/>
          <w:szCs w:val="20"/>
        </w:rPr>
        <w:t xml:space="preserve">ues. ASC 805 also specifies criteria that intangible assets acquired in a business combination must be recognized and reported apart from goodwill. Goodwill represents the excess purchase price over the fair value of the tangible net assets and intangible </w:t>
      </w:r>
      <w:r>
        <w:rPr>
          <w:sz w:val="20"/>
          <w:szCs w:val="20"/>
        </w:rPr>
        <w:t>assets acquired in a business combination. Acquisition-related expenses are recognized separately from the business combinations and are expensed as incurred. If the business combination provides for contingent consideration, the Company records the contin</w:t>
      </w:r>
      <w:r>
        <w:rPr>
          <w:sz w:val="20"/>
          <w:szCs w:val="20"/>
        </w:rPr>
        <w:t>gent consideration at fair value at the acquisition date with changes in the fair value recorded through earnings.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Acquisition costs are </w:t>
      </w:r>
      <w:r>
        <w:rPr>
          <w:color w:val="000000"/>
          <w:sz w:val="20"/>
          <w:szCs w:val="20"/>
        </w:rPr>
        <w:t xml:space="preserve">expensed as incurred. During the years ended December 31, 2021 and 2020, the Company incurred approximately </w:t>
      </w:r>
      <w:r>
        <w:rPr>
          <w:color w:val="000000"/>
          <w:sz w:val="20"/>
          <w:szCs w:val="20"/>
        </w:rPr>
        <w:t>$</w:t>
      </w:r>
      <w:r>
        <w:rPr>
          <w:color w:val="000000"/>
          <w:sz w:val="20"/>
          <w:szCs w:val="20"/>
        </w:rPr>
        <w:t>316,00</w:t>
      </w:r>
      <w:r>
        <w:rPr>
          <w:color w:val="000000"/>
          <w:sz w:val="20"/>
          <w:szCs w:val="20"/>
        </w:rPr>
        <w:t>0</w:t>
      </w:r>
      <w:r>
        <w:rPr>
          <w:color w:val="000000"/>
          <w:sz w:val="20"/>
          <w:szCs w:val="20"/>
        </w:rPr>
        <w:t xml:space="preserve"> </w:t>
      </w:r>
      <w:r>
        <w:rPr>
          <w:color w:val="000000"/>
          <w:sz w:val="20"/>
          <w:szCs w:val="20"/>
        </w:rPr>
        <w:t xml:space="preserve">and </w:t>
      </w:r>
      <w:r>
        <w:rPr>
          <w:color w:val="000000"/>
          <w:sz w:val="20"/>
          <w:szCs w:val="20"/>
        </w:rPr>
        <w:t>$</w:t>
      </w:r>
      <w:r>
        <w:rPr>
          <w:color w:val="000000"/>
          <w:sz w:val="20"/>
          <w:szCs w:val="20"/>
        </w:rPr>
        <w:t>275,00</w:t>
      </w:r>
      <w:r>
        <w:rPr>
          <w:color w:val="000000"/>
          <w:sz w:val="20"/>
          <w:szCs w:val="20"/>
        </w:rPr>
        <w:t>0</w:t>
      </w:r>
      <w:r>
        <w:rPr>
          <w:color w:val="000000"/>
          <w:sz w:val="20"/>
          <w:szCs w:val="20"/>
        </w:rPr>
        <w:t>, respectively, of professional fees related to the acquisitions discussed in Note 3, which are included in general and administrative</w:t>
      </w:r>
      <w:r>
        <w:rPr>
          <w:sz w:val="20"/>
          <w:szCs w:val="20"/>
        </w:rPr>
        <w:t xml:space="preserve"> expenses in the consolidated statements of operations.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Income Taxe</w:t>
      </w:r>
      <w:r>
        <w:rPr>
          <w:b/>
          <w:bCs/>
          <w:sz w:val="20"/>
          <w:szCs w:val="20"/>
        </w:rPr>
        <w:t>s</w:t>
      </w:r>
      <w:r>
        <w:rPr>
          <w:sz w:val="20"/>
          <w:szCs w:val="20"/>
        </w:rPr>
        <w:t xml:space="preserve"> — The Company accounts for income taxes</w:t>
      </w:r>
      <w:r>
        <w:rPr>
          <w:sz w:val="20"/>
          <w:szCs w:val="20"/>
        </w:rPr>
        <w:t xml:space="preserve"> under the asset and liability method, which requires the recognition of deferred tax assets and liabilities for the expected future tax consequences of events that have been included in the consolidated financial statements. Under this method, deferred ta</w:t>
      </w:r>
      <w:r>
        <w:rPr>
          <w:sz w:val="20"/>
          <w:szCs w:val="20"/>
        </w:rPr>
        <w:t>x assets and liabilities are determined based on the differences between the financial statements and tax bases of assets and liabilities using enacted tax rates in effect for the year in which the differences are expected to reverse. The effect of a chang</w:t>
      </w:r>
      <w:r>
        <w:rPr>
          <w:sz w:val="20"/>
          <w:szCs w:val="20"/>
        </w:rPr>
        <w:t>e in tax rates on deferred tax assets and liabilities is recognized in operations in the period that includes the enactment date.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Company records net deferred tax assets to the extent that these assets will more likely than not be realized. All available positive and negative evidence is considered in making such a determination, including future reversals of existing taxable tempora</w:t>
      </w:r>
      <w:r>
        <w:rPr>
          <w:sz w:val="20"/>
          <w:szCs w:val="20"/>
        </w:rPr>
        <w:t xml:space="preserve">ry differences, projected future taxable income, tax planning strategies, and results of recent operations. A valuation allowance would be recorded to reduce deferred income tax assets when it is determined that it is more likely than not that the Company </w:t>
      </w:r>
      <w:r>
        <w:rPr>
          <w:sz w:val="20"/>
          <w:szCs w:val="20"/>
        </w:rPr>
        <w:t>would not be able to realize its deferred income tax assets in the future in excess of their net recorded amount.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Company records uncertain tax positions on the basis of a two-step process whereby (1) the Company determines whether it is more likely </w:t>
      </w:r>
      <w:r>
        <w:rPr>
          <w:sz w:val="20"/>
          <w:szCs w:val="20"/>
        </w:rPr>
        <w:t>than not that the tax positions will be sustained based on the technical merits of the position and (2) for those tax positions that meet the more-likely-than-not recognition threshold, the Company recognizes the largest amount of tax benefit that is great</w:t>
      </w:r>
      <w:r>
        <w:rPr>
          <w:sz w:val="20"/>
          <w:szCs w:val="20"/>
        </w:rPr>
        <w:t>er than 50 percent likely to be realized upon ultimate settlement with the related tax authority. At December 31, 2021 and 2020, the Company did not have any uncertain tax positions that required recognition. Interest and penalties related to uncertain tax</w:t>
      </w:r>
      <w:r>
        <w:rPr>
          <w:sz w:val="20"/>
          <w:szCs w:val="20"/>
        </w:rPr>
        <w:t xml:space="preserve"> positions are recognized in income tax expense. For the years ended December 31, 2021 and 2020, the Company did not recognize any penalties or interest related to unrecognized tax benefits in its consolidated financial statements.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Dividend</w:t>
      </w:r>
      <w:r>
        <w:rPr>
          <w:b/>
          <w:bCs/>
          <w:sz w:val="20"/>
          <w:szCs w:val="20"/>
        </w:rPr>
        <w:t>s</w:t>
      </w:r>
      <w:r>
        <w:rPr>
          <w:b/>
          <w:bCs/>
          <w:sz w:val="20"/>
          <w:szCs w:val="20"/>
        </w:rPr>
        <w:t xml:space="preserve"> </w:t>
      </w:r>
      <w:r>
        <w:rPr>
          <w:sz w:val="20"/>
          <w:szCs w:val="20"/>
        </w:rPr>
        <w:t xml:space="preserve">— Dividends </w:t>
      </w:r>
      <w:r>
        <w:rPr>
          <w:sz w:val="20"/>
          <w:szCs w:val="20"/>
        </w:rPr>
        <w:t>are recorded when declared by the Company’s Board of Directors. The Board of Directors has declared monthly dividends on the Series A Preferred Stock through February 2022 and also declared a monthly dividend on the Series B Preferred Stock for stockholder</w:t>
      </w:r>
      <w:r>
        <w:rPr>
          <w:sz w:val="20"/>
          <w:szCs w:val="20"/>
        </w:rPr>
        <w:t>s of record February 28, 2022. Preferred Stock dividends are charged against paid in capital because the Company does not have sufficient retained earnings. The Company is prohibited from paying dividends on its common stock without the prior written conse</w:t>
      </w:r>
      <w:r>
        <w:rPr>
          <w:sz w:val="20"/>
          <w:szCs w:val="20"/>
        </w:rPr>
        <w:t>nt of its lender, Silicon Valley Bank (“SVB”).</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Deferred Revenu</w:t>
      </w:r>
      <w:r>
        <w:rPr>
          <w:b/>
          <w:bCs/>
          <w:sz w:val="20"/>
          <w:szCs w:val="20"/>
        </w:rPr>
        <w:t>e</w:t>
      </w:r>
      <w:r>
        <w:rPr>
          <w:sz w:val="20"/>
          <w:szCs w:val="20"/>
        </w:rPr>
        <w:t xml:space="preserve"> — Deferred revenue primarily consists of payments received in advance of the revenue recognition criteria being met. Deferred revenue includes certain deferred implementation services fees t</w:t>
      </w:r>
      <w:r>
        <w:rPr>
          <w:sz w:val="20"/>
          <w:szCs w:val="20"/>
        </w:rPr>
        <w:t>hat are recognized as revenue ratably over the longer of the life of the agreement or the estimated expected customer life, which is currently estimated to be three years. Deferred revenue that will be recognized during the succeeding 12-month period is re</w:t>
      </w:r>
      <w:r>
        <w:rPr>
          <w:sz w:val="20"/>
          <w:szCs w:val="20"/>
        </w:rPr>
        <w:t>corded as current deferred revenue and the remaining portion is recorded as non-current. At the time of customer termination, any unrecognized service fees associated with implementation services are recognized as revenue.</w:t>
      </w:r>
    </w:p>
    <w:p w:rsidR="00000000" w:rsidRDefault="00B30BA7">
      <w:pPr>
        <w:pStyle w:val="a3"/>
        <w:spacing w:before="0" w:beforeAutospacing="0" w:after="0" w:afterAutospacing="0"/>
        <w:jc w:val="both"/>
        <w:rPr>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36389349"/>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color w:val="000000"/>
          <w:sz w:val="20"/>
          <w:szCs w:val="20"/>
        </w:rPr>
        <w:t> </w:t>
      </w:r>
    </w:p>
    <w:p w:rsidR="00000000" w:rsidRDefault="00B30BA7">
      <w:pPr>
        <w:pStyle w:val="a3"/>
        <w:spacing w:before="0" w:beforeAutospacing="0" w:after="0" w:afterAutospacing="0"/>
        <w:jc w:val="both"/>
        <w:rPr>
          <w:sz w:val="20"/>
          <w:szCs w:val="20"/>
        </w:rPr>
      </w:pPr>
      <w:r>
        <w:rPr>
          <w:b/>
          <w:bCs/>
          <w:color w:val="000000"/>
          <w:sz w:val="20"/>
          <w:szCs w:val="20"/>
        </w:rPr>
        <w:t xml:space="preserve">Fair </w:t>
      </w:r>
      <w:r>
        <w:rPr>
          <w:b/>
          <w:bCs/>
          <w:color w:val="000000"/>
          <w:sz w:val="20"/>
          <w:szCs w:val="20"/>
        </w:rPr>
        <w:t>Value Measurement</w:t>
      </w:r>
      <w:r>
        <w:rPr>
          <w:b/>
          <w:bCs/>
          <w:color w:val="000000"/>
          <w:sz w:val="20"/>
          <w:szCs w:val="20"/>
        </w:rPr>
        <w:t>s</w:t>
      </w:r>
      <w:r>
        <w:rPr>
          <w:color w:val="000000"/>
          <w:sz w:val="20"/>
          <w:szCs w:val="20"/>
        </w:rPr>
        <w:t xml:space="preserve"> — ASC 820, </w:t>
      </w:r>
      <w:r>
        <w:rPr>
          <w:i/>
          <w:iCs/>
          <w:color w:val="000000"/>
          <w:sz w:val="20"/>
          <w:szCs w:val="20"/>
        </w:rPr>
        <w:t>Fair Value Measurement</w:t>
      </w:r>
      <w:r>
        <w:rPr>
          <w:color w:val="000000"/>
          <w:sz w:val="20"/>
          <w:szCs w:val="20"/>
        </w:rPr>
        <w:t>, requires the disclosure of fair value information about financial instruments, whether or not recognized in the balance sheet, for which it is practicable to estimate that value. The Company follows a f</w:t>
      </w:r>
      <w:r>
        <w:rPr>
          <w:color w:val="000000"/>
          <w:sz w:val="20"/>
          <w:szCs w:val="20"/>
        </w:rPr>
        <w:t>air value measurement hierarchy to measure financial instruments. The fair value of the Company’s financial instruments is measured using inputs from the three levels of the fair value hierarchy as follows:</w:t>
      </w:r>
    </w:p>
    <w:p w:rsidR="00000000" w:rsidRDefault="00B30BA7">
      <w:pPr>
        <w:pStyle w:val="a3"/>
        <w:spacing w:before="0" w:beforeAutospacing="0" w:after="0" w:afterAutospacing="0"/>
        <w:jc w:val="both"/>
        <w:rPr>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360"/>
        <w:gridCol w:w="1008"/>
        <w:gridCol w:w="6938"/>
      </w:tblGrid>
      <w:tr w:rsidR="00000000">
        <w:tc>
          <w:tcPr>
            <w:tcW w:w="360" w:type="dxa"/>
            <w:hideMark/>
          </w:tcPr>
          <w:p w:rsidR="00000000" w:rsidRDefault="00B30BA7">
            <w:pPr>
              <w:rPr>
                <w:rFonts w:eastAsia="Times New Roman"/>
                <w:sz w:val="20"/>
                <w:szCs w:val="20"/>
              </w:rPr>
            </w:pPr>
            <w:r>
              <w:rPr>
                <w:rFonts w:eastAsia="Times New Roman"/>
                <w:sz w:val="20"/>
                <w:szCs w:val="20"/>
              </w:rPr>
              <w:t> </w:t>
            </w:r>
          </w:p>
        </w:tc>
        <w:tc>
          <w:tcPr>
            <w:tcW w:w="1008" w:type="dxa"/>
            <w:hideMark/>
          </w:tcPr>
          <w:p w:rsidR="00000000" w:rsidRDefault="00B30BA7">
            <w:pPr>
              <w:jc w:val="both"/>
              <w:rPr>
                <w:rFonts w:eastAsia="Times New Roman"/>
                <w:sz w:val="20"/>
                <w:szCs w:val="20"/>
              </w:rPr>
            </w:pPr>
            <w:r>
              <w:rPr>
                <w:rFonts w:eastAsia="Times New Roman"/>
                <w:sz w:val="20"/>
                <w:szCs w:val="20"/>
              </w:rPr>
              <w:t>Level 1 —</w:t>
            </w:r>
          </w:p>
        </w:tc>
        <w:tc>
          <w:tcPr>
            <w:tcW w:w="0" w:type="auto"/>
            <w:hideMark/>
          </w:tcPr>
          <w:p w:rsidR="00000000" w:rsidRDefault="00B30BA7">
            <w:pPr>
              <w:jc w:val="both"/>
              <w:rPr>
                <w:rFonts w:eastAsia="Times New Roman"/>
                <w:sz w:val="20"/>
                <w:szCs w:val="20"/>
              </w:rPr>
            </w:pPr>
            <w:r>
              <w:rPr>
                <w:rFonts w:eastAsia="Times New Roman"/>
                <w:sz w:val="20"/>
                <w:szCs w:val="20"/>
              </w:rPr>
              <w:t>Inputs are unadjusted quoted market</w:t>
            </w:r>
            <w:r>
              <w:rPr>
                <w:rFonts w:eastAsia="Times New Roman"/>
                <w:sz w:val="20"/>
                <w:szCs w:val="20"/>
              </w:rPr>
              <w:t xml:space="preserve"> prices in active markets for identical assets or liabilities that the Company has the ability to access at the measurement date.</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Level 2 —</w:t>
            </w:r>
          </w:p>
        </w:tc>
        <w:tc>
          <w:tcPr>
            <w:tcW w:w="0" w:type="auto"/>
            <w:hideMark/>
          </w:tcPr>
          <w:p w:rsidR="00000000" w:rsidRDefault="00B30BA7">
            <w:pPr>
              <w:jc w:val="both"/>
              <w:rPr>
                <w:rFonts w:eastAsia="Times New Roman"/>
                <w:sz w:val="20"/>
                <w:szCs w:val="20"/>
              </w:rPr>
            </w:pPr>
            <w:r>
              <w:rPr>
                <w:rFonts w:eastAsia="Times New Roman"/>
                <w:sz w:val="20"/>
                <w:szCs w:val="20"/>
              </w:rPr>
              <w:t xml:space="preserve">Inputs </w:t>
            </w:r>
            <w:r>
              <w:rPr>
                <w:rFonts w:eastAsia="Times New Roman"/>
                <w:sz w:val="20"/>
                <w:szCs w:val="20"/>
              </w:rPr>
              <w:t>are directly or indirectly observable, which include quoted prices for similar assets and liabilities in active markets, quoted prices for identical or similar assets or liabilities in markets that are not active, inputs other than quoted prices that are o</w:t>
            </w:r>
            <w:r>
              <w:rPr>
                <w:rFonts w:eastAsia="Times New Roman"/>
                <w:sz w:val="20"/>
                <w:szCs w:val="20"/>
              </w:rPr>
              <w:t>bservable for the asset or liability and inputs that are derived principally from or corroborated by observable market data by correlation or other means.</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 </w:t>
            </w:r>
          </w:p>
        </w:tc>
      </w:tr>
      <w:tr w:rsidR="00000000">
        <w:tc>
          <w:tcPr>
            <w:tcW w:w="0" w:type="auto"/>
            <w:hideMark/>
          </w:tcPr>
          <w:p w:rsidR="00000000" w:rsidRDefault="00B30BA7">
            <w:pPr>
              <w:rPr>
                <w:rFonts w:eastAsia="Times New Roman"/>
                <w:sz w:val="20"/>
                <w:szCs w:val="20"/>
              </w:rPr>
            </w:pPr>
            <w:r>
              <w:rPr>
                <w:rFonts w:eastAsia="Times New Roman"/>
                <w:sz w:val="20"/>
                <w:szCs w:val="20"/>
              </w:rPr>
              <w:t> </w:t>
            </w:r>
          </w:p>
        </w:tc>
        <w:tc>
          <w:tcPr>
            <w:tcW w:w="0" w:type="auto"/>
            <w:hideMark/>
          </w:tcPr>
          <w:p w:rsidR="00000000" w:rsidRDefault="00B30BA7">
            <w:pPr>
              <w:jc w:val="both"/>
              <w:rPr>
                <w:rFonts w:eastAsia="Times New Roman"/>
                <w:sz w:val="20"/>
                <w:szCs w:val="20"/>
              </w:rPr>
            </w:pPr>
            <w:r>
              <w:rPr>
                <w:rFonts w:eastAsia="Times New Roman"/>
                <w:sz w:val="20"/>
                <w:szCs w:val="20"/>
              </w:rPr>
              <w:t>Level 3 —</w:t>
            </w:r>
          </w:p>
        </w:tc>
        <w:tc>
          <w:tcPr>
            <w:tcW w:w="0" w:type="auto"/>
            <w:hideMark/>
          </w:tcPr>
          <w:p w:rsidR="00000000" w:rsidRDefault="00B30BA7">
            <w:pPr>
              <w:jc w:val="both"/>
              <w:rPr>
                <w:rFonts w:eastAsia="Times New Roman"/>
                <w:sz w:val="20"/>
                <w:szCs w:val="20"/>
              </w:rPr>
            </w:pPr>
            <w:r>
              <w:rPr>
                <w:rFonts w:eastAsia="Times New Roman"/>
                <w:sz w:val="20"/>
                <w:szCs w:val="20"/>
              </w:rPr>
              <w:t xml:space="preserve">Inputs are unobservable inputs that are used to measure fair value to the extent </w:t>
            </w:r>
            <w:r>
              <w:rPr>
                <w:rFonts w:eastAsia="Times New Roman"/>
                <w:sz w:val="20"/>
                <w:szCs w:val="20"/>
              </w:rPr>
              <w:t>observable inputs are not available.</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Company’s contingent consideration is a Level 3 liability and is measured at fair value at the end of each reporting period. The Company has certain financial instruments that are not measured at fair value on a </w:t>
      </w:r>
      <w:r>
        <w:rPr>
          <w:sz w:val="20"/>
          <w:szCs w:val="20"/>
        </w:rPr>
        <w:t>recurring basis. These financial instruments are subject to fair value adjustments only in certain circumstances and include cash, accounts receivable, accounts payable and accrued expenses, borrowings under term loans and line of credit, and notes payable</w:t>
      </w:r>
      <w:r>
        <w:rPr>
          <w:sz w:val="20"/>
          <w:szCs w:val="20"/>
        </w:rPr>
        <w:t>. Due to the short term nature of these financial instruments and that the borrowings bear interest at prevailing market rates, the carrying value approximates the fair value.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Foreign Currency Translatio</w:t>
      </w:r>
      <w:r>
        <w:rPr>
          <w:b/>
          <w:bCs/>
          <w:sz w:val="20"/>
          <w:szCs w:val="20"/>
        </w:rPr>
        <w:t>n</w:t>
      </w:r>
      <w:r>
        <w:rPr>
          <w:sz w:val="20"/>
          <w:szCs w:val="20"/>
        </w:rPr>
        <w:t xml:space="preserve"> — The financial statements of the Company’s forei</w:t>
      </w:r>
      <w:r>
        <w:rPr>
          <w:sz w:val="20"/>
          <w:szCs w:val="20"/>
        </w:rPr>
        <w:t>gn subsidiaries are translated from their functional currency into U.S. dollars, the Company’s functional currency. All foreign currency assets and liabilities are translated at the period-end exchange rate, and all revenue and expenses are translated at t</w:t>
      </w:r>
      <w:r>
        <w:rPr>
          <w:sz w:val="20"/>
          <w:szCs w:val="20"/>
        </w:rPr>
        <w:t>ransaction date exchange rates. The effects of translating the financial statements of the foreign subsidiaries into U.S. dollars are reported as a cumulative translation adjustment, a separate component of accumulated other comprehensive loss in the conso</w:t>
      </w:r>
      <w:r>
        <w:rPr>
          <w:sz w:val="20"/>
          <w:szCs w:val="20"/>
        </w:rPr>
        <w:t>lidated statements of shareholders’ equity, except for transactions related to the intercompany receivable for which transaction adjustments are recorded in the consolidated statements of operations as they are not deemed to be permanently reinvested. Fore</w:t>
      </w:r>
      <w:r>
        <w:rPr>
          <w:sz w:val="20"/>
          <w:szCs w:val="20"/>
        </w:rPr>
        <w:t xml:space="preserve">ign currency transaction gains/losses are reported as a component of other income – net in the consolidated statements of operations and amounted to gains of approximately </w:t>
      </w:r>
      <w:r>
        <w:rPr>
          <w:sz w:val="20"/>
          <w:szCs w:val="20"/>
        </w:rPr>
        <w:t>$</w:t>
      </w:r>
      <w:r>
        <w:rPr>
          <w:sz w:val="20"/>
          <w:szCs w:val="20"/>
        </w:rPr>
        <w:t>16,00</w:t>
      </w:r>
      <w:r>
        <w:rPr>
          <w:sz w:val="20"/>
          <w:szCs w:val="20"/>
        </w:rPr>
        <w:t>0</w:t>
      </w:r>
      <w:r>
        <w:rPr>
          <w:sz w:val="20"/>
          <w:szCs w:val="20"/>
        </w:rPr>
        <w:t xml:space="preserve"> and </w:t>
      </w:r>
      <w:r>
        <w:rPr>
          <w:sz w:val="20"/>
          <w:szCs w:val="20"/>
        </w:rPr>
        <w:t>$</w:t>
      </w:r>
      <w:r>
        <w:rPr>
          <w:sz w:val="20"/>
          <w:szCs w:val="20"/>
        </w:rPr>
        <w:t>14,00</w:t>
      </w:r>
      <w:r>
        <w:rPr>
          <w:sz w:val="20"/>
          <w:szCs w:val="20"/>
        </w:rPr>
        <w:t>0</w:t>
      </w:r>
      <w:r>
        <w:rPr>
          <w:sz w:val="20"/>
          <w:szCs w:val="20"/>
        </w:rPr>
        <w:t xml:space="preserve"> for the years ended December 31, 2021 and 2020, respectively.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b/>
          <w:bCs/>
          <w:sz w:val="20"/>
          <w:szCs w:val="20"/>
        </w:rPr>
        <w:t>Loss on Lease Termination, Impairment and Unoccupied Lease Charge</w:t>
      </w:r>
      <w:r>
        <w:rPr>
          <w:b/>
          <w:bCs/>
          <w:sz w:val="20"/>
          <w:szCs w:val="20"/>
        </w:rPr>
        <w:t>s</w:t>
      </w:r>
      <w:r>
        <w:rPr>
          <w:b/>
          <w:bCs/>
          <w:sz w:val="20"/>
          <w:szCs w:val="20"/>
        </w:rPr>
        <w:t xml:space="preserve"> —</w:t>
      </w:r>
      <w:r>
        <w:rPr>
          <w:sz w:val="20"/>
          <w:szCs w:val="20"/>
        </w:rPr>
        <w:t xml:space="preserve">Loss on lease termination represents the write-off of leasehold improvements as the result of early lease terminations. Impairment charges represent charges recorded for leased facilities </w:t>
      </w:r>
      <w:r>
        <w:rPr>
          <w:sz w:val="20"/>
          <w:szCs w:val="20"/>
        </w:rPr>
        <w:t>no longer being used by the Company. Unoccupied lease charges represent the portion of lease and related costs for that portion of the space that is vacated and not being utilized by the Company. The Company is marketing the unused space for sub-lease. The</w:t>
      </w:r>
      <w:r>
        <w:rPr>
          <w:sz w:val="20"/>
          <w:szCs w:val="20"/>
        </w:rPr>
        <w:t xml:space="preserve"> Company was able to turn back to the landlord one of the unused facilities effective January 1, 2022.</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Recent Accounting Pronouncement</w:t>
      </w:r>
      <w:r>
        <w:rPr>
          <w:b/>
          <w:bCs/>
          <w:sz w:val="20"/>
          <w:szCs w:val="20"/>
        </w:rPr>
        <w:t>s</w:t>
      </w:r>
      <w:r>
        <w:rPr>
          <w:sz w:val="20"/>
          <w:szCs w:val="20"/>
        </w:rPr>
        <w:t xml:space="preserve"> — </w:t>
      </w:r>
      <w:r>
        <w:rPr>
          <w:sz w:val="20"/>
          <w:szCs w:val="20"/>
        </w:rPr>
        <w:t>From time to time, new accounting pronouncements are issued by the Financial Accounting Standards Board (“FASB”) and are adopted by us as of the specified effective date. Unless otherwise discussed, we believe that the impact of recently adopted and recent</w:t>
      </w:r>
      <w:r>
        <w:rPr>
          <w:sz w:val="20"/>
          <w:szCs w:val="20"/>
        </w:rPr>
        <w:t>ly issued accounting pronouncements will not have a material impact on our consolidated financial position, results of operations and cash flows.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In June 2016, the FASB issued ASU 2016-13, </w:t>
      </w:r>
      <w:r>
        <w:rPr>
          <w:i/>
          <w:iCs/>
          <w:sz w:val="20"/>
          <w:szCs w:val="20"/>
        </w:rPr>
        <w:t>Financial Instruments – Credit Losses: Measurement of Credit Loss</w:t>
      </w:r>
      <w:r>
        <w:rPr>
          <w:i/>
          <w:iCs/>
          <w:sz w:val="20"/>
          <w:szCs w:val="20"/>
        </w:rPr>
        <w:t xml:space="preserve">es on Financial Instruments. </w:t>
      </w:r>
      <w:r>
        <w:rPr>
          <w:sz w:val="20"/>
          <w:szCs w:val="20"/>
        </w:rPr>
        <w:t>The guidance in Accounting Standards Update (“ASU”) 2016-13 replaces the incurred loss impairment methodology under current GAAP. The new impairment model requires immediate recognition of estimated credit losses expected to oc</w:t>
      </w:r>
      <w:r>
        <w:rPr>
          <w:sz w:val="20"/>
          <w:szCs w:val="20"/>
        </w:rPr>
        <w:t>cur for most financial assets and certain other instruments. It will apply to all entities. For trade receivables, loans and held-to-maturity debt securities, entities will be required to estimate lifetime expected credit losses. This may result in the ear</w:t>
      </w:r>
      <w:r>
        <w:rPr>
          <w:sz w:val="20"/>
          <w:szCs w:val="20"/>
        </w:rPr>
        <w:t>lier recognition of credit losses. In November, the FASB issued ASU No. 2019-10, which delays this standard’s effective date for SEC smaller reporting companies to the fiscal years beginning on or after December 15, 2022. The Company is in the process of d</w:t>
      </w:r>
      <w:r>
        <w:rPr>
          <w:sz w:val="20"/>
          <w:szCs w:val="20"/>
        </w:rPr>
        <w:t>etermining if this update will have a significant impact on the consolidated financial statements.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In December 2019, the FASB issued ASU 2019-12, </w:t>
      </w:r>
      <w:r>
        <w:rPr>
          <w:i/>
          <w:iCs/>
          <w:sz w:val="20"/>
          <w:szCs w:val="20"/>
        </w:rPr>
        <w:t>Simplifying the Accounting for Income Taxes</w:t>
      </w:r>
      <w:r>
        <w:rPr>
          <w:sz w:val="20"/>
          <w:szCs w:val="20"/>
        </w:rPr>
        <w:t>. This ASU simplifies accounting for income taxes to reduce compl</w:t>
      </w:r>
      <w:r>
        <w:rPr>
          <w:sz w:val="20"/>
          <w:szCs w:val="20"/>
        </w:rPr>
        <w:t>exity in the accounting standards. The amendments consist of the removal of certain exceptions to the general principles of ASC 740 and some additional simplifications. The amendments are not required to be implemented until 2021 for public entities. The C</w:t>
      </w:r>
      <w:r>
        <w:rPr>
          <w:sz w:val="20"/>
          <w:szCs w:val="20"/>
        </w:rPr>
        <w:t>ompany adopted this guidance effective January 1, 2021. There was no impact on the consolidated financial statements as a result of this standard.</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66016120"/>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In August 2020, the FASB issued ASU 2020-06, </w:t>
      </w:r>
      <w:r>
        <w:rPr>
          <w:i/>
          <w:iCs/>
          <w:sz w:val="20"/>
          <w:szCs w:val="20"/>
        </w:rPr>
        <w:t>Debt—Debt with Conversion and Other Options (Subto</w:t>
      </w:r>
      <w:r>
        <w:rPr>
          <w:i/>
          <w:iCs/>
          <w:sz w:val="20"/>
          <w:szCs w:val="20"/>
        </w:rPr>
        <w:t>pic 470-20) and Derivatives and Hedging—Contracts in Entity’s Own Equity (Subtopic 815-40).</w:t>
      </w:r>
      <w:r>
        <w:rPr>
          <w:sz w:val="20"/>
          <w:szCs w:val="20"/>
        </w:rPr>
        <w:t xml:space="preserve"> This ASU simplifies the accounting for certain financial instruments with characteristics of liabilities and equity, including convertible instruments and contracts</w:t>
      </w:r>
      <w:r>
        <w:rPr>
          <w:sz w:val="20"/>
          <w:szCs w:val="20"/>
        </w:rPr>
        <w:t xml:space="preserve"> on an entity’s own equity. The amendments are not required to be implemented until 2022 for public entities. The Company is in the process of investigating if this update will have a significant impact on the consolidated financial statements.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 Octobe</w:t>
      </w:r>
      <w:r>
        <w:rPr>
          <w:sz w:val="20"/>
          <w:szCs w:val="20"/>
        </w:rPr>
        <w:t xml:space="preserve">r 2021, the FASB issued ASU 2021-08, </w:t>
      </w:r>
      <w:r>
        <w:rPr>
          <w:i/>
          <w:iCs/>
          <w:sz w:val="20"/>
          <w:szCs w:val="20"/>
        </w:rPr>
        <w:t>Business Combinations (Topic 805) – Accounting for Contract Assets and Contract Liabilities from Contracts with Customers.</w:t>
      </w:r>
      <w:r>
        <w:rPr>
          <w:sz w:val="20"/>
          <w:szCs w:val="20"/>
        </w:rPr>
        <w:t xml:space="preserve"> The amendments in this update require acquiring entities to apply Topic 606 to recognize and mea</w:t>
      </w:r>
      <w:r>
        <w:rPr>
          <w:sz w:val="20"/>
          <w:szCs w:val="20"/>
        </w:rPr>
        <w:t>sure contract assets and contract liabilities in a business combination. The amendments are effective for public business entities for fiscal years beginning after December 15, 2022. The Company is in the process of determining if this update will have a s</w:t>
      </w:r>
      <w:r>
        <w:rPr>
          <w:sz w:val="20"/>
          <w:szCs w:val="20"/>
        </w:rPr>
        <w:t>ignificant impact on the consolidated financial statements.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3.</w:t>
      </w:r>
      <w:r>
        <w:rPr>
          <w:b/>
          <w:bCs/>
          <w:caps/>
          <w:sz w:val="20"/>
          <w:szCs w:val="20"/>
        </w:rPr>
        <w:t xml:space="preserve"> </w:t>
      </w:r>
      <w:r>
        <w:rPr>
          <w:b/>
          <w:bCs/>
          <w:caps/>
          <w:sz w:val="20"/>
          <w:szCs w:val="20"/>
        </w:rPr>
        <w:t>ACQUISITION</w:t>
      </w:r>
      <w:r>
        <w:rPr>
          <w:b/>
          <w:bCs/>
          <w:caps/>
          <w:sz w:val="20"/>
          <w:szCs w:val="20"/>
        </w:rPr>
        <w: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u w:val="single"/>
        </w:rPr>
        <w:t>2021 Acquisition</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On June 1, 2021, CAC entered into an Asset and Stock Purchase Agreement (“Purchase Agreement”</w:t>
      </w:r>
      <w:r>
        <w:rPr>
          <w:sz w:val="20"/>
          <w:szCs w:val="20"/>
        </w:rPr>
        <w:t>) with MedMatica and its sole shareholder. Pursuant to the Purchase Agreement, CAC acquired (i) all of the issued and outstanding capital stock of SRS, a Delaware corporation, and (ii) all of the MedMatica assets that were used in MedMatica’s and SRS’ busi</w:t>
      </w:r>
      <w:r>
        <w:rPr>
          <w:sz w:val="20"/>
          <w:szCs w:val="20"/>
        </w:rPr>
        <w:t xml:space="preserve">ness. Certain MedMatica liabilities were also assumed under the Purchase Agreement. The total cash consideration was </w:t>
      </w:r>
      <w:r>
        <w:rPr>
          <w:sz w:val="20"/>
          <w:szCs w:val="20"/>
        </w:rPr>
        <w:t>$</w:t>
      </w:r>
      <w:r>
        <w:rPr>
          <w:sz w:val="20"/>
          <w:szCs w:val="20"/>
        </w:rPr>
        <w:t>1</w:t>
      </w:r>
      <w:r>
        <w:rPr>
          <w:sz w:val="20"/>
          <w:szCs w:val="20"/>
        </w:rPr>
        <w:t>0</w:t>
      </w:r>
      <w:r>
        <w:rPr>
          <w:sz w:val="20"/>
          <w:szCs w:val="20"/>
        </w:rPr>
        <w:t xml:space="preserve"> million plus a working capital adjustment of approximately </w:t>
      </w:r>
      <w:r>
        <w:rPr>
          <w:sz w:val="20"/>
          <w:szCs w:val="20"/>
        </w:rPr>
        <w:t>$</w:t>
      </w:r>
      <w:r>
        <w:rPr>
          <w:sz w:val="20"/>
          <w:szCs w:val="20"/>
        </w:rPr>
        <w:t>3.</w:t>
      </w:r>
      <w:r>
        <w:rPr>
          <w:sz w:val="20"/>
          <w:szCs w:val="20"/>
        </w:rPr>
        <w:t>8</w:t>
      </w:r>
      <w:r>
        <w:rPr>
          <w:sz w:val="20"/>
          <w:szCs w:val="20"/>
        </w:rPr>
        <w:t xml:space="preserve"> million. The Purchase Agreement also provides that if during the 18-mon</w:t>
      </w:r>
      <w:r>
        <w:rPr>
          <w:sz w:val="20"/>
          <w:szCs w:val="20"/>
        </w:rPr>
        <w:t xml:space="preserve">th period commencing on June 1, 2021 (the “Earn-Out Period”), certain EBITDA and revenue targets with respect to the assets and capital stock purchased under the Purchase Agreement are achieved, then CAC shall pay MedMatica an earn-out up to a maximum of </w:t>
      </w:r>
      <w:r>
        <w:rPr>
          <w:sz w:val="20"/>
          <w:szCs w:val="20"/>
        </w:rPr>
        <w:t>$</w:t>
      </w:r>
      <w:r>
        <w:rPr>
          <w:sz w:val="20"/>
          <w:szCs w:val="20"/>
        </w:rPr>
        <w:t>8</w:t>
      </w:r>
      <w:r>
        <w:rPr>
          <w:sz w:val="20"/>
          <w:szCs w:val="20"/>
        </w:rPr>
        <w:t xml:space="preserve"> million. Further, if during the Earn-Out Period, certain additional and increased EBITDA and revenue targets with respect to the assets and capital stock purchased under the Purchase Agreement are achieved, then CAC shall pay MedMatica an additional earn</w:t>
      </w:r>
      <w:r>
        <w:rPr>
          <w:sz w:val="20"/>
          <w:szCs w:val="20"/>
        </w:rPr>
        <w:t xml:space="preserve">-out, up to a maximum of </w:t>
      </w:r>
      <w:r>
        <w:rPr>
          <w:sz w:val="20"/>
          <w:szCs w:val="20"/>
        </w:rPr>
        <w:t>$</w:t>
      </w:r>
      <w:r>
        <w:rPr>
          <w:sz w:val="20"/>
          <w:szCs w:val="20"/>
        </w:rPr>
        <w:t>5</w:t>
      </w:r>
      <w:r>
        <w:rPr>
          <w:sz w:val="20"/>
          <w:szCs w:val="20"/>
        </w:rPr>
        <w:t xml:space="preserve"> million.</w:t>
      </w:r>
    </w:p>
    <w:p w:rsidR="00000000" w:rsidRDefault="00B30BA7">
      <w:pPr>
        <w:pStyle w:val="a3"/>
        <w:spacing w:before="0" w:beforeAutospacing="0" w:after="0" w:afterAutospacing="0"/>
        <w:jc w:val="both"/>
        <w:rPr>
          <w:color w:val="FF0000"/>
          <w:sz w:val="20"/>
          <w:szCs w:val="20"/>
        </w:rPr>
      </w:pPr>
      <w:r>
        <w:rPr>
          <w:color w:val="FF0000"/>
          <w:sz w:val="20"/>
          <w:szCs w:val="20"/>
        </w:rPr>
        <w:t> </w:t>
      </w:r>
    </w:p>
    <w:p w:rsidR="00000000" w:rsidRDefault="00B30BA7">
      <w:pPr>
        <w:pStyle w:val="a3"/>
        <w:spacing w:before="0" w:beforeAutospacing="0" w:after="0" w:afterAutospacing="0"/>
        <w:jc w:val="both"/>
        <w:rPr>
          <w:sz w:val="20"/>
          <w:szCs w:val="20"/>
        </w:rPr>
      </w:pPr>
      <w:r>
        <w:rPr>
          <w:sz w:val="20"/>
          <w:szCs w:val="20"/>
        </w:rPr>
        <w:t>MedMatica and SRS are in the business of providing a broad range of specialty consulting services to hospitals and large healthcare groups, including certain consulting services related to healthcare IT application se</w:t>
      </w:r>
      <w:r>
        <w:rPr>
          <w:sz w:val="20"/>
          <w:szCs w:val="20"/>
        </w:rPr>
        <w:t>rvices and implementations, medical practice management, and revenue cycle management. The acquisition has been accounted for as a business combination.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 summary of the total consideration is as follows:</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SUMMARY OF TOTAL CONSIDERATION ON BUSINESS CONSI</w:t>
      </w:r>
      <w:r>
        <w:rPr>
          <w:vanish/>
          <w:sz w:val="20"/>
          <w:szCs w:val="20"/>
        </w:rPr>
        <w:t>DERATIO</w:t>
      </w:r>
      <w:r>
        <w:rPr>
          <w:vanish/>
          <w:sz w:val="20"/>
          <w:szCs w:val="20"/>
        </w:rPr>
        <w:t>N</w:t>
      </w:r>
    </w:p>
    <w:p w:rsidR="00000000" w:rsidRDefault="00B30BA7">
      <w:pPr>
        <w:pStyle w:val="a3"/>
        <w:spacing w:before="0" w:beforeAutospacing="0" w:after="0" w:afterAutospacing="0"/>
        <w:jc w:val="both"/>
        <w:rPr>
          <w:sz w:val="20"/>
          <w:szCs w:val="20"/>
        </w:rPr>
      </w:pPr>
      <w:r>
        <w:rPr>
          <w:b/>
          <w:bCs/>
          <w:sz w:val="20"/>
          <w:szCs w:val="20"/>
          <w:u w:val="single"/>
        </w:rPr>
        <w:t>medSR Purchase Price</w:t>
      </w:r>
    </w:p>
    <w:p w:rsidR="00000000" w:rsidRDefault="00B30BA7">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523"/>
        <w:gridCol w:w="104"/>
        <w:gridCol w:w="101"/>
        <w:gridCol w:w="1036"/>
        <w:gridCol w:w="50"/>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900" w:type="pct"/>
            <w:shd w:val="clear" w:color="auto" w:fill="CCEEFF"/>
            <w:vAlign w:val="bottom"/>
            <w:hideMark/>
          </w:tcPr>
          <w:p w:rsidR="00000000" w:rsidRDefault="00B30BA7">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12,261</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Amounts held in escrow</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Contingent consideration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5,605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Preferred stock</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rPr>
          <w:hidden/>
        </w:trPr>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Warrants</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Total purchase price</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b/>
                <w:bCs/>
                <w:sz w:val="20"/>
                <w:szCs w:val="20"/>
              </w:rPr>
            </w:pPr>
            <w:r>
              <w:rPr>
                <w:rFonts w:eastAsia="Times New Roman"/>
                <w:b/>
                <w:bCs/>
                <w:sz w:val="20"/>
                <w:szCs w:val="20"/>
              </w:rPr>
              <w:t>19,437</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Company engaged a third party valuation specialist to assist the Company in valuing the assets acquired and liabilities assumed from MedMatica. The following table summarizes the purchase price allocation. The Company finalized the purchase price allocatio</w:t>
      </w:r>
      <w:r>
        <w:rPr>
          <w:sz w:val="20"/>
          <w:szCs w:val="20"/>
        </w:rPr>
        <w:t>n during the fourth quarter of 2021.</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2695167"/>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purchase price allocation for medSR is summarized as follows:</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SCHEDULE OF ASSETS ACQUIRED AND LIABILITIES ASSUME</w:t>
      </w:r>
      <w:r>
        <w:rPr>
          <w:vanish/>
          <w:sz w:val="20"/>
          <w:szCs w:val="20"/>
        </w:rPr>
        <w:t>D</w:t>
      </w:r>
    </w:p>
    <w:tbl>
      <w:tblPr>
        <w:tblW w:w="3500" w:type="pct"/>
        <w:tblCellMar>
          <w:left w:w="0" w:type="dxa"/>
          <w:right w:w="0" w:type="dxa"/>
        </w:tblCellMar>
        <w:tblLook w:val="04A0" w:firstRow="1" w:lastRow="0" w:firstColumn="1" w:lastColumn="0" w:noHBand="0" w:noVBand="1"/>
      </w:tblPr>
      <w:tblGrid>
        <w:gridCol w:w="4634"/>
        <w:gridCol w:w="99"/>
        <w:gridCol w:w="100"/>
        <w:gridCol w:w="914"/>
        <w:gridCol w:w="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4000" w:type="pct"/>
            <w:shd w:val="clear" w:color="auto" w:fill="CCEEFF"/>
            <w:vAlign w:val="bottom"/>
            <w:hideMark/>
          </w:tcPr>
          <w:p w:rsidR="00000000" w:rsidRDefault="00B30BA7">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2,696</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Receivable </w:t>
            </w:r>
            <w:r>
              <w:rPr>
                <w:rFonts w:eastAsia="Times New Roman"/>
                <w:sz w:val="20"/>
                <w:szCs w:val="20"/>
              </w:rPr>
              <w:t>from seller</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227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Contract asset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Unbilled receivables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2,491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Operating lease right-of-use assets</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3,100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Trademark</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Software</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Acquired backlog</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490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Technology</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11,931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Other long term assets</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(539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(1,125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Operating lease liabilities</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p>
        </w:tc>
        <w:tc>
          <w:tcPr>
            <w:tcW w:w="0" w:type="auto"/>
            <w:shd w:val="clear" w:color="auto" w:fill="FFFFFF"/>
            <w:vAlign w:val="bottom"/>
            <w:hideMark/>
          </w:tcPr>
          <w:p w:rsidR="00000000" w:rsidRDefault="00B30BA7">
            <w:pPr>
              <w:jc w:val="right"/>
              <w:rPr>
                <w:rFonts w:eastAsia="Times New Roman"/>
                <w:sz w:val="20"/>
                <w:szCs w:val="20"/>
              </w:rPr>
            </w:pPr>
          </w:p>
        </w:tc>
      </w:tr>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Other current liabilities</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Current loan payable</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Total purchase price allocation</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b/>
                <w:bCs/>
                <w:sz w:val="20"/>
                <w:szCs w:val="20"/>
              </w:rPr>
            </w:pPr>
            <w:r>
              <w:rPr>
                <w:rFonts w:eastAsia="Times New Roman"/>
                <w:b/>
                <w:bCs/>
                <w:sz w:val="20"/>
                <w:szCs w:val="20"/>
              </w:rPr>
              <w:t>19,437</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acquired accounts receivable is recorded at fair value, which represents amounts that have subsequently been paid or were expected to be paid by clients. The fair value of customer relationships was based on the estimated discounted cash flows generated by</w:t>
      </w:r>
      <w:r>
        <w:rPr>
          <w:sz w:val="20"/>
          <w:szCs w:val="20"/>
        </w:rPr>
        <w:t xml:space="preserve"> these intangibles. The goodwill represents the Company’s ability to have an expanded local presence in additional markets and operational synergies that we expect to achieve that would not be available to other market participants. The goodwill from this </w:t>
      </w:r>
      <w:r>
        <w:rPr>
          <w:sz w:val="20"/>
          <w:szCs w:val="20"/>
        </w:rPr>
        <w:t>acquisition is deductible ratably for income tax purposes over fifteen years. The purchase agreement provides that if revenue and EBITDA over the next 18 months exceeds certain specified amounts, there will be an earn-out payment to the seller equal to suc</w:t>
      </w:r>
      <w:r>
        <w:rPr>
          <w:sz w:val="20"/>
          <w:szCs w:val="20"/>
        </w:rPr>
        <w:t xml:space="preserve">h excess, up to </w:t>
      </w:r>
      <w:r>
        <w:rPr>
          <w:sz w:val="20"/>
          <w:szCs w:val="20"/>
        </w:rPr>
        <w:t>$</w:t>
      </w:r>
      <w:r>
        <w:rPr>
          <w:sz w:val="20"/>
          <w:szCs w:val="20"/>
        </w:rPr>
        <w:t>1</w:t>
      </w:r>
      <w:r>
        <w:rPr>
          <w:sz w:val="20"/>
          <w:szCs w:val="20"/>
        </w:rPr>
        <w:t>3</w:t>
      </w:r>
      <w:r>
        <w:rPr>
          <w:sz w:val="20"/>
          <w:szCs w:val="20"/>
        </w:rPr>
        <w:t xml:space="preserve"> million. It was estimated that the probable payment was approximately </w:t>
      </w:r>
      <w:r>
        <w:rPr>
          <w:sz w:val="20"/>
          <w:szCs w:val="20"/>
        </w:rPr>
        <w:t>$</w:t>
      </w:r>
      <w:r>
        <w:rPr>
          <w:sz w:val="20"/>
          <w:szCs w:val="20"/>
        </w:rPr>
        <w:t>5.</w:t>
      </w:r>
      <w:r>
        <w:rPr>
          <w:sz w:val="20"/>
          <w:szCs w:val="20"/>
        </w:rPr>
        <w:t>6</w:t>
      </w:r>
      <w:r>
        <w:rPr>
          <w:sz w:val="20"/>
          <w:szCs w:val="20"/>
        </w:rPr>
        <w:t xml:space="preserve"> million as of the acquisition date and this amount has been recorded as part of the purchase price allocation as contingent consideration. At December 31, 2021, </w:t>
      </w:r>
      <w:r>
        <w:rPr>
          <w:sz w:val="20"/>
          <w:szCs w:val="20"/>
        </w:rPr>
        <w:t xml:space="preserve">the Company determined that the fair value of the contingent consideration was approximately </w:t>
      </w:r>
      <w:r>
        <w:rPr>
          <w:sz w:val="20"/>
          <w:szCs w:val="20"/>
        </w:rPr>
        <w:t>$</w:t>
      </w:r>
      <w:r>
        <w:rPr>
          <w:sz w:val="20"/>
          <w:szCs w:val="20"/>
        </w:rPr>
        <w:t>1.</w:t>
      </w:r>
      <w:r>
        <w:rPr>
          <w:sz w:val="20"/>
          <w:szCs w:val="20"/>
        </w:rPr>
        <w:t>5</w:t>
      </w:r>
      <w:r>
        <w:rPr>
          <w:sz w:val="20"/>
          <w:szCs w:val="20"/>
        </w:rPr>
        <w:t xml:space="preserve"> million, based in part on the actual operating results for the seven months since the acquisition. The difference has been recorded as a change in contingent </w:t>
      </w:r>
      <w:r>
        <w:rPr>
          <w:sz w:val="20"/>
          <w:szCs w:val="20"/>
        </w:rPr>
        <w:t>consideration in the consolidated statements of operations.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As part of the acquisition, </w:t>
      </w:r>
      <w:r>
        <w:rPr>
          <w:sz w:val="20"/>
          <w:szCs w:val="20"/>
        </w:rPr>
        <w:t>$</w:t>
      </w:r>
      <w:r>
        <w:rPr>
          <w:sz w:val="20"/>
          <w:szCs w:val="20"/>
        </w:rPr>
        <w:t>1.5</w:t>
      </w:r>
      <w:r>
        <w:rPr>
          <w:sz w:val="20"/>
          <w:szCs w:val="20"/>
        </w:rPr>
        <w:t xml:space="preserve"> </w:t>
      </w:r>
      <w:r>
        <w:rPr>
          <w:sz w:val="20"/>
          <w:szCs w:val="20"/>
        </w:rPr>
        <w:t xml:space="preserve">million of the purchase price was held in escrow, which represented </w:t>
      </w:r>
      <w:r>
        <w:rPr>
          <w:sz w:val="20"/>
          <w:szCs w:val="20"/>
        </w:rPr>
        <w:t>$</w:t>
      </w:r>
      <w:r>
        <w:rPr>
          <w:sz w:val="20"/>
          <w:szCs w:val="20"/>
        </w:rPr>
        <w:t>500,000</w:t>
      </w:r>
      <w:r>
        <w:rPr>
          <w:sz w:val="20"/>
          <w:szCs w:val="20"/>
        </w:rPr>
        <w:t xml:space="preserve"> </w:t>
      </w:r>
      <w:r>
        <w:rPr>
          <w:sz w:val="20"/>
          <w:szCs w:val="20"/>
        </w:rPr>
        <w:t>to be paid upon the achievement of agreed-upon revenue and backlog milestones, and t</w:t>
      </w:r>
      <w:r>
        <w:rPr>
          <w:sz w:val="20"/>
          <w:szCs w:val="20"/>
        </w:rPr>
        <w:t>he balance to be held for up to</w:t>
      </w:r>
      <w:r>
        <w:rPr>
          <w:sz w:val="20"/>
          <w:szCs w:val="20"/>
        </w:rPr>
        <w:t xml:space="preserve"> </w:t>
      </w:r>
      <w:r>
        <w:rPr>
          <w:sz w:val="20"/>
          <w:szCs w:val="20"/>
        </w:rPr>
        <w:t>18 month</w:t>
      </w:r>
      <w:r>
        <w:rPr>
          <w:sz w:val="20"/>
          <w:szCs w:val="20"/>
        </w:rPr>
        <w:t>s</w:t>
      </w:r>
      <w:r>
        <w:rPr>
          <w:sz w:val="20"/>
          <w:szCs w:val="20"/>
        </w:rPr>
        <w:t xml:space="preserve"> to satisfy certain indemnification obligations. During the third quarter, the initial portion of the escrow was settled whereby </w:t>
      </w:r>
      <w:r>
        <w:rPr>
          <w:sz w:val="20"/>
          <w:szCs w:val="20"/>
        </w:rPr>
        <w:t>$</w:t>
      </w:r>
      <w:r>
        <w:rPr>
          <w:sz w:val="20"/>
          <w:szCs w:val="20"/>
        </w:rPr>
        <w:t>250,000</w:t>
      </w:r>
      <w:r>
        <w:rPr>
          <w:sz w:val="20"/>
          <w:szCs w:val="20"/>
        </w:rPr>
        <w:t xml:space="preserve"> </w:t>
      </w:r>
      <w:r>
        <w:rPr>
          <w:sz w:val="20"/>
          <w:szCs w:val="20"/>
        </w:rPr>
        <w:t xml:space="preserve">was paid to the seller and </w:t>
      </w:r>
      <w:r>
        <w:rPr>
          <w:sz w:val="20"/>
          <w:szCs w:val="20"/>
        </w:rPr>
        <w:t>$</w:t>
      </w:r>
      <w:r>
        <w:rPr>
          <w:sz w:val="20"/>
          <w:szCs w:val="20"/>
        </w:rPr>
        <w:t>250,000</w:t>
      </w:r>
      <w:r>
        <w:rPr>
          <w:sz w:val="20"/>
          <w:szCs w:val="20"/>
        </w:rPr>
        <w:t xml:space="preserve"> </w:t>
      </w:r>
      <w:r>
        <w:rPr>
          <w:sz w:val="20"/>
          <w:szCs w:val="20"/>
        </w:rPr>
        <w:t>was offset against the working capital ad</w:t>
      </w:r>
      <w:r>
        <w:rPr>
          <w:sz w:val="20"/>
          <w:szCs w:val="20"/>
        </w:rPr>
        <w:t xml:space="preserve">justment. An additional </w:t>
      </w:r>
      <w:r>
        <w:rPr>
          <w:sz w:val="20"/>
          <w:szCs w:val="20"/>
        </w:rPr>
        <w:t>$</w:t>
      </w:r>
      <w:r>
        <w:rPr>
          <w:sz w:val="20"/>
          <w:szCs w:val="20"/>
        </w:rPr>
        <w:t>71,000</w:t>
      </w:r>
      <w:r>
        <w:rPr>
          <w:sz w:val="20"/>
          <w:szCs w:val="20"/>
        </w:rPr>
        <w:t xml:space="preserve"> </w:t>
      </w:r>
      <w:r>
        <w:rPr>
          <w:sz w:val="20"/>
          <w:szCs w:val="20"/>
        </w:rPr>
        <w:t xml:space="preserve">that was held in escrow was also paid. The balance of the </w:t>
      </w:r>
      <w:r>
        <w:rPr>
          <w:sz w:val="20"/>
          <w:szCs w:val="20"/>
        </w:rPr>
        <w:t>$</w:t>
      </w:r>
      <w:r>
        <w:rPr>
          <w:sz w:val="20"/>
          <w:szCs w:val="20"/>
        </w:rPr>
        <w:t>1</w:t>
      </w:r>
      <w:r>
        <w:rPr>
          <w:sz w:val="20"/>
          <w:szCs w:val="20"/>
        </w:rPr>
        <w:t xml:space="preserve">.0 million escrow is included in consideration payable and restricted cash in the consolidated balance sheet at December 31, 2021. Approximately </w:t>
      </w:r>
      <w:r>
        <w:rPr>
          <w:sz w:val="20"/>
          <w:szCs w:val="20"/>
        </w:rPr>
        <w:t>$</w:t>
      </w:r>
      <w:r>
        <w:rPr>
          <w:sz w:val="20"/>
          <w:szCs w:val="20"/>
        </w:rPr>
        <w:t>12.3</w:t>
      </w:r>
      <w:r>
        <w:rPr>
          <w:sz w:val="20"/>
          <w:szCs w:val="20"/>
        </w:rPr>
        <w:t xml:space="preserve"> </w:t>
      </w:r>
      <w:r>
        <w:rPr>
          <w:sz w:val="20"/>
          <w:szCs w:val="20"/>
        </w:rPr>
        <w:t>million in ca</w:t>
      </w:r>
      <w:r>
        <w:rPr>
          <w:sz w:val="20"/>
          <w:szCs w:val="20"/>
        </w:rPr>
        <w:t>sh was paid at closing.</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Revenue earned from the clients obtained from the medSR acquisition on June 1, 2021 was approximately </w:t>
      </w:r>
      <w:r>
        <w:rPr>
          <w:sz w:val="20"/>
          <w:szCs w:val="20"/>
        </w:rPr>
        <w:t>$</w:t>
      </w:r>
      <w:r>
        <w:rPr>
          <w:sz w:val="20"/>
          <w:szCs w:val="20"/>
        </w:rPr>
        <w:t>15.</w:t>
      </w:r>
      <w:r>
        <w:rPr>
          <w:sz w:val="20"/>
          <w:szCs w:val="20"/>
        </w:rPr>
        <w:t>9</w:t>
      </w:r>
      <w:r>
        <w:rPr>
          <w:sz w:val="20"/>
          <w:szCs w:val="20"/>
        </w:rPr>
        <w:t xml:space="preserve"> million for the</w:t>
      </w:r>
      <w:r>
        <w:rPr>
          <w:sz w:val="20"/>
          <w:szCs w:val="20"/>
        </w:rPr>
        <w:t xml:space="preserve"> year ended December 31, 2021.</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medSR acquisition added additional clients to the Company’s customer base and, similar to previous acquisitions, broadened the Company’s presence in the healthcare information technology industry through expansion of it</w:t>
      </w:r>
      <w:r>
        <w:rPr>
          <w:sz w:val="20"/>
          <w:szCs w:val="20"/>
        </w:rPr>
        <w:t>s customer base and by increasing available customer relationship resources and specialized trained staff.</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u w:val="single"/>
        </w:rPr>
        <w:t>2020 Acquisitions</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On June 16, 2020, the Company entered into a Stock Purchase Agreement with Meridian Billing Management Co., a Vermont corporati</w:t>
      </w:r>
      <w:r>
        <w:rPr>
          <w:sz w:val="20"/>
          <w:szCs w:val="20"/>
        </w:rPr>
        <w:t>on, Origin Holdings, Inc., a Delaware corporation and GMM II Holdings, LLC, a Delaware limited liability company (“Seller”), pursuant to which the Company purchased all of the issued and outstanding capital stock of Meridian from the Seller. Meridian is in</w:t>
      </w:r>
      <w:r>
        <w:rPr>
          <w:sz w:val="20"/>
          <w:szCs w:val="20"/>
        </w:rPr>
        <w:t xml:space="preserve"> the business of providing medical billing, revenue cycle management, electronic medical records, medical coding and related services. These revenues have been included in the Company’s Healthcare IT segment. The acquisition has been accounted for as a bus</w:t>
      </w:r>
      <w:r>
        <w:rPr>
          <w:sz w:val="20"/>
          <w:szCs w:val="20"/>
        </w:rPr>
        <w:t>iness combination.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total consideration paid at closing was </w:t>
      </w:r>
      <w:r>
        <w:rPr>
          <w:sz w:val="20"/>
          <w:szCs w:val="20"/>
        </w:rPr>
        <w:t>$</w:t>
      </w:r>
      <w:r>
        <w:rPr>
          <w:sz w:val="20"/>
          <w:szCs w:val="20"/>
        </w:rPr>
        <w:t>11.</w:t>
      </w:r>
      <w:r>
        <w:rPr>
          <w:sz w:val="20"/>
          <w:szCs w:val="20"/>
        </w:rPr>
        <w:t>9</w:t>
      </w:r>
      <w:r>
        <w:rPr>
          <w:sz w:val="20"/>
          <w:szCs w:val="20"/>
        </w:rPr>
        <w:t xml:space="preserve"> million, net of cash received,</w:t>
      </w:r>
      <w:r>
        <w:rPr>
          <w:sz w:val="20"/>
          <w:szCs w:val="20"/>
        </w:rPr>
        <w:t xml:space="preserve"> </w:t>
      </w:r>
      <w:r>
        <w:rPr>
          <w:sz w:val="20"/>
          <w:szCs w:val="20"/>
        </w:rPr>
        <w:t>200,00</w:t>
      </w:r>
      <w:r>
        <w:rPr>
          <w:sz w:val="20"/>
          <w:szCs w:val="20"/>
        </w:rPr>
        <w:t>0</w:t>
      </w:r>
      <w:r>
        <w:rPr>
          <w:sz w:val="20"/>
          <w:szCs w:val="20"/>
        </w:rPr>
        <w:t xml:space="preserve"> shares of the Company’s Series A Preferred Stock plus warrants to purchase</w:t>
      </w:r>
      <w:r>
        <w:rPr>
          <w:sz w:val="20"/>
          <w:szCs w:val="20"/>
        </w:rPr>
        <w:t xml:space="preserve"> </w:t>
      </w:r>
      <w:r>
        <w:rPr>
          <w:sz w:val="20"/>
          <w:szCs w:val="20"/>
        </w:rPr>
        <w:t>2,250,00</w:t>
      </w:r>
      <w:r>
        <w:rPr>
          <w:sz w:val="20"/>
          <w:szCs w:val="20"/>
        </w:rPr>
        <w:t>0</w:t>
      </w:r>
      <w:r>
        <w:rPr>
          <w:sz w:val="20"/>
          <w:szCs w:val="20"/>
        </w:rPr>
        <w:t xml:space="preserve"> shares of the Company’s common stock, with an exercise price </w:t>
      </w:r>
      <w:r>
        <w:rPr>
          <w:sz w:val="20"/>
          <w:szCs w:val="20"/>
        </w:rPr>
        <w:t xml:space="preserve">per share of </w:t>
      </w:r>
      <w:r>
        <w:rPr>
          <w:sz w:val="20"/>
          <w:szCs w:val="20"/>
        </w:rPr>
        <w:t>$</w:t>
      </w:r>
      <w:r>
        <w:rPr>
          <w:sz w:val="20"/>
          <w:szCs w:val="20"/>
        </w:rPr>
        <w:t>7.5</w:t>
      </w:r>
      <w:r>
        <w:rPr>
          <w:sz w:val="20"/>
          <w:szCs w:val="20"/>
        </w:rPr>
        <w:t>0</w:t>
      </w:r>
      <w:r>
        <w:rPr>
          <w:sz w:val="20"/>
          <w:szCs w:val="20"/>
        </w:rPr>
        <w:t xml:space="preserve"> and a term of</w:t>
      </w:r>
      <w:r>
        <w:rPr>
          <w:sz w:val="20"/>
          <w:szCs w:val="20"/>
        </w:rPr>
        <w:t xml:space="preserve"> </w:t>
      </w:r>
      <w:r>
        <w:rPr>
          <w:sz w:val="20"/>
          <w:szCs w:val="20"/>
        </w:rPr>
        <w:t>two year</w:t>
      </w:r>
      <w:r>
        <w:rPr>
          <w:sz w:val="20"/>
          <w:szCs w:val="20"/>
        </w:rPr>
        <w:t>s</w:t>
      </w:r>
      <w:r>
        <w:rPr>
          <w:sz w:val="20"/>
          <w:szCs w:val="20"/>
        </w:rPr>
        <w:t>. The Company also assumed Meridian’s negative net working capital and certain long-term lease liabilities where the leased space is either not being utilized or was to be vacated shortly, with an aggregate value o</w:t>
      </w:r>
      <w:r>
        <w:rPr>
          <w:sz w:val="20"/>
          <w:szCs w:val="20"/>
        </w:rPr>
        <w:t xml:space="preserve">f approximately </w:t>
      </w:r>
      <w:r>
        <w:rPr>
          <w:sz w:val="20"/>
          <w:szCs w:val="20"/>
        </w:rPr>
        <w:t>$</w:t>
      </w:r>
      <w:r>
        <w:rPr>
          <w:sz w:val="20"/>
          <w:szCs w:val="20"/>
        </w:rPr>
        <w:t>4.</w:t>
      </w:r>
      <w:r>
        <w:rPr>
          <w:sz w:val="20"/>
          <w:szCs w:val="20"/>
        </w:rPr>
        <w:t>8</w:t>
      </w:r>
      <w:r>
        <w:rPr>
          <w:sz w:val="20"/>
          <w:szCs w:val="20"/>
        </w:rPr>
        <w:t xml:space="preserve"> million.</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67987069"/>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 summary of the total consideration is as follows: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u w:val="single"/>
        </w:rPr>
        <w:t>Meridian Purchase Price</w:t>
      </w:r>
    </w:p>
    <w:p w:rsidR="00000000" w:rsidRDefault="00B30BA7">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Description w:val="xdx: Disclosure - SUMMARY OF TOTAL CONSIDERATION ON BUSINESS CONSIDERATION (Details)"/>
      </w:tblPr>
      <w:tblGrid>
        <w:gridCol w:w="4639"/>
        <w:gridCol w:w="105"/>
        <w:gridCol w:w="100"/>
        <w:gridCol w:w="920"/>
        <w:gridCol w:w="50"/>
      </w:tblGrid>
      <w:tr w:rsidR="00000000">
        <w:trPr>
          <w:divId w:val="897396223"/>
        </w:trPr>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rPr>
          <w:divId w:val="897396223"/>
        </w:trPr>
        <w:tc>
          <w:tcPr>
            <w:tcW w:w="4000" w:type="pct"/>
            <w:shd w:val="clear" w:color="auto" w:fill="CCEEFF"/>
            <w:vAlign w:val="bottom"/>
            <w:hideMark/>
          </w:tcPr>
          <w:p w:rsidR="00000000" w:rsidRDefault="00B30BA7">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11,864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897396223"/>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897396223"/>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Warrants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4,770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897396223"/>
        </w:trPr>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Total purchase price</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b/>
                <w:bCs/>
                <w:sz w:val="20"/>
                <w:szCs w:val="20"/>
              </w:rPr>
            </w:pPr>
            <w:r>
              <w:rPr>
                <w:rFonts w:eastAsia="Times New Roman"/>
                <w:b/>
                <w:bCs/>
                <w:sz w:val="20"/>
                <w:szCs w:val="20"/>
              </w:rPr>
              <w:t>21,634</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Of the Series A Preferred Stock consideration,</w:t>
      </w:r>
      <w:r>
        <w:rPr>
          <w:sz w:val="20"/>
          <w:szCs w:val="20"/>
        </w:rPr>
        <w:t xml:space="preserve"> </w:t>
      </w:r>
      <w:r>
        <w:rPr>
          <w:sz w:val="20"/>
          <w:szCs w:val="20"/>
        </w:rPr>
        <w:t>100,00</w:t>
      </w:r>
      <w:r>
        <w:rPr>
          <w:sz w:val="20"/>
          <w:szCs w:val="20"/>
        </w:rPr>
        <w:t>0</w:t>
      </w:r>
      <w:r>
        <w:rPr>
          <w:sz w:val="20"/>
          <w:szCs w:val="20"/>
        </w:rPr>
        <w:t xml:space="preserve"> shares were held in escrow for up to one month pending completion of technical migration and customer acceptance. The shares held in escrow were released on August 3, 2020.</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Company’s Series A P</w:t>
      </w:r>
      <w:r>
        <w:rPr>
          <w:sz w:val="20"/>
          <w:szCs w:val="20"/>
        </w:rPr>
        <w:t xml:space="preserve">referred Stock and warrants issued as part of the acquisition consideration were issued in a transaction exempt from registration under the Securities Act of 1933, as amended (the “Securities Act”). The warrants were valued using the Black-Scholes method. </w:t>
      </w:r>
      <w:r>
        <w:rPr>
          <w:sz w:val="20"/>
          <w:szCs w:val="20"/>
        </w:rPr>
        <w:t>The Company registered for resale under the Securities Act the Series A Preferred Stock and the common stock underlying the warrants. During 2020,</w:t>
      </w:r>
      <w:r>
        <w:rPr>
          <w:sz w:val="20"/>
          <w:szCs w:val="20"/>
        </w:rPr>
        <w:t xml:space="preserve"> </w:t>
      </w:r>
      <w:r>
        <w:rPr>
          <w:sz w:val="20"/>
          <w:szCs w:val="20"/>
        </w:rPr>
        <w:t>593,34</w:t>
      </w:r>
      <w:r>
        <w:rPr>
          <w:sz w:val="20"/>
          <w:szCs w:val="20"/>
        </w:rPr>
        <w:t>9</w:t>
      </w:r>
      <w:r>
        <w:rPr>
          <w:sz w:val="20"/>
          <w:szCs w:val="20"/>
        </w:rPr>
        <w:t xml:space="preserve"> warrants were exercised at </w:t>
      </w:r>
      <w:r>
        <w:rPr>
          <w:sz w:val="20"/>
          <w:szCs w:val="20"/>
        </w:rPr>
        <w:t>$</w:t>
      </w:r>
      <w:r>
        <w:rPr>
          <w:sz w:val="20"/>
          <w:szCs w:val="20"/>
        </w:rPr>
        <w:t>7.5</w:t>
      </w:r>
      <w:r>
        <w:rPr>
          <w:sz w:val="20"/>
          <w:szCs w:val="20"/>
        </w:rPr>
        <w:t>0</w:t>
      </w:r>
      <w:r>
        <w:rPr>
          <w:sz w:val="20"/>
          <w:szCs w:val="20"/>
        </w:rPr>
        <w:t xml:space="preserve"> each.</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Meridian acquisition added additional clients to the Com</w:t>
      </w:r>
      <w:r>
        <w:rPr>
          <w:sz w:val="20"/>
          <w:szCs w:val="20"/>
        </w:rPr>
        <w:t>pany’s customer base, along with additional technology, most notably a widely used business intelligence solution and robotic process automation. Similar to previous acquisitions, Meridian broadened the Company’s presence in the healthcare information tech</w:t>
      </w:r>
      <w:r>
        <w:rPr>
          <w:sz w:val="20"/>
          <w:szCs w:val="20"/>
        </w:rPr>
        <w:t>nology industry through expansion of its customer base, both geographically and to an increasing number of larger health systems, and by increasing available customer relationship resources and specialized trained staff.</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Company engaged a third-party</w:t>
      </w:r>
      <w:r>
        <w:rPr>
          <w:sz w:val="20"/>
          <w:szCs w:val="20"/>
        </w:rPr>
        <w:t xml:space="preserve"> valuation specialist to assist the Company in valuing the assets acquired and liabilities assumed from Meridian. The purchase price allocation for Meridian is summarized as follows:</w:t>
      </w:r>
    </w:p>
    <w:p w:rsidR="00000000" w:rsidRDefault="00B30BA7">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Description w:val="xdx: Disclosure - SCHEDULE OF ASSETS ACQUIRED AND LIABILITIES ASSUMED (Details)"/>
      </w:tblPr>
      <w:tblGrid>
        <w:gridCol w:w="4634"/>
        <w:gridCol w:w="99"/>
        <w:gridCol w:w="100"/>
        <w:gridCol w:w="914"/>
        <w:gridCol w:w="67"/>
      </w:tblGrid>
      <w:tr w:rsidR="00000000">
        <w:trPr>
          <w:divId w:val="1491363575"/>
        </w:trPr>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491363575"/>
        </w:trPr>
        <w:tc>
          <w:tcPr>
            <w:tcW w:w="4000" w:type="pct"/>
            <w:shd w:val="clear" w:color="auto" w:fill="CCEEFF"/>
            <w:vAlign w:val="bottom"/>
            <w:hideMark/>
          </w:tcPr>
          <w:p w:rsidR="00000000" w:rsidRDefault="00B30BA7">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3,558</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491363575"/>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704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491363575"/>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881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491363575"/>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426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491363575"/>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2,776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491363575"/>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12,900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491363575"/>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Technology</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491363575"/>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13,789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491363575"/>
        </w:trPr>
        <w:tc>
          <w:tcPr>
            <w:tcW w:w="0" w:type="auto"/>
            <w:shd w:val="clear" w:color="auto" w:fill="CCEEFF"/>
            <w:vAlign w:val="bottom"/>
            <w:hideMark/>
          </w:tcPr>
          <w:p w:rsidR="00000000" w:rsidRDefault="00B30BA7">
            <w:pPr>
              <w:pStyle w:val="a3"/>
              <w:spacing w:before="0" w:beforeAutospacing="0" w:after="0" w:afterAutospacing="0"/>
              <w:rPr>
                <w:sz w:val="20"/>
                <w:szCs w:val="20"/>
              </w:rPr>
            </w:pPr>
            <w:r>
              <w:rPr>
                <w:sz w:val="20"/>
                <w:szCs w:val="20"/>
              </w:rPr>
              <w:t>Accounts payable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(3,373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rPr>
          <w:divId w:val="1491363575"/>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(3,932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rPr>
          <w:divId w:val="1491363575"/>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(907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rPr>
          <w:divId w:val="1491363575"/>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(6,025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rPr>
          <w:divId w:val="1491363575"/>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Other current liabilities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rPr>
          <w:divId w:val="1491363575"/>
        </w:trPr>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Total purchase price allocation</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b/>
                <w:bCs/>
                <w:sz w:val="20"/>
                <w:szCs w:val="20"/>
              </w:rPr>
            </w:pPr>
            <w:r>
              <w:rPr>
                <w:rFonts w:eastAsia="Times New Roman"/>
                <w:b/>
                <w:bCs/>
                <w:sz w:val="20"/>
                <w:szCs w:val="20"/>
              </w:rPr>
              <w:t>21,634</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not deductible for income tax purposes and represents the Company’s ability to have an expanded local presence in additional markets and operational synergies that we expect to achieve that would not</w:t>
      </w:r>
      <w:r>
        <w:rPr>
          <w:sz w:val="20"/>
          <w:szCs w:val="20"/>
        </w:rPr>
        <w:t xml:space="preserve"> be available to other market participants.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48554926"/>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Revenue </w:t>
      </w:r>
      <w:r>
        <w:rPr>
          <w:sz w:val="20"/>
          <w:szCs w:val="20"/>
        </w:rPr>
        <w:t xml:space="preserve">earned from the clients obtained from the Meridian acquisition was approximately </w:t>
      </w:r>
      <w:r>
        <w:rPr>
          <w:sz w:val="20"/>
          <w:szCs w:val="20"/>
        </w:rPr>
        <w:t>$</w:t>
      </w:r>
      <w:r>
        <w:rPr>
          <w:sz w:val="20"/>
          <w:szCs w:val="20"/>
        </w:rPr>
        <w:t>36.1</w:t>
      </w:r>
      <w:r>
        <w:rPr>
          <w:sz w:val="20"/>
          <w:szCs w:val="20"/>
        </w:rPr>
        <w:t xml:space="preserve"> </w:t>
      </w:r>
      <w:r>
        <w:rPr>
          <w:sz w:val="20"/>
          <w:szCs w:val="20"/>
        </w:rPr>
        <w:t xml:space="preserve">million and </w:t>
      </w:r>
      <w:r>
        <w:rPr>
          <w:sz w:val="20"/>
          <w:szCs w:val="20"/>
        </w:rPr>
        <w:t>$</w:t>
      </w:r>
      <w:r>
        <w:rPr>
          <w:sz w:val="20"/>
          <w:szCs w:val="20"/>
        </w:rPr>
        <w:t>21.5</w:t>
      </w:r>
      <w:r>
        <w:rPr>
          <w:sz w:val="20"/>
          <w:szCs w:val="20"/>
        </w:rPr>
        <w:t xml:space="preserve"> </w:t>
      </w:r>
      <w:r>
        <w:rPr>
          <w:sz w:val="20"/>
          <w:szCs w:val="20"/>
        </w:rPr>
        <w:t>million for the years ended December 31, 2021 and 2020, respectively.</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On January 8, 2020, the Company entered into an Agreement and Plan of Merger (t</w:t>
      </w:r>
      <w:r>
        <w:rPr>
          <w:sz w:val="20"/>
          <w:szCs w:val="20"/>
        </w:rPr>
        <w:t xml:space="preserve">he “Merger Agreement”) with CareCloud Corporation, a Delaware corporation (“CareCloud Corp.”), MTBC Merger Sub, Inc., a Delaware corporation and wholly-owned subsidiary of the Company (“Merger Sub”) and Runway Growth Credit Fund Inc. (“Runway”), solely in </w:t>
      </w:r>
      <w:r>
        <w:rPr>
          <w:sz w:val="20"/>
          <w:szCs w:val="20"/>
        </w:rPr>
        <w:t>its capacity as a seller representative, pursuant to which Merger Sub merged with and into CareCloud Corp. (the “Merger”), with CareCloud Corp. surviving as a wholly-owned subsidiary of the Company. The Merger became effective simultaneously with the execu</w:t>
      </w:r>
      <w:r>
        <w:rPr>
          <w:sz w:val="20"/>
          <w:szCs w:val="20"/>
        </w:rPr>
        <w:t>tion of the Merger Agreement. The revenues related to CareCloud Corp. have been included in the Company’s Healthcare IT segment. The acquisition has been accounted for as a business combination.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total consideration for the Merger included approximate</w:t>
      </w:r>
      <w:r>
        <w:rPr>
          <w:sz w:val="20"/>
          <w:szCs w:val="20"/>
        </w:rPr>
        <w:t xml:space="preserve">ly </w:t>
      </w:r>
      <w:r>
        <w:rPr>
          <w:sz w:val="20"/>
          <w:szCs w:val="20"/>
        </w:rPr>
        <w:t>$</w:t>
      </w:r>
      <w:r>
        <w:rPr>
          <w:sz w:val="20"/>
          <w:szCs w:val="20"/>
        </w:rPr>
        <w:t>11.</w:t>
      </w:r>
      <w:r>
        <w:rPr>
          <w:sz w:val="20"/>
          <w:szCs w:val="20"/>
        </w:rPr>
        <w:t>9</w:t>
      </w:r>
      <w:r>
        <w:rPr>
          <w:sz w:val="20"/>
          <w:szCs w:val="20"/>
        </w:rPr>
        <w:t xml:space="preserve"> million paid in cash at closing, the assumption of a working capital deficiency of approximately </w:t>
      </w:r>
      <w:r>
        <w:rPr>
          <w:sz w:val="20"/>
          <w:szCs w:val="20"/>
        </w:rPr>
        <w:t>$</w:t>
      </w:r>
      <w:r>
        <w:rPr>
          <w:sz w:val="20"/>
          <w:szCs w:val="20"/>
        </w:rPr>
        <w:t>5.</w:t>
      </w:r>
      <w:r>
        <w:rPr>
          <w:sz w:val="20"/>
          <w:szCs w:val="20"/>
        </w:rPr>
        <w:t>1</w:t>
      </w:r>
      <w:r>
        <w:rPr>
          <w:sz w:val="20"/>
          <w:szCs w:val="20"/>
        </w:rPr>
        <w:t xml:space="preserve"> million and</w:t>
      </w:r>
      <w:r>
        <w:rPr>
          <w:sz w:val="20"/>
          <w:szCs w:val="20"/>
        </w:rPr>
        <w:t xml:space="preserve"> </w:t>
      </w:r>
      <w:r>
        <w:rPr>
          <w:sz w:val="20"/>
          <w:szCs w:val="20"/>
        </w:rPr>
        <w:t>760,00</w:t>
      </w:r>
      <w:r>
        <w:rPr>
          <w:sz w:val="20"/>
          <w:szCs w:val="20"/>
        </w:rPr>
        <w:t>0</w:t>
      </w:r>
      <w:r>
        <w:rPr>
          <w:sz w:val="20"/>
          <w:szCs w:val="20"/>
        </w:rPr>
        <w:t xml:space="preserve"> shares of the Company’s Series A Preferred Stock.</w:t>
      </w:r>
      <w:r>
        <w:rPr>
          <w:sz w:val="20"/>
          <w:szCs w:val="20"/>
        </w:rPr>
        <w:t xml:space="preserve"> </w:t>
      </w:r>
      <w:r>
        <w:rPr>
          <w:sz w:val="20"/>
          <w:szCs w:val="20"/>
        </w:rPr>
        <w:t>The Merger Agreement provides that if CareCloud Corp.’s 2020 revenues excee</w:t>
      </w:r>
      <w:r>
        <w:rPr>
          <w:sz w:val="20"/>
          <w:szCs w:val="20"/>
        </w:rPr>
        <w:t>d $36 million, there will be an earn-out payment to the seller equal to such excess, up to $3 millio</w:t>
      </w:r>
      <w:r>
        <w:rPr>
          <w:sz w:val="20"/>
          <w:szCs w:val="20"/>
        </w:rPr>
        <w:t>n</w:t>
      </w:r>
      <w:r>
        <w:rPr>
          <w:sz w:val="20"/>
          <w:szCs w:val="20"/>
        </w:rPr>
        <w:t>. Based on the 2020 revenues, no earn-out payment was required. Additional consideration included warrants to purchase</w:t>
      </w:r>
      <w:r>
        <w:rPr>
          <w:sz w:val="20"/>
          <w:szCs w:val="20"/>
        </w:rPr>
        <w:t xml:space="preserve"> </w:t>
      </w:r>
      <w:r>
        <w:rPr>
          <w:sz w:val="20"/>
          <w:szCs w:val="20"/>
        </w:rPr>
        <w:t>2,000,00</w:t>
      </w:r>
      <w:r>
        <w:rPr>
          <w:sz w:val="20"/>
          <w:szCs w:val="20"/>
        </w:rPr>
        <w:t>0</w:t>
      </w:r>
      <w:r>
        <w:rPr>
          <w:sz w:val="20"/>
          <w:szCs w:val="20"/>
        </w:rPr>
        <w:t xml:space="preserve"> shares of the Company’s co</w:t>
      </w:r>
      <w:r>
        <w:rPr>
          <w:sz w:val="20"/>
          <w:szCs w:val="20"/>
        </w:rPr>
        <w:t>mmon stock,</w:t>
      </w:r>
      <w:r>
        <w:rPr>
          <w:sz w:val="20"/>
          <w:szCs w:val="20"/>
        </w:rPr>
        <w:t xml:space="preserve"> </w:t>
      </w:r>
      <w:r>
        <w:rPr>
          <w:sz w:val="20"/>
          <w:szCs w:val="20"/>
        </w:rPr>
        <w:t>1,000,00</w:t>
      </w:r>
      <w:r>
        <w:rPr>
          <w:sz w:val="20"/>
          <w:szCs w:val="20"/>
        </w:rPr>
        <w:t>0</w:t>
      </w:r>
      <w:r>
        <w:rPr>
          <w:sz w:val="20"/>
          <w:szCs w:val="20"/>
        </w:rPr>
        <w:t xml:space="preserve"> of which had an exercise price per share of </w:t>
      </w:r>
      <w:r>
        <w:rPr>
          <w:sz w:val="20"/>
          <w:szCs w:val="20"/>
        </w:rPr>
        <w:t>$</w:t>
      </w:r>
      <w:r>
        <w:rPr>
          <w:sz w:val="20"/>
          <w:szCs w:val="20"/>
        </w:rPr>
        <w:t>7.5</w:t>
      </w:r>
      <w:r>
        <w:rPr>
          <w:sz w:val="20"/>
          <w:szCs w:val="20"/>
        </w:rPr>
        <w:t>0</w:t>
      </w:r>
      <w:r>
        <w:rPr>
          <w:sz w:val="20"/>
          <w:szCs w:val="20"/>
        </w:rPr>
        <w:t xml:space="preserve"> and a term of</w:t>
      </w:r>
      <w:r>
        <w:rPr>
          <w:sz w:val="20"/>
          <w:szCs w:val="20"/>
        </w:rPr>
        <w:t xml:space="preserve"> </w:t>
      </w:r>
      <w:r>
        <w:rPr>
          <w:sz w:val="20"/>
          <w:szCs w:val="20"/>
        </w:rPr>
        <w:t>two year</w:t>
      </w:r>
      <w:r>
        <w:rPr>
          <w:sz w:val="20"/>
          <w:szCs w:val="20"/>
        </w:rPr>
        <w:t>s</w:t>
      </w:r>
      <w:r>
        <w:rPr>
          <w:sz w:val="20"/>
          <w:szCs w:val="20"/>
        </w:rPr>
        <w:t>, and the other</w:t>
      </w:r>
      <w:r>
        <w:rPr>
          <w:sz w:val="20"/>
          <w:szCs w:val="20"/>
        </w:rPr>
        <w:t xml:space="preserve"> </w:t>
      </w:r>
      <w:r>
        <w:rPr>
          <w:sz w:val="20"/>
          <w:szCs w:val="20"/>
        </w:rPr>
        <w:t>1,000,00</w:t>
      </w:r>
      <w:r>
        <w:rPr>
          <w:sz w:val="20"/>
          <w:szCs w:val="20"/>
        </w:rPr>
        <w:t>0</w:t>
      </w:r>
      <w:r>
        <w:rPr>
          <w:sz w:val="20"/>
          <w:szCs w:val="20"/>
        </w:rPr>
        <w:t xml:space="preserve"> warrants have an exercise price per share of </w:t>
      </w:r>
      <w:r>
        <w:rPr>
          <w:sz w:val="20"/>
          <w:szCs w:val="20"/>
        </w:rPr>
        <w:t>$</w:t>
      </w:r>
      <w:r>
        <w:rPr>
          <w:sz w:val="20"/>
          <w:szCs w:val="20"/>
        </w:rPr>
        <w:t>10.0</w:t>
      </w:r>
      <w:r>
        <w:rPr>
          <w:sz w:val="20"/>
          <w:szCs w:val="20"/>
        </w:rPr>
        <w:t>0</w:t>
      </w:r>
      <w:r>
        <w:rPr>
          <w:sz w:val="20"/>
          <w:szCs w:val="20"/>
        </w:rPr>
        <w:t xml:space="preserve"> and a term of</w:t>
      </w:r>
      <w:r>
        <w:rPr>
          <w:sz w:val="20"/>
          <w:szCs w:val="20"/>
        </w:rPr>
        <w:t xml:space="preserve"> </w:t>
      </w:r>
      <w:r>
        <w:rPr>
          <w:sz w:val="20"/>
          <w:szCs w:val="20"/>
        </w:rPr>
        <w:t>three year</w:t>
      </w:r>
      <w:r>
        <w:rPr>
          <w:sz w:val="20"/>
          <w:szCs w:val="20"/>
        </w:rPr>
        <w:t>s</w:t>
      </w:r>
      <w:r>
        <w:rPr>
          <w:sz w:val="20"/>
          <w:szCs w:val="20"/>
        </w:rPr>
        <w: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 summary of the total consideration is as follows: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u w:val="single"/>
        </w:rPr>
        <w:t>CCH Purchase Price</w:t>
      </w:r>
    </w:p>
    <w:p w:rsidR="00000000" w:rsidRDefault="00B30BA7">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Description w:val="xdx: Disclosure - SUMMARY OF TOTAL CONSIDERATION ON BUSINESS CONSIDERATION (Details)"/>
      </w:tblPr>
      <w:tblGrid>
        <w:gridCol w:w="4639"/>
        <w:gridCol w:w="105"/>
        <w:gridCol w:w="100"/>
        <w:gridCol w:w="920"/>
        <w:gridCol w:w="50"/>
      </w:tblGrid>
      <w:tr w:rsidR="00000000">
        <w:trPr>
          <w:divId w:val="767579425"/>
        </w:trPr>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rPr>
          <w:divId w:val="767579425"/>
        </w:trPr>
        <w:tc>
          <w:tcPr>
            <w:tcW w:w="4000" w:type="pct"/>
            <w:shd w:val="clear" w:color="auto" w:fill="CCEEFF"/>
            <w:vAlign w:val="bottom"/>
            <w:hideMark/>
          </w:tcPr>
          <w:p w:rsidR="00000000" w:rsidRDefault="00B30BA7">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11,853</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767579425"/>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19,000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767579425"/>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Warrants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767579425"/>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Contingent consideration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767579425"/>
        </w:trPr>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Total purchase price</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b/>
                <w:bCs/>
                <w:sz w:val="20"/>
                <w:szCs w:val="20"/>
              </w:rPr>
            </w:pPr>
            <w:r>
              <w:rPr>
                <w:rFonts w:eastAsia="Times New Roman"/>
                <w:b/>
                <w:bCs/>
                <w:sz w:val="20"/>
                <w:szCs w:val="20"/>
              </w:rPr>
              <w:t>32,153</w:t>
            </w:r>
          </w:p>
        </w:tc>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Of the Series A </w:t>
      </w:r>
      <w:r>
        <w:rPr>
          <w:sz w:val="20"/>
          <w:szCs w:val="20"/>
        </w:rPr>
        <w:t>Preferred Stock consideration,</w:t>
      </w:r>
      <w:r>
        <w:rPr>
          <w:sz w:val="20"/>
          <w:szCs w:val="20"/>
        </w:rPr>
        <w:t xml:space="preserve"> </w:t>
      </w:r>
      <w:r>
        <w:rPr>
          <w:sz w:val="20"/>
          <w:szCs w:val="20"/>
        </w:rPr>
        <w:t>160,00</w:t>
      </w:r>
      <w:r>
        <w:rPr>
          <w:sz w:val="20"/>
          <w:szCs w:val="20"/>
        </w:rPr>
        <w:t>0</w:t>
      </w:r>
      <w:r>
        <w:rPr>
          <w:sz w:val="20"/>
          <w:szCs w:val="20"/>
        </w:rPr>
        <w:t xml:space="preserve"> shares were placed in escrow for up to</w:t>
      </w:r>
      <w:r>
        <w:rPr>
          <w:sz w:val="20"/>
          <w:szCs w:val="20"/>
        </w:rPr>
        <w:t xml:space="preserve"> </w:t>
      </w:r>
      <w:r>
        <w:rPr>
          <w:sz w:val="20"/>
          <w:szCs w:val="20"/>
        </w:rPr>
        <w:t>24 month</w:t>
      </w:r>
      <w:r>
        <w:rPr>
          <w:sz w:val="20"/>
          <w:szCs w:val="20"/>
        </w:rPr>
        <w:t>s</w:t>
      </w:r>
      <w:r>
        <w:rPr>
          <w:sz w:val="20"/>
          <w:szCs w:val="20"/>
        </w:rPr>
        <w:t>, and an additional</w:t>
      </w:r>
      <w:r>
        <w:rPr>
          <w:sz w:val="20"/>
          <w:szCs w:val="20"/>
        </w:rPr>
        <w:t xml:space="preserve"> </w:t>
      </w:r>
      <w:r>
        <w:rPr>
          <w:sz w:val="20"/>
          <w:szCs w:val="20"/>
        </w:rPr>
        <w:t>100,00</w:t>
      </w:r>
      <w:r>
        <w:rPr>
          <w:sz w:val="20"/>
          <w:szCs w:val="20"/>
        </w:rPr>
        <w:t>0</w:t>
      </w:r>
      <w:r>
        <w:rPr>
          <w:sz w:val="20"/>
          <w:szCs w:val="20"/>
        </w:rPr>
        <w:t xml:space="preserve"> shares were placed in escrow for up to</w:t>
      </w:r>
      <w:r>
        <w:rPr>
          <w:sz w:val="20"/>
          <w:szCs w:val="20"/>
        </w:rPr>
        <w:t xml:space="preserve"> </w:t>
      </w:r>
      <w:r>
        <w:rPr>
          <w:sz w:val="20"/>
          <w:szCs w:val="20"/>
        </w:rPr>
        <w:t>18 month</w:t>
      </w:r>
      <w:r>
        <w:rPr>
          <w:sz w:val="20"/>
          <w:szCs w:val="20"/>
        </w:rPr>
        <w:t>s</w:t>
      </w:r>
      <w:r>
        <w:rPr>
          <w:sz w:val="20"/>
          <w:szCs w:val="20"/>
        </w:rPr>
        <w:t>, in both cases, to satisfy indemnification obligations of the seller for losses arising from</w:t>
      </w:r>
      <w:r>
        <w:rPr>
          <w:sz w:val="20"/>
          <w:szCs w:val="20"/>
        </w:rPr>
        <w:t xml:space="preserve"> certain specified contingent liabilities. The escrowed shares net of such losses were released upon the joint instruction of the Company and Runway in accordance with the applicable escrow terms. Such shares were entitled to the monthly dividend, which wa</w:t>
      </w:r>
      <w:r>
        <w:rPr>
          <w:sz w:val="20"/>
          <w:szCs w:val="20"/>
        </w:rPr>
        <w:t xml:space="preserve">s to be paid when, and if, the shares were released. The Company had accrued the dividend monthly on the Series A Preferred Stock held in escrow. Due to the settlement of the obligation in April 2021, accrued dividends of </w:t>
      </w:r>
      <w:r>
        <w:rPr>
          <w:sz w:val="20"/>
          <w:szCs w:val="20"/>
        </w:rPr>
        <w:t>$</w:t>
      </w:r>
      <w:r>
        <w:rPr>
          <w:sz w:val="20"/>
          <w:szCs w:val="20"/>
        </w:rPr>
        <w:t>513,00</w:t>
      </w:r>
      <w:r>
        <w:rPr>
          <w:sz w:val="20"/>
          <w:szCs w:val="20"/>
        </w:rPr>
        <w:t>0</w:t>
      </w:r>
      <w:r>
        <w:rPr>
          <w:sz w:val="20"/>
          <w:szCs w:val="20"/>
        </w:rPr>
        <w:t xml:space="preserve"> relating to the</w:t>
      </w:r>
      <w:r>
        <w:rPr>
          <w:sz w:val="20"/>
          <w:szCs w:val="20"/>
        </w:rPr>
        <w:t xml:space="preserve"> </w:t>
      </w:r>
      <w:r>
        <w:rPr>
          <w:sz w:val="20"/>
          <w:szCs w:val="20"/>
        </w:rPr>
        <w:t>160,00</w:t>
      </w:r>
      <w:r>
        <w:rPr>
          <w:sz w:val="20"/>
          <w:szCs w:val="20"/>
        </w:rPr>
        <w:t>0</w:t>
      </w:r>
      <w:r>
        <w:rPr>
          <w:sz w:val="20"/>
          <w:szCs w:val="20"/>
        </w:rPr>
        <w:t xml:space="preserve"> s</w:t>
      </w:r>
      <w:r>
        <w:rPr>
          <w:sz w:val="20"/>
          <w:szCs w:val="20"/>
        </w:rPr>
        <w:t>hares held in escrow were reversed during the first quarter of 2021. The shares held in escrow were forfeited to cover the cost of the settlement.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It was determined that</w:t>
      </w:r>
      <w:r>
        <w:rPr>
          <w:sz w:val="20"/>
          <w:szCs w:val="20"/>
        </w:rPr>
        <w:t xml:space="preserve"> </w:t>
      </w:r>
      <w:r>
        <w:rPr>
          <w:sz w:val="20"/>
          <w:szCs w:val="20"/>
        </w:rPr>
        <w:t>55,82</w:t>
      </w:r>
      <w:r>
        <w:rPr>
          <w:sz w:val="20"/>
          <w:szCs w:val="20"/>
        </w:rPr>
        <w:t>2</w:t>
      </w:r>
      <w:r>
        <w:rPr>
          <w:sz w:val="20"/>
          <w:szCs w:val="20"/>
        </w:rPr>
        <w:t xml:space="preserve"> shares of the Series A Preferred Stock would be released from escrow and canc</w:t>
      </w:r>
      <w:r>
        <w:rPr>
          <w:sz w:val="20"/>
          <w:szCs w:val="20"/>
        </w:rPr>
        <w:t xml:space="preserve">elled since one of the contingent liabilities was settled for the amount of the cancelled shares. This included a cash payment of approximately </w:t>
      </w:r>
      <w:r>
        <w:rPr>
          <w:sz w:val="20"/>
          <w:szCs w:val="20"/>
        </w:rPr>
        <w:t>$</w:t>
      </w:r>
      <w:r>
        <w:rPr>
          <w:sz w:val="20"/>
          <w:szCs w:val="20"/>
        </w:rPr>
        <w:t>1.</w:t>
      </w:r>
      <w:r>
        <w:rPr>
          <w:sz w:val="20"/>
          <w:szCs w:val="20"/>
        </w:rPr>
        <w:t>3</w:t>
      </w:r>
      <w:r>
        <w:rPr>
          <w:sz w:val="20"/>
          <w:szCs w:val="20"/>
        </w:rPr>
        <w:t xml:space="preserve"> million. Dividends previously accrued on these shares of </w:t>
      </w:r>
      <w:r>
        <w:rPr>
          <w:sz w:val="20"/>
          <w:szCs w:val="20"/>
        </w:rPr>
        <w:t>$</w:t>
      </w:r>
      <w:r>
        <w:rPr>
          <w:sz w:val="20"/>
          <w:szCs w:val="20"/>
        </w:rPr>
        <w:t>102,00</w:t>
      </w:r>
      <w:r>
        <w:rPr>
          <w:sz w:val="20"/>
          <w:szCs w:val="20"/>
        </w:rPr>
        <w:t>0</w:t>
      </w:r>
      <w:r>
        <w:rPr>
          <w:sz w:val="20"/>
          <w:szCs w:val="20"/>
        </w:rPr>
        <w:t xml:space="preserve"> were reversed as of June 30, 2020, since </w:t>
      </w:r>
      <w:r>
        <w:rPr>
          <w:sz w:val="20"/>
          <w:szCs w:val="20"/>
        </w:rPr>
        <w:t>the amounts will not need to be paid. The remaining shares held in escrow have been released.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Company’s Series A Preferred Stock and warrants issued as part of the Merger consideration were issued in a transaction exempt from registration under the S</w:t>
      </w:r>
      <w:r>
        <w:rPr>
          <w:sz w:val="20"/>
          <w:szCs w:val="20"/>
        </w:rPr>
        <w:t>ecurities Act of 1933, as amended (the “Securities Act”). The warrants were valued using the Black-Scholes method. The Company registered for resale under the Securities Act the Preferred Stock and the securities underlying the warrants.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CareCloud ac</w:t>
      </w:r>
      <w:r>
        <w:rPr>
          <w:sz w:val="20"/>
          <w:szCs w:val="20"/>
        </w:rPr>
        <w:t xml:space="preserve">quisition added additional clients to the Company’s customer base. The Company acquired CareCloud’s software technology and related business, of which certain elements were subject to a civil regulatory investigation and were subsequently settled. Similar </w:t>
      </w:r>
      <w:r>
        <w:rPr>
          <w:sz w:val="20"/>
          <w:szCs w:val="20"/>
        </w:rPr>
        <w:t>to previous acquisitions, this transaction broadened the Company’s presence in the healthcare information technology industry through geographic expansion of its customer base and by increasing available customer relationship resources and specialized trai</w:t>
      </w:r>
      <w:r>
        <w:rPr>
          <w:sz w:val="20"/>
          <w:szCs w:val="20"/>
        </w:rPr>
        <w:t>ned staff.</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38045137"/>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Company engaged a third-party valuation specialist to assist the Company in valuing the assets acquired and liabilities assumed from CareCloud Corp. The following table summarizes the purchase price allocation:</w:t>
      </w:r>
    </w:p>
    <w:p w:rsidR="00000000" w:rsidRDefault="00B30BA7">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Description w:val="xdx: Disclosure - SCHEDULE OF ASSETS ACQUIRED AND LIABILITIES ASSUMED (Details)"/>
      </w:tblPr>
      <w:tblGrid>
        <w:gridCol w:w="4634"/>
        <w:gridCol w:w="99"/>
        <w:gridCol w:w="100"/>
        <w:gridCol w:w="914"/>
        <w:gridCol w:w="67"/>
      </w:tblGrid>
      <w:tr w:rsidR="00000000">
        <w:trPr>
          <w:divId w:val="1010059049"/>
        </w:trPr>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010059049"/>
        </w:trPr>
        <w:tc>
          <w:tcPr>
            <w:tcW w:w="4000" w:type="pct"/>
            <w:shd w:val="clear" w:color="auto" w:fill="CCEEFF"/>
            <w:vAlign w:val="bottom"/>
            <w:hideMark/>
          </w:tcPr>
          <w:p w:rsidR="00000000" w:rsidRDefault="00B30BA7">
            <w:pPr>
              <w:rPr>
                <w:rFonts w:eastAsia="Times New Roman"/>
                <w:sz w:val="20"/>
                <w:szCs w:val="20"/>
              </w:rPr>
            </w:pPr>
            <w:r>
              <w:rPr>
                <w:rFonts w:eastAsia="Times New Roman"/>
                <w:sz w:val="20"/>
                <w:szCs w:val="20"/>
              </w:rPr>
              <w:t>Accounts receivabl</w:t>
            </w:r>
            <w:r>
              <w:rPr>
                <w:rFonts w:eastAsia="Times New Roman"/>
                <w:sz w:val="20"/>
                <w:szCs w:val="20"/>
              </w:rPr>
              <w:t>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2,299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010059049"/>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1,278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010059049"/>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538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010059049"/>
        </w:trPr>
        <w:tc>
          <w:tcPr>
            <w:tcW w:w="0" w:type="auto"/>
            <w:shd w:val="clear" w:color="auto" w:fill="FFFFFF"/>
            <w:vAlign w:val="bottom"/>
            <w:hideMark/>
          </w:tcPr>
          <w:p w:rsidR="00000000" w:rsidRDefault="00B30BA7">
            <w:pPr>
              <w:pStyle w:val="a3"/>
              <w:spacing w:before="0" w:beforeAutospacing="0" w:after="0" w:afterAutospacing="0"/>
              <w:rPr>
                <w:sz w:val="20"/>
                <w:szCs w:val="20"/>
              </w:rPr>
            </w:pPr>
            <w:r>
              <w:rPr>
                <w:sz w:val="20"/>
                <w:szCs w:val="20"/>
              </w:rPr>
              <w:t>Property and equipment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403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010059049"/>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2,859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010059049"/>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010059049"/>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Trademark</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010059049"/>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Software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4,800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010059049"/>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Goodwill</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22,868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010059049"/>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Other long term assets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540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divId w:val="1010059049"/>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(6,943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rPr>
          <w:divId w:val="1010059049"/>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(2,081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rPr>
          <w:divId w:val="1010059049"/>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Accrued expenses &amp; compensation</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(2,081</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r>
      <w:tr w:rsidR="00000000">
        <w:trPr>
          <w:divId w:val="1010059049"/>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Current loan payable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rPr>
          <w:divId w:val="1010059049"/>
        </w:trPr>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(2,859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rPr>
          <w:divId w:val="1010059049"/>
        </w:trPr>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(269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rPr>
          <w:divId w:val="1010059049"/>
        </w:trPr>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Total purchase price allocation</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b/>
                <w:bCs/>
                <w:sz w:val="20"/>
                <w:szCs w:val="20"/>
              </w:rPr>
            </w:pPr>
            <w:r>
              <w:rPr>
                <w:rFonts w:eastAsia="Times New Roman"/>
                <w:b/>
                <w:bCs/>
                <w:sz w:val="20"/>
                <w:szCs w:val="20"/>
              </w:rPr>
              <w:t>32,153</w:t>
            </w:r>
          </w:p>
        </w:tc>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 </w:t>
            </w:r>
          </w:p>
        </w:tc>
      </w:tr>
    </w:tbl>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not deductible for income tax purposes and represents the Company’s ability to have an expanded local presence in additional markets and operational synergies that we expect to achieve that would not</w:t>
      </w:r>
      <w:r>
        <w:rPr>
          <w:sz w:val="20"/>
          <w:szCs w:val="20"/>
        </w:rPr>
        <w:t xml:space="preserve"> be available to other market participants.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Revenue earned from the clients obtained from the CCH acquisition was approximately </w:t>
      </w:r>
      <w:r>
        <w:rPr>
          <w:sz w:val="20"/>
          <w:szCs w:val="20"/>
        </w:rPr>
        <w:t>$</w:t>
      </w:r>
      <w:r>
        <w:rPr>
          <w:sz w:val="20"/>
          <w:szCs w:val="20"/>
        </w:rPr>
        <w:t>35.</w:t>
      </w:r>
      <w:r>
        <w:rPr>
          <w:sz w:val="20"/>
          <w:szCs w:val="20"/>
        </w:rPr>
        <w:t>3</w:t>
      </w:r>
      <w:r>
        <w:rPr>
          <w:sz w:val="20"/>
          <w:szCs w:val="20"/>
        </w:rPr>
        <w:t xml:space="preserve"> million and </w:t>
      </w:r>
      <w:r>
        <w:rPr>
          <w:sz w:val="20"/>
          <w:szCs w:val="20"/>
        </w:rPr>
        <w:t>$</w:t>
      </w:r>
      <w:r>
        <w:rPr>
          <w:sz w:val="20"/>
          <w:szCs w:val="20"/>
        </w:rPr>
        <w:t>31.</w:t>
      </w:r>
      <w:r>
        <w:rPr>
          <w:sz w:val="20"/>
          <w:szCs w:val="20"/>
        </w:rPr>
        <w:t>7</w:t>
      </w:r>
      <w:r>
        <w:rPr>
          <w:sz w:val="20"/>
          <w:szCs w:val="20"/>
        </w:rPr>
        <w:t xml:space="preserve"> million during the years ended December 31, 2021 and 2020, respectively.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u w:val="single"/>
        </w:rPr>
        <w:t>Pro forma financial information (Unaudited)</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sz w:val="20"/>
          <w:szCs w:val="20"/>
        </w:rPr>
        <w:t>The unaudited pro forma information below represents the consolidated results of operations as if the CCH, Meridian and medSR acqu</w:t>
      </w:r>
      <w:r>
        <w:rPr>
          <w:sz w:val="20"/>
          <w:szCs w:val="20"/>
        </w:rPr>
        <w:t xml:space="preserve">isitions occurred on January 1, 2020. The pro forma information has been included for comparative purposes and is not indicative of results of operations that the Company would have had if the acquisitions occurred on the above date, nor is it necessarily </w:t>
      </w:r>
      <w:r>
        <w:rPr>
          <w:sz w:val="20"/>
          <w:szCs w:val="20"/>
        </w:rPr>
        <w:t>indicative of future results. The unaudited pro forma information reflects material, non-recurring pro forma adjustments directly attributable to the business combinations. The difference between the actual revenue and the pro forma revenue is approximatel</w:t>
      </w:r>
      <w:r>
        <w:rPr>
          <w:sz w:val="20"/>
          <w:szCs w:val="20"/>
        </w:rPr>
        <w:t xml:space="preserve">y </w:t>
      </w:r>
      <w:r>
        <w:rPr>
          <w:sz w:val="20"/>
          <w:szCs w:val="20"/>
        </w:rPr>
        <w:t>$</w:t>
      </w:r>
      <w:r>
        <w:rPr>
          <w:sz w:val="20"/>
          <w:szCs w:val="20"/>
        </w:rPr>
        <w:t>17.</w:t>
      </w:r>
      <w:r>
        <w:rPr>
          <w:sz w:val="20"/>
          <w:szCs w:val="20"/>
        </w:rPr>
        <w:t>8</w:t>
      </w:r>
      <w:r>
        <w:rPr>
          <w:sz w:val="20"/>
          <w:szCs w:val="20"/>
        </w:rPr>
        <w:t xml:space="preserve"> million of additional revenue primarily recorded by medSR for the year ended December 31, 2021 and reflected as a pro forma adjustment below. Other differences arise from amortizing purchased intangibles using the double declining balance method.</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SCHEDULE OF BUSINESS ACQUISITION PRO FORMA INFORMATIO</w:t>
      </w:r>
      <w:r>
        <w:rPr>
          <w:vanish/>
          <w:sz w:val="20"/>
          <w:szCs w:val="20"/>
        </w:rPr>
        <w:t>N</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rPr>
          <w:hidden/>
        </w:trPr>
        <w:tc>
          <w:tcPr>
            <w:tcW w:w="0" w:type="auto"/>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Total revenue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157,390</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136,652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Net </w:t>
            </w:r>
            <w:r>
              <w:rPr>
                <w:rFonts w:eastAsia="Times New Roman"/>
                <w:sz w:val="20"/>
                <w:szCs w:val="20"/>
              </w:rPr>
              <w:t>income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5,667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(14,407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Net loss attributable to common shareholders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(8,385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(28,991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Net loss per common share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(0.58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(2.29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60644602"/>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4.</w:t>
      </w:r>
      <w:r>
        <w:rPr>
          <w:b/>
          <w:bCs/>
          <w:caps/>
          <w:sz w:val="20"/>
          <w:szCs w:val="20"/>
        </w:rPr>
        <w:t xml:space="preserve"> </w:t>
      </w:r>
      <w:r>
        <w:rPr>
          <w:b/>
          <w:bCs/>
          <w:caps/>
          <w:sz w:val="20"/>
          <w:szCs w:val="20"/>
        </w:rPr>
        <w:t>GOODWILL AND INTANGIBLE ASSETS – NE</w:t>
      </w:r>
      <w:r>
        <w:rPr>
          <w:b/>
          <w:bCs/>
          <w:caps/>
          <w:sz w:val="20"/>
          <w:szCs w:val="20"/>
        </w:rPr>
        <w:t>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Goodwill </w:t>
      </w:r>
      <w:r>
        <w:rPr>
          <w:sz w:val="20"/>
          <w:szCs w:val="20"/>
        </w:rPr>
        <w:t>consists of the excess of the purchase price over the fair value of identifiable net assets of businesses acquired. The following is the summary of the changes to the carrying amount of goodwill for the years ended December 31, 2021 and 2020:</w:t>
      </w:r>
    </w:p>
    <w:p w:rsidR="00000000" w:rsidRDefault="00B30BA7">
      <w:pPr>
        <w:pStyle w:val="a3"/>
        <w:spacing w:before="0" w:beforeAutospacing="0" w:after="0" w:afterAutospacing="0"/>
        <w:jc w:val="both"/>
        <w:rPr>
          <w:sz w:val="20"/>
          <w:szCs w:val="20"/>
        </w:rPr>
      </w:pPr>
      <w:r>
        <w:rPr>
          <w:sz w:val="20"/>
          <w:szCs w:val="20"/>
        </w:rPr>
        <w:t> </w:t>
      </w:r>
      <w:r>
        <w:rPr>
          <w:vanish/>
          <w:sz w:val="20"/>
          <w:szCs w:val="20"/>
        </w:rPr>
        <w:t xml:space="preserve">SCHEDULE OF </w:t>
      </w:r>
      <w:r>
        <w:rPr>
          <w:vanish/>
          <w:sz w:val="20"/>
          <w:szCs w:val="20"/>
        </w:rPr>
        <w:t>INTANGIBLE ASSETS AND GOODWIL</w:t>
      </w:r>
      <w:r>
        <w:rPr>
          <w:vanish/>
          <w:sz w:val="20"/>
          <w:szCs w:val="20"/>
        </w:rPr>
        <w:t>L</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trPr>
          <w:hidden/>
        </w:trPr>
        <w:tc>
          <w:tcPr>
            <w:tcW w:w="0" w:type="auto"/>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49,291</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12,634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Acquisitions, net of adjustments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11,895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36,657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Ending gross balance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61,186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49,291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At December 31, 2021, and 2020, approximately </w:t>
      </w:r>
      <w:r>
        <w:rPr>
          <w:sz w:val="20"/>
          <w:szCs w:val="20"/>
        </w:rPr>
        <w:t>$</w:t>
      </w:r>
      <w:r>
        <w:rPr>
          <w:sz w:val="20"/>
          <w:szCs w:val="20"/>
        </w:rPr>
        <w:t>90,00</w:t>
      </w:r>
      <w:r>
        <w:rPr>
          <w:sz w:val="20"/>
          <w:szCs w:val="20"/>
        </w:rPr>
        <w:t>0</w:t>
      </w:r>
      <w:r>
        <w:rPr>
          <w:sz w:val="20"/>
          <w:szCs w:val="20"/>
        </w:rPr>
        <w:t xml:space="preserve"> </w:t>
      </w:r>
      <w:r>
        <w:rPr>
          <w:sz w:val="20"/>
          <w:szCs w:val="20"/>
        </w:rPr>
        <w:t>of goodwill was allocated to the Practice Management segment and the balance was allocated to the Healthcare IT segment.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Below is a summary of intangible asset activity for the years ended December 31, 2021 and 2020:</w:t>
      </w:r>
    </w:p>
    <w:p w:rsidR="00000000" w:rsidRDefault="00B30BA7">
      <w:pPr>
        <w:pStyle w:val="a3"/>
        <w:spacing w:before="0" w:beforeAutospacing="0" w:after="0" w:afterAutospacing="0"/>
        <w:jc w:val="both"/>
        <w:rPr>
          <w:sz w:val="20"/>
          <w:szCs w:val="20"/>
        </w:rPr>
      </w:pPr>
      <w:r>
        <w:rPr>
          <w:sz w:val="20"/>
          <w:szCs w:val="20"/>
        </w:rPr>
        <w:t> </w:t>
      </w:r>
      <w:r>
        <w:rPr>
          <w:vanish/>
          <w:sz w:val="20"/>
          <w:szCs w:val="20"/>
        </w:rPr>
        <w:t xml:space="preserve">SCHEDULE </w:t>
      </w:r>
      <w:r>
        <w:rPr>
          <w:vanish/>
          <w:sz w:val="20"/>
          <w:szCs w:val="20"/>
        </w:rPr>
        <w:t>OF FINITE-LIVED INTANGIBLE ASSET</w:t>
      </w:r>
      <w:r>
        <w:rPr>
          <w:vanish/>
          <w:sz w:val="20"/>
          <w:szCs w:val="20"/>
        </w:rPr>
        <w:t>S</w:t>
      </w:r>
    </w:p>
    <w:tbl>
      <w:tblPr>
        <w:tblW w:w="5000" w:type="pct"/>
        <w:tblCellMar>
          <w:left w:w="0" w:type="dxa"/>
          <w:right w:w="0" w:type="dxa"/>
        </w:tblCellMar>
        <w:tblLook w:val="04A0" w:firstRow="1" w:lastRow="0" w:firstColumn="1" w:lastColumn="0" w:noHBand="0" w:noVBand="1"/>
      </w:tblPr>
      <w:tblGrid>
        <w:gridCol w:w="2812"/>
        <w:gridCol w:w="154"/>
        <w:gridCol w:w="101"/>
        <w:gridCol w:w="1067"/>
        <w:gridCol w:w="71"/>
        <w:gridCol w:w="154"/>
        <w:gridCol w:w="101"/>
        <w:gridCol w:w="985"/>
        <w:gridCol w:w="71"/>
        <w:gridCol w:w="154"/>
        <w:gridCol w:w="101"/>
        <w:gridCol w:w="1151"/>
        <w:gridCol w:w="71"/>
        <w:gridCol w:w="155"/>
        <w:gridCol w:w="100"/>
        <w:gridCol w:w="986"/>
        <w:gridCol w:w="72"/>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30BA7">
            <w:pPr>
              <w:jc w:val="center"/>
              <w:rPr>
                <w:rFonts w:eastAsia="Times New Roman"/>
                <w:b/>
                <w:bCs/>
                <w:sz w:val="20"/>
                <w:szCs w:val="20"/>
              </w:rPr>
            </w:pPr>
            <w:r>
              <w:rPr>
                <w:rFonts w:eastAsia="Times New Roman"/>
                <w:b/>
                <w:bCs/>
                <w:sz w:val="20"/>
                <w:szCs w:val="20"/>
              </w:rPr>
              <w:t>Customer</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30BA7">
            <w:pPr>
              <w:jc w:val="center"/>
              <w:rPr>
                <w:rFonts w:eastAsia="Times New Roman"/>
                <w:b/>
                <w:bCs/>
                <w:sz w:val="20"/>
                <w:szCs w:val="20"/>
              </w:rPr>
            </w:pPr>
            <w:r>
              <w:rPr>
                <w:rFonts w:eastAsia="Times New Roman"/>
                <w:b/>
                <w:bCs/>
                <w:sz w:val="20"/>
                <w:szCs w:val="20"/>
              </w:rPr>
              <w:t>Capitalized</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30BA7">
            <w:pPr>
              <w:jc w:val="center"/>
              <w:rPr>
                <w:rFonts w:eastAsia="Times New Roman"/>
                <w:b/>
                <w:bCs/>
                <w:sz w:val="20"/>
                <w:szCs w:val="20"/>
              </w:rPr>
            </w:pPr>
            <w:r>
              <w:rPr>
                <w:rFonts w:eastAsia="Times New Roman"/>
                <w:b/>
                <w:bCs/>
                <w:sz w:val="20"/>
                <w:szCs w:val="20"/>
              </w:rPr>
              <w:t>Other Intangible</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Relationships</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Software</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Assets</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Total</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b/>
                <w:bCs/>
                <w:sz w:val="20"/>
                <w:szCs w:val="20"/>
              </w:rPr>
            </w:pP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14"/>
            <w:tcMar>
              <w:top w:w="0" w:type="dxa"/>
              <w:left w:w="0" w:type="dxa"/>
              <w:bottom w:w="30" w:type="dxa"/>
              <w:right w:w="0" w:type="dxa"/>
            </w:tcMar>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b/>
                <w:bCs/>
                <w:sz w:val="20"/>
                <w:szCs w:val="20"/>
                <w:u w:val="single"/>
              </w:rPr>
              <w:t>COST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1700" w:type="pct"/>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Balance, </w:t>
            </w:r>
            <w:r>
              <w:rPr>
                <w:rFonts w:eastAsia="Times New Roman"/>
                <w:sz w:val="20"/>
                <w:szCs w:val="20"/>
              </w:rPr>
              <w:t>January 1, 2021</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44,497</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5,760</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9,142</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59,399</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Capitalized software costs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7,636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7,636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Other intangible assets</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Translation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Allocation from 2021 acquisitions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3,100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490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3,590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Balance, December 31, 2021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47,597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13,196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9,632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70,425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Useful lives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w:t>
            </w:r>
            <w:r>
              <w:rPr>
                <w:rFonts w:eastAsia="Times New Roman"/>
                <w:sz w:val="20"/>
                <w:szCs w:val="20"/>
              </w:rPr>
              <w:t>-</w:t>
            </w:r>
            <w:r>
              <w:rPr>
                <w:rFonts w:eastAsia="Times New Roman"/>
                <w:sz w:val="20"/>
                <w:szCs w:val="20"/>
              </w:rPr>
              <w:t>1</w:t>
            </w:r>
            <w:r>
              <w:rPr>
                <w:rFonts w:eastAsia="Times New Roman"/>
                <w:sz w:val="20"/>
                <w:szCs w:val="20"/>
              </w:rPr>
              <w:t>2</w:t>
            </w:r>
            <w:r>
              <w:rPr>
                <w:rFonts w:eastAsia="Times New Roman"/>
                <w:sz w:val="20"/>
                <w:szCs w:val="20"/>
              </w:rPr>
              <w:t xml:space="preserve"> years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w:t>
            </w:r>
            <w:r>
              <w:rPr>
                <w:rFonts w:eastAsia="Times New Roman"/>
                <w:sz w:val="20"/>
                <w:szCs w:val="20"/>
              </w:rPr>
              <w:t xml:space="preserve"> years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w:t>
            </w:r>
            <w:r>
              <w:rPr>
                <w:rFonts w:eastAsia="Times New Roman"/>
                <w:sz w:val="20"/>
                <w:szCs w:val="20"/>
              </w:rPr>
              <w:t xml:space="preserve"> years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b/>
                <w:bCs/>
                <w:sz w:val="20"/>
                <w:szCs w:val="20"/>
                <w:u w:val="single"/>
              </w:rPr>
            </w:pPr>
            <w:r>
              <w:rPr>
                <w:rFonts w:eastAsia="Times New Roman"/>
                <w:b/>
                <w:bCs/>
                <w:sz w:val="20"/>
                <w:szCs w:val="20"/>
                <w:u w:val="single"/>
              </w:rPr>
              <w:t xml:space="preserve">ACCUMULATED </w:t>
            </w:r>
            <w:r>
              <w:rPr>
                <w:rFonts w:eastAsia="Times New Roman"/>
                <w:b/>
                <w:bCs/>
                <w:sz w:val="20"/>
                <w:szCs w:val="20"/>
                <w:u w:val="single"/>
              </w:rPr>
              <w:t>AMORTIZATION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Balance, January 1, 2021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26,008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3,168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29,421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Amortization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7,843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1,346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1,037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10,226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Balance, December 31, 2021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33,851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1,591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4,205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39,647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Net book value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13,746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11,605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5,427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30,778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b/>
                <w:bCs/>
                <w:sz w:val="20"/>
                <w:szCs w:val="20"/>
                <w:u w:val="single"/>
              </w:rPr>
            </w:pPr>
            <w:r>
              <w:rPr>
                <w:rFonts w:eastAsia="Times New Roman"/>
                <w:b/>
                <w:bCs/>
                <w:sz w:val="20"/>
                <w:szCs w:val="20"/>
                <w:u w:val="single"/>
              </w:rPr>
              <w:t>COST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Balance, January 1, 2020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23,597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2,664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26,861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Capitalized software costs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5,163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4,800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9,963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Other intangible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Translation loss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Allocation from 2020 acquisitions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20,900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20,900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Balance, December 31, 2020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44,497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5,760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9,142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59,399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Useful lives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w:t>
            </w:r>
            <w:r>
              <w:rPr>
                <w:rFonts w:eastAsia="Times New Roman"/>
                <w:sz w:val="20"/>
                <w:szCs w:val="20"/>
              </w:rPr>
              <w:t>-</w:t>
            </w:r>
            <w:r>
              <w:rPr>
                <w:rFonts w:eastAsia="Times New Roman"/>
                <w:sz w:val="20"/>
                <w:szCs w:val="20"/>
              </w:rPr>
              <w:t>1</w:t>
            </w:r>
            <w:r>
              <w:rPr>
                <w:rFonts w:eastAsia="Times New Roman"/>
                <w:sz w:val="20"/>
                <w:szCs w:val="20"/>
              </w:rPr>
              <w:t>2</w:t>
            </w:r>
            <w:r>
              <w:rPr>
                <w:rFonts w:eastAsia="Times New Roman"/>
                <w:sz w:val="20"/>
                <w:szCs w:val="20"/>
              </w:rPr>
              <w:t xml:space="preserve"> years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w:t>
            </w:r>
            <w:r>
              <w:rPr>
                <w:rFonts w:eastAsia="Times New Roman"/>
                <w:sz w:val="20"/>
                <w:szCs w:val="20"/>
              </w:rPr>
              <w:t xml:space="preserve"> years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w:t>
            </w:r>
            <w:r>
              <w:rPr>
                <w:rFonts w:eastAsia="Times New Roman"/>
                <w:sz w:val="20"/>
                <w:szCs w:val="20"/>
              </w:rPr>
              <w:t xml:space="preserve"> years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b/>
                <w:bCs/>
                <w:sz w:val="20"/>
                <w:szCs w:val="20"/>
                <w:u w:val="single"/>
              </w:rPr>
            </w:pPr>
            <w:r>
              <w:rPr>
                <w:rFonts w:eastAsia="Times New Roman"/>
                <w:b/>
                <w:bCs/>
                <w:sz w:val="20"/>
                <w:szCs w:val="20"/>
                <w:u w:val="single"/>
              </w:rPr>
              <w:t>ACCUMULATED AMORTIZATION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Balance, January 1, 2020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18,314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2,564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20,884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Amortization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7,694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239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604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8,537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Balance, December 31, 2020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26,008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245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3,168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29,421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Net book value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18,489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5,515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5,974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29,978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Other intangible assets primarily represent software costs. Amortization expense was approximately </w:t>
      </w:r>
      <w:r>
        <w:rPr>
          <w:sz w:val="20"/>
          <w:szCs w:val="20"/>
        </w:rPr>
        <w:t>$</w:t>
      </w:r>
      <w:r>
        <w:rPr>
          <w:sz w:val="20"/>
          <w:szCs w:val="20"/>
        </w:rPr>
        <w:t>10.</w:t>
      </w:r>
      <w:r>
        <w:rPr>
          <w:sz w:val="20"/>
          <w:szCs w:val="20"/>
        </w:rPr>
        <w:t>3</w:t>
      </w:r>
      <w:r>
        <w:rPr>
          <w:sz w:val="20"/>
          <w:szCs w:val="20"/>
        </w:rPr>
        <w:t xml:space="preserve"> million and </w:t>
      </w:r>
      <w:r>
        <w:rPr>
          <w:sz w:val="20"/>
          <w:szCs w:val="20"/>
        </w:rPr>
        <w:t>$</w:t>
      </w:r>
      <w:r>
        <w:rPr>
          <w:sz w:val="20"/>
          <w:szCs w:val="20"/>
        </w:rPr>
        <w:t>8.</w:t>
      </w:r>
      <w:r>
        <w:rPr>
          <w:sz w:val="20"/>
          <w:szCs w:val="20"/>
        </w:rPr>
        <w:t>6</w:t>
      </w:r>
      <w:r>
        <w:rPr>
          <w:sz w:val="20"/>
          <w:szCs w:val="20"/>
        </w:rPr>
        <w:t xml:space="preserve"> million for the years ended December 31, 2021 and 2020, respectively. The weighted-average amortization period is</w:t>
      </w:r>
      <w:r>
        <w:rPr>
          <w:sz w:val="20"/>
          <w:szCs w:val="20"/>
        </w:rPr>
        <w:t xml:space="preserve"> </w:t>
      </w:r>
      <w:r>
        <w:rPr>
          <w:sz w:val="20"/>
          <w:szCs w:val="20"/>
        </w:rPr>
        <w:t>three year</w:t>
      </w:r>
      <w:r>
        <w:rPr>
          <w:sz w:val="20"/>
          <w:szCs w:val="20"/>
        </w:rPr>
        <w:t>s</w:t>
      </w:r>
      <w:r>
        <w:rPr>
          <w:sz w:val="20"/>
          <w:szCs w:val="20"/>
        </w:rPr>
        <w:t>.</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67514070"/>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As of December 31, 2021, future amortization expense scheduled to be expensed is as follows:</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SCHEDULE OF FINITE-LIVED INTANGIBLE ASSETS, FUTURE AMORTIZATION EXPENS</w:t>
      </w:r>
      <w:r>
        <w:rPr>
          <w:vanish/>
          <w:sz w:val="20"/>
          <w:szCs w:val="20"/>
        </w:rPr>
        <w:t>E</w:t>
      </w:r>
    </w:p>
    <w:tbl>
      <w:tblPr>
        <w:tblW w:w="3500" w:type="pct"/>
        <w:tblCellMar>
          <w:left w:w="0" w:type="dxa"/>
          <w:right w:w="0" w:type="dxa"/>
        </w:tblCellMar>
        <w:tblLook w:val="04A0" w:firstRow="1" w:lastRow="0" w:firstColumn="1" w:lastColumn="0" w:noHBand="0" w:noVBand="1"/>
      </w:tblPr>
      <w:tblGrid>
        <w:gridCol w:w="4523"/>
        <w:gridCol w:w="104"/>
        <w:gridCol w:w="101"/>
        <w:gridCol w:w="1036"/>
        <w:gridCol w:w="50"/>
      </w:tblGrid>
      <w:tr w:rsidR="00000000">
        <w:tc>
          <w:tcPr>
            <w:tcW w:w="0" w:type="auto"/>
            <w:vAlign w:val="bottom"/>
            <w:hideMark/>
          </w:tcPr>
          <w:p w:rsidR="00000000" w:rsidRDefault="00B30BA7">
            <w:pPr>
              <w:rPr>
                <w:rFonts w:eastAsia="Times New Roman"/>
                <w:b/>
                <w:bCs/>
                <w:sz w:val="20"/>
                <w:szCs w:val="20"/>
              </w:rPr>
            </w:pPr>
            <w:r>
              <w:rPr>
                <w:rFonts w:eastAsia="Times New Roman"/>
                <w:b/>
                <w:bCs/>
                <w:sz w:val="20"/>
                <w:szCs w:val="20"/>
              </w:rPr>
              <w:t>Years ending</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u w:val="single"/>
              </w:rPr>
              <w:t>December 31,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900" w:type="pct"/>
            <w:shd w:val="clear" w:color="auto" w:fill="CCEEFF"/>
            <w:vAlign w:val="bottom"/>
            <w:hideMark/>
          </w:tcPr>
          <w:p w:rsidR="00000000" w:rsidRDefault="00B30BA7">
            <w:pPr>
              <w:rPr>
                <w:rFonts w:eastAsia="Times New Roman"/>
                <w:sz w:val="20"/>
                <w:szCs w:val="20"/>
              </w:rPr>
            </w:pPr>
            <w:r>
              <w:rPr>
                <w:rFonts w:eastAsia="Times New Roman"/>
                <w:sz w:val="20"/>
                <w:szCs w:val="20"/>
              </w:rPr>
              <w:t>2022</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13,068</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10,024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6,034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2025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2026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Thereafter</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1,052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30,778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b/>
          <w:bCs/>
          <w:sz w:val="20"/>
          <w:szCs w:val="20"/>
        </w:rPr>
        <w:t> </w:t>
      </w: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5.</w:t>
      </w:r>
      <w:r>
        <w:rPr>
          <w:b/>
          <w:bCs/>
          <w:caps/>
          <w:sz w:val="20"/>
          <w:szCs w:val="20"/>
        </w:rPr>
        <w:t xml:space="preserve"> </w:t>
      </w:r>
      <w:r>
        <w:rPr>
          <w:b/>
          <w:bCs/>
          <w:caps/>
          <w:sz w:val="20"/>
          <w:szCs w:val="20"/>
        </w:rPr>
        <w:t>PROPERTY AND EQUIPMEN</w:t>
      </w:r>
      <w:r>
        <w:rPr>
          <w:b/>
          <w:bCs/>
          <w:caps/>
          <w:sz w:val="20"/>
          <w:szCs w:val="20"/>
        </w:rPr>
        <w:t>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Property and equipment consisted of the following:</w:t>
      </w:r>
    </w:p>
    <w:p w:rsidR="00000000" w:rsidRDefault="00B30BA7">
      <w:pPr>
        <w:pStyle w:val="a3"/>
        <w:spacing w:before="0" w:beforeAutospacing="0" w:after="0" w:afterAutospacing="0"/>
        <w:ind w:left="405"/>
        <w:jc w:val="both"/>
        <w:rPr>
          <w:sz w:val="20"/>
          <w:szCs w:val="20"/>
        </w:rPr>
      </w:pPr>
      <w:r>
        <w:rPr>
          <w:vanish/>
          <w:sz w:val="20"/>
          <w:szCs w:val="20"/>
        </w:rPr>
        <w:t>SCHEDULE OF PROPERTY AND EQUIPMEN</w:t>
      </w:r>
      <w:r>
        <w:rPr>
          <w:vanish/>
          <w:sz w:val="20"/>
          <w:szCs w:val="20"/>
        </w:rPr>
        <w:t>T</w:t>
      </w: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Computer equipment</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5,558</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5,496</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Office furniture and equipment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1,868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1,781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Transportation equipment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1,087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922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xml:space="preserve">Leasehold </w:t>
            </w:r>
            <w:r>
              <w:rPr>
                <w:rFonts w:eastAsia="Times New Roman"/>
                <w:sz w:val="20"/>
                <w:szCs w:val="20"/>
              </w:rPr>
              <w:t>improvements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1,623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Assets not placed in service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1,682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909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Total property and equipment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11,818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10,062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Less accumulated depreciation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(6,414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(5,141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Property and equipment – net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5,404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4,921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ind w:left="405"/>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Depreciation expense was approximately </w:t>
      </w:r>
      <w:r>
        <w:rPr>
          <w:sz w:val="20"/>
          <w:szCs w:val="20"/>
        </w:rPr>
        <w:t>$</w:t>
      </w:r>
      <w:r>
        <w:rPr>
          <w:sz w:val="20"/>
          <w:szCs w:val="20"/>
        </w:rPr>
        <w:t>1.</w:t>
      </w:r>
      <w:r>
        <w:rPr>
          <w:sz w:val="20"/>
          <w:szCs w:val="20"/>
        </w:rPr>
        <w:t>9</w:t>
      </w:r>
      <w:r>
        <w:rPr>
          <w:sz w:val="20"/>
          <w:szCs w:val="20"/>
        </w:rPr>
        <w:t xml:space="preserve"> million and </w:t>
      </w:r>
      <w:r>
        <w:rPr>
          <w:sz w:val="20"/>
          <w:szCs w:val="20"/>
        </w:rPr>
        <w:t>$</w:t>
      </w:r>
      <w:r>
        <w:rPr>
          <w:sz w:val="20"/>
          <w:szCs w:val="20"/>
        </w:rPr>
        <w:t>1.</w:t>
      </w:r>
      <w:r>
        <w:rPr>
          <w:sz w:val="20"/>
          <w:szCs w:val="20"/>
        </w:rPr>
        <w:t>4</w:t>
      </w:r>
      <w:r>
        <w:rPr>
          <w:sz w:val="20"/>
          <w:szCs w:val="20"/>
        </w:rPr>
        <w:t xml:space="preserve"> million for the years ended December 31, 2021 and 2020, respectively.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6.</w:t>
      </w:r>
      <w:r>
        <w:rPr>
          <w:b/>
          <w:bCs/>
          <w:caps/>
          <w:sz w:val="20"/>
          <w:szCs w:val="20"/>
        </w:rPr>
        <w:t xml:space="preserve"> </w:t>
      </w:r>
      <w:r>
        <w:rPr>
          <w:b/>
          <w:bCs/>
          <w:caps/>
          <w:sz w:val="20"/>
          <w:szCs w:val="20"/>
        </w:rPr>
        <w:t>CONCENTRATION</w:t>
      </w:r>
      <w:r>
        <w:rPr>
          <w:b/>
          <w:bCs/>
          <w:caps/>
          <w:sz w:val="20"/>
          <w:szCs w:val="20"/>
        </w:rPr>
        <w:t>S</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jc w:val="both"/>
        <w:rPr>
          <w:sz w:val="20"/>
          <w:szCs w:val="20"/>
        </w:rPr>
      </w:pPr>
      <w:r>
        <w:rPr>
          <w:b/>
          <w:bCs/>
          <w:sz w:val="20"/>
          <w:szCs w:val="20"/>
        </w:rPr>
        <w:t>Financial Risks</w:t>
      </w:r>
      <w:r>
        <w:rPr>
          <w:sz w:val="20"/>
          <w:szCs w:val="20"/>
        </w:rPr>
        <w:t xml:space="preserve"> — </w:t>
      </w:r>
      <w:r>
        <w:rPr>
          <w:sz w:val="20"/>
          <w:szCs w:val="20"/>
        </w:rPr>
        <w:t xml:space="preserve">As of December 31, 2021 and 2020, the Company held cash of approximately </w:t>
      </w:r>
      <w:r>
        <w:rPr>
          <w:sz w:val="20"/>
          <w:szCs w:val="20"/>
        </w:rPr>
        <w:t>$</w:t>
      </w:r>
      <w:r>
        <w:rPr>
          <w:sz w:val="20"/>
          <w:szCs w:val="20"/>
        </w:rPr>
        <w:t>1.</w:t>
      </w:r>
      <w:r>
        <w:rPr>
          <w:sz w:val="20"/>
          <w:szCs w:val="20"/>
        </w:rPr>
        <w:t>7</w:t>
      </w:r>
      <w:r>
        <w:rPr>
          <w:sz w:val="20"/>
          <w:szCs w:val="20"/>
        </w:rPr>
        <w:t xml:space="preserve"> million and </w:t>
      </w:r>
      <w:r>
        <w:rPr>
          <w:sz w:val="20"/>
          <w:szCs w:val="20"/>
        </w:rPr>
        <w:t>$</w:t>
      </w:r>
      <w:r>
        <w:rPr>
          <w:sz w:val="20"/>
          <w:szCs w:val="20"/>
        </w:rPr>
        <w:t>1.</w:t>
      </w:r>
      <w:r>
        <w:rPr>
          <w:sz w:val="20"/>
          <w:szCs w:val="20"/>
        </w:rPr>
        <w:t>4</w:t>
      </w:r>
      <w:r>
        <w:rPr>
          <w:sz w:val="20"/>
          <w:szCs w:val="20"/>
        </w:rPr>
        <w:t xml:space="preserve"> million, respectively, in the name of its subsidiaries, at banks in Pakistan and Sri Lanka. The banking systems in these countries do not provide deposit insuran</w:t>
      </w:r>
      <w:r>
        <w:rPr>
          <w:sz w:val="20"/>
          <w:szCs w:val="20"/>
        </w:rPr>
        <w:t>ce coverage. Additionally, from time to time, the Company maintains cash balances at financial institutions in the United States in excess of federal insurance limits. The Company has not experienced any losses on such accounts.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Concentrations of credit </w:t>
      </w:r>
      <w:r>
        <w:rPr>
          <w:sz w:val="20"/>
          <w:szCs w:val="20"/>
        </w:rPr>
        <w:t>risk with respect to trade accounts receivable are managed by periodic credit evaluations of customers. The Company does not require collateral for outstanding trade accounts receivable. As of December 31, 2021, two customers each individually accounted fo</w:t>
      </w:r>
      <w:r>
        <w:rPr>
          <w:sz w:val="20"/>
          <w:szCs w:val="20"/>
        </w:rPr>
        <w:t>r approximately</w:t>
      </w:r>
      <w:r>
        <w:rPr>
          <w:sz w:val="20"/>
          <w:szCs w:val="20"/>
        </w:rPr>
        <w:t xml:space="preserve"> </w:t>
      </w:r>
      <w:r>
        <w:rPr>
          <w:sz w:val="20"/>
          <w:szCs w:val="20"/>
        </w:rPr>
        <w:t>5</w:t>
      </w:r>
      <w:r>
        <w:rPr>
          <w:sz w:val="20"/>
          <w:szCs w:val="20"/>
        </w:rPr>
        <w:t>% of accounts receivable. As of December 31, 2020, two customers individually accounted for approximately</w:t>
      </w:r>
      <w:r>
        <w:rPr>
          <w:sz w:val="20"/>
          <w:szCs w:val="20"/>
        </w:rPr>
        <w:t xml:space="preserve"> </w:t>
      </w:r>
      <w:r>
        <w:rPr>
          <w:sz w:val="20"/>
          <w:szCs w:val="20"/>
        </w:rPr>
        <w:t>1</w:t>
      </w:r>
      <w:r>
        <w:rPr>
          <w:sz w:val="20"/>
          <w:szCs w:val="20"/>
        </w:rPr>
        <w:t>0</w:t>
      </w:r>
      <w:r>
        <w:rPr>
          <w:sz w:val="20"/>
          <w:szCs w:val="20"/>
        </w:rPr>
        <w:t>% an</w:t>
      </w:r>
      <w:r>
        <w:rPr>
          <w:sz w:val="20"/>
          <w:szCs w:val="20"/>
        </w:rPr>
        <w:t>d</w:t>
      </w:r>
      <w:r>
        <w:rPr>
          <w:sz w:val="20"/>
          <w:szCs w:val="20"/>
        </w:rPr>
        <w:t xml:space="preserve"> </w:t>
      </w:r>
      <w:r>
        <w:rPr>
          <w:sz w:val="20"/>
          <w:szCs w:val="20"/>
        </w:rPr>
        <w:t>6</w:t>
      </w:r>
      <w:r>
        <w:rPr>
          <w:sz w:val="20"/>
          <w:szCs w:val="20"/>
        </w:rPr>
        <w:t>% of accounts receivable, respectively. During the years ended December 31, 2021 and 2020, there was one customer with sales</w:t>
      </w:r>
      <w:r>
        <w:rPr>
          <w:sz w:val="20"/>
          <w:szCs w:val="20"/>
        </w:rPr>
        <w:t xml:space="preserve"> of approximately</w:t>
      </w:r>
      <w:r>
        <w:rPr>
          <w:sz w:val="20"/>
          <w:szCs w:val="20"/>
        </w:rPr>
        <w:t xml:space="preserve"> </w:t>
      </w:r>
      <w:r>
        <w:rPr>
          <w:sz w:val="20"/>
          <w:szCs w:val="20"/>
        </w:rPr>
        <w:t>9</w:t>
      </w:r>
      <w:r>
        <w:rPr>
          <w:sz w:val="20"/>
          <w:szCs w:val="20"/>
        </w:rPr>
        <w:t>% and</w:t>
      </w:r>
      <w:r>
        <w:rPr>
          <w:sz w:val="20"/>
          <w:szCs w:val="20"/>
        </w:rPr>
        <w:t xml:space="preserve"> </w:t>
      </w:r>
      <w:r>
        <w:rPr>
          <w:sz w:val="20"/>
          <w:szCs w:val="20"/>
        </w:rPr>
        <w:t>7</w:t>
      </w:r>
      <w:r>
        <w:rPr>
          <w:sz w:val="20"/>
          <w:szCs w:val="20"/>
        </w:rPr>
        <w:t>% of total revenue, respectively.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Geographical Risks</w:t>
      </w:r>
      <w:r>
        <w:rPr>
          <w:sz w:val="20"/>
          <w:szCs w:val="20"/>
        </w:rPr>
        <w:t xml:space="preserve"> — The Company’s offices in Islamabad and Bagh, Pakistan, and Colombo, Sri Lanka conduct significant back-office operations for the Company. The Company has no revenue earned o</w:t>
      </w:r>
      <w:r>
        <w:rPr>
          <w:sz w:val="20"/>
          <w:szCs w:val="20"/>
        </w:rPr>
        <w:t xml:space="preserve">utside of the United States. The office in Bagh is located in a different territory of Pakistan from the Islamabad office known as Azad Jammu and Kashmir. The Bagh office was opened in 2009 for the purpose of providing operational support and operating as </w:t>
      </w:r>
      <w:r>
        <w:rPr>
          <w:sz w:val="20"/>
          <w:szCs w:val="20"/>
        </w:rPr>
        <w:t>a backup to the Islamabad office. The Company’s operations outside the United States are subject to special considerations and significant risks not typically associated with companies in the United States. The Company’s business, financial condition and r</w:t>
      </w:r>
      <w:r>
        <w:rPr>
          <w:sz w:val="20"/>
          <w:szCs w:val="20"/>
        </w:rPr>
        <w:t>esults of operations may be influenced by the political, economic, and legal environment in the countries in which it operates and by the general state of these countries’ economies. The Company’s results may be adversely affected by, among other things, c</w:t>
      </w:r>
      <w:r>
        <w:rPr>
          <w:sz w:val="20"/>
          <w:szCs w:val="20"/>
        </w:rPr>
        <w:t>hanges in governmental policies with respect to laws and regulations, changes in local countries’ telecommunications industries, regulatory rules and policies, anti-inflationary measures, currency conversion and remittance, and rates and methods of taxatio</w:t>
      </w:r>
      <w:r>
        <w:rPr>
          <w:sz w:val="20"/>
          <w:szCs w:val="20"/>
        </w:rPr>
        <w:t>n.</w:t>
      </w:r>
    </w:p>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06907441"/>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Carrying amounts of net assets located outside the United States were approximately </w:t>
      </w:r>
      <w:r>
        <w:rPr>
          <w:sz w:val="20"/>
          <w:szCs w:val="20"/>
        </w:rPr>
        <w:t>$</w:t>
      </w:r>
      <w:r>
        <w:rPr>
          <w:sz w:val="20"/>
          <w:szCs w:val="20"/>
        </w:rPr>
        <w:t>7.</w:t>
      </w:r>
      <w:r>
        <w:rPr>
          <w:sz w:val="20"/>
          <w:szCs w:val="20"/>
        </w:rPr>
        <w:t>2</w:t>
      </w:r>
      <w:r>
        <w:rPr>
          <w:sz w:val="20"/>
          <w:szCs w:val="20"/>
        </w:rPr>
        <w:t xml:space="preserve"> million and </w:t>
      </w:r>
      <w:r>
        <w:rPr>
          <w:sz w:val="20"/>
          <w:szCs w:val="20"/>
        </w:rPr>
        <w:t>$</w:t>
      </w:r>
      <w:r>
        <w:rPr>
          <w:sz w:val="20"/>
          <w:szCs w:val="20"/>
        </w:rPr>
        <w:t>4.</w:t>
      </w:r>
      <w:r>
        <w:rPr>
          <w:sz w:val="20"/>
          <w:szCs w:val="20"/>
        </w:rPr>
        <w:t>5</w:t>
      </w:r>
      <w:r>
        <w:rPr>
          <w:sz w:val="20"/>
          <w:szCs w:val="20"/>
        </w:rPr>
        <w:t xml:space="preserve"> </w:t>
      </w:r>
      <w:r>
        <w:rPr>
          <w:sz w:val="20"/>
          <w:szCs w:val="20"/>
        </w:rPr>
        <w:t xml:space="preserve">million as of December 31, 2021 and 2020, respectively. These balances exclude intercompany receivables of approximately </w:t>
      </w:r>
      <w:r>
        <w:rPr>
          <w:sz w:val="20"/>
          <w:szCs w:val="20"/>
        </w:rPr>
        <w:t>$</w:t>
      </w:r>
      <w:r>
        <w:rPr>
          <w:sz w:val="20"/>
          <w:szCs w:val="20"/>
        </w:rPr>
        <w:t>4.</w:t>
      </w:r>
      <w:r>
        <w:rPr>
          <w:sz w:val="20"/>
          <w:szCs w:val="20"/>
        </w:rPr>
        <w:t>1</w:t>
      </w:r>
      <w:r>
        <w:rPr>
          <w:sz w:val="20"/>
          <w:szCs w:val="20"/>
        </w:rPr>
        <w:t xml:space="preserve"> million and </w:t>
      </w:r>
      <w:r>
        <w:rPr>
          <w:sz w:val="20"/>
          <w:szCs w:val="20"/>
        </w:rPr>
        <w:t>$</w:t>
      </w:r>
      <w:r>
        <w:rPr>
          <w:sz w:val="20"/>
          <w:szCs w:val="20"/>
        </w:rPr>
        <w:t>5.</w:t>
      </w:r>
      <w:r>
        <w:rPr>
          <w:sz w:val="20"/>
          <w:szCs w:val="20"/>
        </w:rPr>
        <w:t>6</w:t>
      </w:r>
      <w:r>
        <w:rPr>
          <w:sz w:val="20"/>
          <w:szCs w:val="20"/>
        </w:rPr>
        <w:t xml:space="preserve"> million as of December 31, 2021 and 2020, respectively. The following is a summary of the net assets located outs</w:t>
      </w:r>
      <w:r>
        <w:rPr>
          <w:sz w:val="20"/>
          <w:szCs w:val="20"/>
        </w:rPr>
        <w:t>ide the United States as of December 31, 2021 and 2020:</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SCHEDULE OF CONCENTRATION OF RISK, BY GEOGRAPHICAL RISKS FACTO</w:t>
      </w:r>
      <w:r>
        <w:rPr>
          <w:vanish/>
          <w:sz w:val="20"/>
          <w:szCs w:val="20"/>
        </w:rPr>
        <w:t>R</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Current assets</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2,189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1,619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Non-current assets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6,736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4,534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B30BA7">
            <w:pPr>
              <w:rPr>
                <w:rFonts w:eastAsia="Times New Roman"/>
                <w:sz w:val="20"/>
                <w:szCs w:val="20"/>
              </w:rPr>
            </w:pPr>
            <w:r>
              <w:rPr>
                <w:rFonts w:eastAsia="Times New Roman"/>
                <w:vanish/>
                <w:sz w:val="20"/>
                <w:szCs w:val="20"/>
              </w:rPr>
              <w:t>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8,925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6,153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(1,575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(1,496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Non-current liabilities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(153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(110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Net assets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7,197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4,547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pacing w:before="0" w:beforeAutospacing="0" w:after="0" w:afterAutospacing="0"/>
        <w:rPr>
          <w:b/>
          <w:bCs/>
          <w:caps/>
          <w:sz w:val="20"/>
          <w:szCs w:val="20"/>
        </w:rPr>
      </w:pPr>
      <w:r>
        <w:rPr>
          <w:b/>
          <w:bCs/>
          <w:caps/>
          <w:sz w:val="20"/>
          <w:szCs w:val="20"/>
        </w:rPr>
        <w:t>7.</w:t>
      </w:r>
      <w:r>
        <w:rPr>
          <w:b/>
          <w:bCs/>
          <w:caps/>
          <w:sz w:val="20"/>
          <w:szCs w:val="20"/>
        </w:rPr>
        <w:t xml:space="preserve"> </w:t>
      </w:r>
      <w:r>
        <w:rPr>
          <w:b/>
          <w:bCs/>
          <w:caps/>
          <w:sz w:val="20"/>
          <w:szCs w:val="20"/>
        </w:rPr>
        <w:t>NET LOSS PER COMMON SHAR</w:t>
      </w:r>
      <w:r>
        <w:rPr>
          <w:b/>
          <w:bCs/>
          <w:caps/>
          <w:sz w:val="20"/>
          <w:szCs w:val="20"/>
        </w:rPr>
        <w:t>E</w:t>
      </w:r>
    </w:p>
    <w:p w:rsidR="00000000" w:rsidRDefault="00B30BA7">
      <w:pPr>
        <w:pStyle w:val="a3"/>
        <w:spacing w:before="0" w:beforeAutospacing="0" w:after="0" w:afterAutospacing="0"/>
        <w:ind w:left="45"/>
        <w:jc w:val="both"/>
        <w:rPr>
          <w:sz w:val="20"/>
          <w:szCs w:val="20"/>
        </w:rPr>
      </w:pPr>
      <w:r>
        <w:rPr>
          <w:sz w:val="20"/>
          <w:szCs w:val="20"/>
        </w:rPr>
        <w:t> </w:t>
      </w:r>
    </w:p>
    <w:p w:rsidR="00000000" w:rsidRDefault="00B30BA7">
      <w:pPr>
        <w:pStyle w:val="a3"/>
        <w:spacing w:before="0" w:beforeAutospacing="0" w:after="0" w:afterAutospacing="0"/>
        <w:ind w:left="45"/>
        <w:jc w:val="both"/>
        <w:rPr>
          <w:sz w:val="20"/>
          <w:szCs w:val="20"/>
        </w:rPr>
      </w:pPr>
      <w:r>
        <w:rPr>
          <w:sz w:val="20"/>
          <w:szCs w:val="20"/>
        </w:rPr>
        <w:t>The following table reconciles the weighted-average shares outstanding for basic and diluted net loss per common share for the years ended December 31, 2021 and 2020:</w:t>
      </w:r>
    </w:p>
    <w:p w:rsidR="00000000" w:rsidRDefault="00B30BA7">
      <w:pPr>
        <w:pStyle w:val="a3"/>
        <w:spacing w:before="0" w:beforeAutospacing="0" w:after="0" w:afterAutospacing="0"/>
        <w:ind w:left="45"/>
        <w:jc w:val="both"/>
        <w:rPr>
          <w:sz w:val="20"/>
          <w:szCs w:val="20"/>
        </w:rPr>
      </w:pPr>
      <w:r>
        <w:rPr>
          <w:sz w:val="20"/>
          <w:szCs w:val="20"/>
        </w:rPr>
        <w:t> </w:t>
      </w:r>
      <w:r>
        <w:rPr>
          <w:vanish/>
          <w:sz w:val="20"/>
          <w:szCs w:val="20"/>
        </w:rPr>
        <w:t>SCHEDULE OF LOSSES PER SHARE, BASIC AND DILUTE</w:t>
      </w:r>
      <w:r>
        <w:rPr>
          <w:vanish/>
          <w:sz w:val="20"/>
          <w:szCs w:val="20"/>
        </w:rPr>
        <w:t>D</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 except share and per share amounts)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rsidR="00000000" w:rsidRDefault="00B30BA7">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B30BA7">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B30BA7">
            <w:pPr>
              <w:jc w:val="right"/>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B30BA7">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B30BA7">
            <w:pPr>
              <w:rPr>
                <w:rFonts w:eastAsia="Times New Roman"/>
                <w:sz w:val="20"/>
                <w:szCs w:val="20"/>
              </w:rPr>
            </w:pPr>
            <w:r>
              <w:rPr>
                <w:rFonts w:eastAsia="Times New Roman"/>
                <w:sz w:val="20"/>
                <w:szCs w:val="20"/>
              </w:rPr>
              <w:t>Net loss attributable to common shareholders</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(11,216</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(22,690</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14,541,061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12,678,845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(0.77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caps/>
          <w:sz w:val="20"/>
          <w:szCs w:val="20"/>
        </w:rPr>
      </w:pPr>
      <w:r>
        <w:rPr>
          <w:sz w:val="20"/>
          <w:szCs w:val="20"/>
        </w:rPr>
        <w:t xml:space="preserve">All </w:t>
      </w:r>
      <w:r>
        <w:rPr>
          <w:sz w:val="20"/>
          <w:szCs w:val="20"/>
        </w:rPr>
        <w:t>unvested restricted stock units (“RSUs”) and unexercised warrants have been excluded from the above calculations as they were anti-dilutive. Vested RSUs, vested restricted shares and exercised warrants have been included in the above calculations.</w:t>
      </w:r>
    </w:p>
    <w:p w:rsidR="00000000" w:rsidRDefault="00B30BA7">
      <w:pPr>
        <w:pStyle w:val="a3"/>
        <w:spacing w:before="0" w:beforeAutospacing="0" w:after="0" w:afterAutospacing="0"/>
        <w:jc w:val="both"/>
        <w:rPr>
          <w:caps/>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8.</w:t>
      </w:r>
      <w:r>
        <w:rPr>
          <w:b/>
          <w:bCs/>
          <w:caps/>
          <w:sz w:val="20"/>
          <w:szCs w:val="20"/>
        </w:rPr>
        <w:t xml:space="preserve"> </w:t>
      </w:r>
      <w:r>
        <w:rPr>
          <w:b/>
          <w:bCs/>
          <w:caps/>
          <w:sz w:val="20"/>
          <w:szCs w:val="20"/>
        </w:rPr>
        <w:t>DEB</w:t>
      </w:r>
      <w:r>
        <w:rPr>
          <w:b/>
          <w:bCs/>
          <w:caps/>
          <w:sz w:val="20"/>
          <w:szCs w:val="20"/>
        </w:rPr>
        <w:t>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 xml:space="preserve">SVB </w:t>
      </w:r>
      <w:r>
        <w:rPr>
          <w:sz w:val="20"/>
          <w:szCs w:val="20"/>
        </w:rPr>
        <w:t xml:space="preserve">— During October 2017, the Company opened a revolving line of credit from Silicon Valley Bank (“SVB”) under a three-year agreement which replaced the previous credit facility from Opus. The SVB credit facility is a secured revolving line of credit </w:t>
      </w:r>
      <w:r>
        <w:rPr>
          <w:sz w:val="20"/>
          <w:szCs w:val="20"/>
        </w:rPr>
        <w:t>where borrowings are based on a formula of</w:t>
      </w:r>
      <w:r>
        <w:rPr>
          <w:sz w:val="20"/>
          <w:szCs w:val="20"/>
        </w:rPr>
        <w:t xml:space="preserve"> </w:t>
      </w:r>
      <w:r>
        <w:rPr>
          <w:sz w:val="20"/>
          <w:szCs w:val="20"/>
        </w:rPr>
        <w:t>20</w:t>
      </w:r>
      <w:r>
        <w:rPr>
          <w:sz w:val="20"/>
          <w:szCs w:val="20"/>
        </w:rPr>
        <w:t>0</w:t>
      </w:r>
      <w:r>
        <w:rPr>
          <w:sz w:val="20"/>
          <w:szCs w:val="20"/>
        </w:rPr>
        <w:t xml:space="preserve">% of repeatable revenue adjusted by an annualized attrition rate as defined in the credit agreement. During the third quarter of 2018, the credit line was increased from </w:t>
      </w:r>
      <w:r>
        <w:rPr>
          <w:sz w:val="20"/>
          <w:szCs w:val="20"/>
        </w:rPr>
        <w:t>$</w:t>
      </w:r>
      <w:r>
        <w:rPr>
          <w:sz w:val="20"/>
          <w:szCs w:val="20"/>
        </w:rPr>
        <w:t>5</w:t>
      </w:r>
      <w:r>
        <w:rPr>
          <w:sz w:val="20"/>
          <w:szCs w:val="20"/>
        </w:rPr>
        <w:t xml:space="preserve"> </w:t>
      </w:r>
      <w:r>
        <w:rPr>
          <w:sz w:val="20"/>
          <w:szCs w:val="20"/>
        </w:rPr>
        <w:t xml:space="preserve">million to </w:t>
      </w:r>
      <w:r>
        <w:rPr>
          <w:sz w:val="20"/>
          <w:szCs w:val="20"/>
        </w:rPr>
        <w:t>$</w:t>
      </w:r>
      <w:r>
        <w:rPr>
          <w:sz w:val="20"/>
          <w:szCs w:val="20"/>
        </w:rPr>
        <w:t>10</w:t>
      </w:r>
      <w:r>
        <w:rPr>
          <w:sz w:val="20"/>
          <w:szCs w:val="20"/>
        </w:rPr>
        <w:t xml:space="preserve"> </w:t>
      </w:r>
      <w:r>
        <w:rPr>
          <w:sz w:val="20"/>
          <w:szCs w:val="20"/>
        </w:rPr>
        <w:t>million and the term w</w:t>
      </w:r>
      <w:r>
        <w:rPr>
          <w:sz w:val="20"/>
          <w:szCs w:val="20"/>
        </w:rPr>
        <w:t xml:space="preserve">as extended for an additional year and during the third quarter of 2021, the credit line was further increased to </w:t>
      </w:r>
      <w:r>
        <w:rPr>
          <w:sz w:val="20"/>
          <w:szCs w:val="20"/>
        </w:rPr>
        <w:t>$</w:t>
      </w:r>
      <w:r>
        <w:rPr>
          <w:sz w:val="20"/>
          <w:szCs w:val="20"/>
        </w:rPr>
        <w:t>20</w:t>
      </w:r>
      <w:r>
        <w:rPr>
          <w:sz w:val="20"/>
          <w:szCs w:val="20"/>
        </w:rPr>
        <w:t xml:space="preserve"> </w:t>
      </w:r>
      <w:r>
        <w:rPr>
          <w:sz w:val="20"/>
          <w:szCs w:val="20"/>
        </w:rPr>
        <w:t xml:space="preserve">million and the term was extended for another year. As of December 31, 2021, there was </w:t>
      </w:r>
      <w:r>
        <w:rPr>
          <w:sz w:val="20"/>
          <w:szCs w:val="20"/>
        </w:rPr>
        <w:t>$</w:t>
      </w:r>
      <w:r>
        <w:rPr>
          <w:sz w:val="20"/>
          <w:szCs w:val="20"/>
        </w:rPr>
        <w:t>8</w:t>
      </w:r>
      <w:r>
        <w:rPr>
          <w:sz w:val="20"/>
          <w:szCs w:val="20"/>
        </w:rPr>
        <w:t xml:space="preserve"> </w:t>
      </w:r>
      <w:r>
        <w:rPr>
          <w:sz w:val="20"/>
          <w:szCs w:val="20"/>
        </w:rPr>
        <w:t>million outstanding on the line of credit. Subse</w:t>
      </w:r>
      <w:r>
        <w:rPr>
          <w:sz w:val="20"/>
          <w:szCs w:val="20"/>
        </w:rPr>
        <w:t>quent to the year-end, the credit line was repaid. At December 31, 2020, there were</w:t>
      </w:r>
      <w:r>
        <w:rPr>
          <w:sz w:val="20"/>
          <w:szCs w:val="20"/>
        </w:rPr>
        <w:t xml:space="preserve"> </w:t>
      </w:r>
      <w:r>
        <w:rPr>
          <w:sz w:val="20"/>
          <w:szCs w:val="20"/>
        </w:rPr>
        <w:t>no</w:t>
      </w:r>
      <w:r>
        <w:rPr>
          <w:sz w:val="20"/>
          <w:szCs w:val="20"/>
        </w:rPr>
        <w:t xml:space="preserve"> </w:t>
      </w:r>
      <w:r>
        <w:rPr>
          <w:sz w:val="20"/>
          <w:szCs w:val="20"/>
        </w:rPr>
        <w:t>borrowings under the credit facility. Interest on the SVB revolving line of credit is currently charged at the prime rate plus</w:t>
      </w:r>
      <w:r>
        <w:rPr>
          <w:sz w:val="20"/>
          <w:szCs w:val="20"/>
        </w:rPr>
        <w:t xml:space="preserve"> </w:t>
      </w:r>
      <w:r>
        <w:rPr>
          <w:sz w:val="20"/>
          <w:szCs w:val="20"/>
        </w:rPr>
        <w:t>1.5</w:t>
      </w:r>
      <w:r>
        <w:rPr>
          <w:sz w:val="20"/>
          <w:szCs w:val="20"/>
        </w:rPr>
        <w:t>0</w:t>
      </w:r>
      <w:r>
        <w:rPr>
          <w:sz w:val="20"/>
          <w:szCs w:val="20"/>
        </w:rPr>
        <w:t>%.</w:t>
      </w:r>
      <w:r>
        <w:rPr>
          <w:sz w:val="20"/>
          <w:szCs w:val="20"/>
        </w:rPr>
        <w:t xml:space="preserve"> </w:t>
      </w:r>
      <w:r>
        <w:rPr>
          <w:sz w:val="20"/>
          <w:szCs w:val="20"/>
        </w:rPr>
        <w:t xml:space="preserve">There is also a fee of one-half of </w:t>
      </w:r>
      <w:r>
        <w:rPr>
          <w:sz w:val="20"/>
          <w:szCs w:val="20"/>
        </w:rPr>
        <w:t>1% annually for the unused portion of the credit lin</w:t>
      </w:r>
      <w:r>
        <w:rPr>
          <w:sz w:val="20"/>
          <w:szCs w:val="20"/>
        </w:rPr>
        <w:t>e</w:t>
      </w:r>
      <w:r>
        <w:rPr>
          <w:sz w:val="20"/>
          <w:szCs w:val="20"/>
        </w:rPr>
        <w:t>. The debt is secured by all of the Company’s domestic assets and</w:t>
      </w:r>
      <w:r>
        <w:rPr>
          <w:sz w:val="20"/>
          <w:szCs w:val="20"/>
        </w:rPr>
        <w:t xml:space="preserve"> </w:t>
      </w:r>
      <w:r>
        <w:rPr>
          <w:sz w:val="20"/>
          <w:szCs w:val="20"/>
        </w:rPr>
        <w:t>6</w:t>
      </w:r>
      <w:r>
        <w:rPr>
          <w:sz w:val="20"/>
          <w:szCs w:val="20"/>
        </w:rPr>
        <w:t>5</w:t>
      </w:r>
      <w:r>
        <w:rPr>
          <w:sz w:val="20"/>
          <w:szCs w:val="20"/>
        </w:rPr>
        <w:t xml:space="preserve">% of the shares in its offshore subsidiaries. </w:t>
      </w:r>
      <w:r>
        <w:rPr>
          <w:color w:val="000000"/>
          <w:sz w:val="20"/>
          <w:szCs w:val="20"/>
        </w:rPr>
        <w:t>Future acquisitions are subject to approval by SVB.</w:t>
      </w:r>
    </w:p>
    <w:p w:rsidR="00000000" w:rsidRDefault="00B30BA7">
      <w:pPr>
        <w:pStyle w:val="a3"/>
        <w:spacing w:before="0" w:beforeAutospacing="0" w:after="0" w:afterAutospacing="0"/>
        <w:jc w:val="both"/>
        <w:rPr>
          <w:sz w:val="20"/>
          <w:szCs w:val="20"/>
        </w:rPr>
      </w:pPr>
      <w:r>
        <w:rPr>
          <w:color w:val="000000"/>
          <w:sz w:val="20"/>
          <w:szCs w:val="20"/>
        </w:rPr>
        <w:t> </w:t>
      </w:r>
    </w:p>
    <w:p w:rsidR="00000000" w:rsidRDefault="00B30BA7">
      <w:pPr>
        <w:pStyle w:val="a3"/>
        <w:spacing w:before="0" w:beforeAutospacing="0" w:after="0" w:afterAutospacing="0"/>
        <w:jc w:val="both"/>
        <w:rPr>
          <w:sz w:val="20"/>
          <w:szCs w:val="20"/>
        </w:rPr>
      </w:pPr>
      <w:r>
        <w:rPr>
          <w:sz w:val="20"/>
          <w:szCs w:val="20"/>
        </w:rPr>
        <w:t>In connection with the original SVB</w:t>
      </w:r>
      <w:r>
        <w:rPr>
          <w:sz w:val="20"/>
          <w:szCs w:val="20"/>
        </w:rPr>
        <w:t xml:space="preserve"> debt agreement, the Company paid SVB approximately </w:t>
      </w:r>
      <w:r>
        <w:rPr>
          <w:sz w:val="20"/>
          <w:szCs w:val="20"/>
        </w:rPr>
        <w:t>$</w:t>
      </w:r>
      <w:r>
        <w:rPr>
          <w:sz w:val="20"/>
          <w:szCs w:val="20"/>
        </w:rPr>
        <w:t>50,00</w:t>
      </w:r>
      <w:r>
        <w:rPr>
          <w:sz w:val="20"/>
          <w:szCs w:val="20"/>
        </w:rPr>
        <w:t>0</w:t>
      </w:r>
      <w:r>
        <w:rPr>
          <w:sz w:val="20"/>
          <w:szCs w:val="20"/>
        </w:rPr>
        <w:t xml:space="preserve"> of fees upfront and issued warrants for SVB to purchase</w:t>
      </w:r>
      <w:r>
        <w:rPr>
          <w:sz w:val="20"/>
          <w:szCs w:val="20"/>
        </w:rPr>
        <w:t xml:space="preserve"> </w:t>
      </w:r>
      <w:r>
        <w:rPr>
          <w:sz w:val="20"/>
          <w:szCs w:val="20"/>
        </w:rPr>
        <w:t>125,00</w:t>
      </w:r>
      <w:r>
        <w:rPr>
          <w:sz w:val="20"/>
          <w:szCs w:val="20"/>
        </w:rPr>
        <w:t>0</w:t>
      </w:r>
      <w:r>
        <w:rPr>
          <w:sz w:val="20"/>
          <w:szCs w:val="20"/>
        </w:rPr>
        <w:t xml:space="preserve"> shares of its common stock, and committed to pay an annual anniversary fee of </w:t>
      </w:r>
      <w:r>
        <w:rPr>
          <w:sz w:val="20"/>
          <w:szCs w:val="20"/>
        </w:rPr>
        <w:t>$</w:t>
      </w:r>
      <w:r>
        <w:rPr>
          <w:sz w:val="20"/>
          <w:szCs w:val="20"/>
        </w:rPr>
        <w:t>50,00</w:t>
      </w:r>
      <w:r>
        <w:rPr>
          <w:sz w:val="20"/>
          <w:szCs w:val="20"/>
        </w:rPr>
        <w:t>0</w:t>
      </w:r>
      <w:r>
        <w:rPr>
          <w:sz w:val="20"/>
          <w:szCs w:val="20"/>
        </w:rPr>
        <w:t xml:space="preserve"> a year. Based on the terms in the original SVB</w:t>
      </w:r>
      <w:r>
        <w:rPr>
          <w:sz w:val="20"/>
          <w:szCs w:val="20"/>
        </w:rPr>
        <w:t xml:space="preserve"> credit agreement, these warrants have a strike price equal to </w:t>
      </w:r>
      <w:r>
        <w:rPr>
          <w:sz w:val="20"/>
          <w:szCs w:val="20"/>
        </w:rPr>
        <w:t>$</w:t>
      </w:r>
      <w:r>
        <w:rPr>
          <w:sz w:val="20"/>
          <w:szCs w:val="20"/>
        </w:rPr>
        <w:t>3.9</w:t>
      </w:r>
      <w:r>
        <w:rPr>
          <w:sz w:val="20"/>
          <w:szCs w:val="20"/>
        </w:rPr>
        <w:t>2</w:t>
      </w:r>
      <w:r>
        <w:rPr>
          <w:sz w:val="20"/>
          <w:szCs w:val="20"/>
        </w:rPr>
        <w:t>. They have a</w:t>
      </w:r>
      <w:r>
        <w:rPr>
          <w:sz w:val="20"/>
          <w:szCs w:val="20"/>
        </w:rPr>
        <w:t xml:space="preserve"> </w:t>
      </w:r>
      <w:r>
        <w:rPr>
          <w:sz w:val="20"/>
          <w:szCs w:val="20"/>
        </w:rPr>
        <w:t>fiv</w:t>
      </w:r>
      <w:r>
        <w:rPr>
          <w:sz w:val="20"/>
          <w:szCs w:val="20"/>
        </w:rPr>
        <w:t>e</w:t>
      </w:r>
      <w:r>
        <w:rPr>
          <w:sz w:val="20"/>
          <w:szCs w:val="20"/>
        </w:rPr>
        <w:t xml:space="preserve">-year exercise window and net exercise rights, and were valued at </w:t>
      </w:r>
      <w:r>
        <w:rPr>
          <w:sz w:val="20"/>
          <w:szCs w:val="20"/>
        </w:rPr>
        <w:t>$</w:t>
      </w:r>
      <w:r>
        <w:rPr>
          <w:sz w:val="20"/>
          <w:szCs w:val="20"/>
        </w:rPr>
        <w:t>3.1</w:t>
      </w:r>
      <w:r>
        <w:rPr>
          <w:sz w:val="20"/>
          <w:szCs w:val="20"/>
        </w:rPr>
        <w:t>2</w:t>
      </w:r>
      <w:r>
        <w:rPr>
          <w:sz w:val="20"/>
          <w:szCs w:val="20"/>
        </w:rPr>
        <w:t xml:space="preserve"> per warrant. As a result of the revision in the SVB credit line, which increased the credit line f</w:t>
      </w:r>
      <w:r>
        <w:rPr>
          <w:sz w:val="20"/>
          <w:szCs w:val="20"/>
        </w:rPr>
        <w:t xml:space="preserve">rom </w:t>
      </w:r>
      <w:r>
        <w:rPr>
          <w:sz w:val="20"/>
          <w:szCs w:val="20"/>
        </w:rPr>
        <w:t>$</w:t>
      </w:r>
      <w:r>
        <w:rPr>
          <w:sz w:val="20"/>
          <w:szCs w:val="20"/>
        </w:rPr>
        <w:t>5</w:t>
      </w:r>
      <w:r>
        <w:rPr>
          <w:sz w:val="20"/>
          <w:szCs w:val="20"/>
        </w:rPr>
        <w:t xml:space="preserve"> million to </w:t>
      </w:r>
      <w:r>
        <w:rPr>
          <w:sz w:val="20"/>
          <w:szCs w:val="20"/>
        </w:rPr>
        <w:t>$</w:t>
      </w:r>
      <w:r>
        <w:rPr>
          <w:sz w:val="20"/>
          <w:szCs w:val="20"/>
        </w:rPr>
        <w:t>1</w:t>
      </w:r>
      <w:r>
        <w:rPr>
          <w:sz w:val="20"/>
          <w:szCs w:val="20"/>
        </w:rPr>
        <w:t>0</w:t>
      </w:r>
      <w:r>
        <w:rPr>
          <w:sz w:val="20"/>
          <w:szCs w:val="20"/>
        </w:rPr>
        <w:t xml:space="preserve"> million and reduced the interest rate by 25 basis points, the Company paid approximately </w:t>
      </w:r>
      <w:r>
        <w:rPr>
          <w:sz w:val="20"/>
          <w:szCs w:val="20"/>
        </w:rPr>
        <w:t>$</w:t>
      </w:r>
      <w:r>
        <w:rPr>
          <w:sz w:val="20"/>
          <w:szCs w:val="20"/>
        </w:rPr>
        <w:t>50,00</w:t>
      </w:r>
      <w:r>
        <w:rPr>
          <w:sz w:val="20"/>
          <w:szCs w:val="20"/>
        </w:rPr>
        <w:t>0</w:t>
      </w:r>
      <w:r>
        <w:rPr>
          <w:sz w:val="20"/>
          <w:szCs w:val="20"/>
        </w:rPr>
        <w:t xml:space="preserve"> of fees upfront and issued an additional</w:t>
      </w:r>
      <w:r>
        <w:rPr>
          <w:sz w:val="20"/>
          <w:szCs w:val="20"/>
        </w:rPr>
        <w:t xml:space="preserve"> </w:t>
      </w:r>
      <w:r>
        <w:rPr>
          <w:sz w:val="20"/>
          <w:szCs w:val="20"/>
        </w:rPr>
        <w:t>28,48</w:t>
      </w:r>
      <w:r>
        <w:rPr>
          <w:sz w:val="20"/>
          <w:szCs w:val="20"/>
        </w:rPr>
        <w:t>9</w:t>
      </w:r>
      <w:r>
        <w:rPr>
          <w:sz w:val="20"/>
          <w:szCs w:val="20"/>
        </w:rPr>
        <w:t xml:space="preserve"> warrants, with a strike price equal to </w:t>
      </w:r>
      <w:r>
        <w:rPr>
          <w:sz w:val="20"/>
          <w:szCs w:val="20"/>
        </w:rPr>
        <w:t>$</w:t>
      </w:r>
      <w:r>
        <w:rPr>
          <w:sz w:val="20"/>
          <w:szCs w:val="20"/>
        </w:rPr>
        <w:t>5.2</w:t>
      </w:r>
      <w:r>
        <w:rPr>
          <w:sz w:val="20"/>
          <w:szCs w:val="20"/>
        </w:rPr>
        <w:t>6</w:t>
      </w:r>
      <w:r>
        <w:rPr>
          <w:sz w:val="20"/>
          <w:szCs w:val="20"/>
        </w:rPr>
        <w:t>, a</w:t>
      </w:r>
      <w:r>
        <w:rPr>
          <w:sz w:val="20"/>
          <w:szCs w:val="20"/>
        </w:rPr>
        <w:t xml:space="preserve"> </w:t>
      </w:r>
      <w:r>
        <w:rPr>
          <w:sz w:val="20"/>
          <w:szCs w:val="20"/>
        </w:rPr>
        <w:t>fiv</w:t>
      </w:r>
      <w:r>
        <w:rPr>
          <w:sz w:val="20"/>
          <w:szCs w:val="20"/>
        </w:rPr>
        <w:t>e</w:t>
      </w:r>
      <w:r>
        <w:rPr>
          <w:sz w:val="20"/>
          <w:szCs w:val="20"/>
        </w:rPr>
        <w:t>-year exercise window and net exercis</w:t>
      </w:r>
      <w:r>
        <w:rPr>
          <w:sz w:val="20"/>
          <w:szCs w:val="20"/>
        </w:rPr>
        <w:t xml:space="preserve">e rights. The additional warrants were valued at </w:t>
      </w:r>
      <w:r>
        <w:rPr>
          <w:sz w:val="20"/>
          <w:szCs w:val="20"/>
        </w:rPr>
        <w:t>$</w:t>
      </w:r>
      <w:r>
        <w:rPr>
          <w:sz w:val="20"/>
          <w:szCs w:val="20"/>
        </w:rPr>
        <w:t>3.5</w:t>
      </w:r>
      <w:r>
        <w:rPr>
          <w:sz w:val="20"/>
          <w:szCs w:val="20"/>
        </w:rPr>
        <w:t>8</w:t>
      </w:r>
      <w:r>
        <w:rPr>
          <w:sz w:val="20"/>
          <w:szCs w:val="20"/>
        </w:rPr>
        <w:t xml:space="preserve"> per warrant. The SVB credit agreement contains various covenants and conditions governing the revolving line of credit. These covenants include a minimum level of adjusted EBITDA and a minimum liquidit</w:t>
      </w:r>
      <w:r>
        <w:rPr>
          <w:sz w:val="20"/>
          <w:szCs w:val="20"/>
        </w:rPr>
        <w:t>y ratio. At December 31, 2021 and 2020, the Company was in compliance with all covenants.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50500054"/>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During </w:t>
      </w:r>
      <w:r>
        <w:rPr>
          <w:sz w:val="20"/>
          <w:szCs w:val="20"/>
        </w:rPr>
        <w:t>November 2019, the Company modified its loan agreement with SVB, which adjusted the required monthly EBITDA amounts and does not require the Company to comply with financial covenants as long as there have been</w:t>
      </w:r>
      <w:r>
        <w:rPr>
          <w:sz w:val="20"/>
          <w:szCs w:val="20"/>
        </w:rPr>
        <w:t xml:space="preserve"> </w:t>
      </w:r>
      <w:r>
        <w:rPr>
          <w:sz w:val="20"/>
          <w:szCs w:val="20"/>
        </w:rPr>
        <w:t>n</w:t>
      </w:r>
      <w:r>
        <w:rPr>
          <w:sz w:val="20"/>
          <w:szCs w:val="20"/>
        </w:rPr>
        <w:t>o</w:t>
      </w:r>
      <w:r>
        <w:rPr>
          <w:sz w:val="20"/>
          <w:szCs w:val="20"/>
        </w:rPr>
        <w:t xml:space="preserve"> borrowings on the revolving credit line fo</w:t>
      </w:r>
      <w:r>
        <w:rPr>
          <w:sz w:val="20"/>
          <w:szCs w:val="20"/>
        </w:rPr>
        <w:t>r the prior six months.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During September 2020, the agreement with SVB was modified to include CareCloud and Meridian as borrowers. During September 2021, the agreement with SVB was modified to include CAC and medSR as borrowers.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and in Pakistan. The vehicle financing notes have</w:t>
      </w:r>
      <w:r>
        <w:rPr>
          <w:sz w:val="20"/>
          <w:szCs w:val="20"/>
        </w:rPr>
        <w:t xml:space="preserve"> </w:t>
      </w:r>
      <w:r>
        <w:rPr>
          <w:sz w:val="20"/>
          <w:szCs w:val="20"/>
        </w:rPr>
        <w:t>three to six year term</w:t>
      </w:r>
      <w:r>
        <w:rPr>
          <w:sz w:val="20"/>
          <w:szCs w:val="20"/>
        </w:rPr>
        <w:t>s</w:t>
      </w:r>
      <w:r>
        <w:rPr>
          <w:sz w:val="20"/>
          <w:szCs w:val="20"/>
        </w:rPr>
        <w:t xml:space="preserve"> and were issued at current market rates.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w:t>
      </w:r>
      <w:r>
        <w:rPr>
          <w:sz w:val="20"/>
          <w:szCs w:val="20"/>
        </w:rPr>
        <w:t>rchases over the term of the policy life. The interest rate charged is</w:t>
      </w:r>
      <w:r>
        <w:rPr>
          <w:sz w:val="20"/>
          <w:szCs w:val="20"/>
        </w:rPr>
        <w:t xml:space="preserve"> </w:t>
      </w:r>
      <w:r>
        <w:rPr>
          <w:sz w:val="20"/>
          <w:szCs w:val="20"/>
        </w:rPr>
        <w:t>4.1</w:t>
      </w:r>
      <w:r>
        <w:rPr>
          <w:sz w:val="20"/>
          <w:szCs w:val="20"/>
        </w:rPr>
        <w:t>5</w:t>
      </w:r>
      <w:r>
        <w:rPr>
          <w:sz w:val="20"/>
          <w:szCs w:val="20"/>
        </w:rPr>
        <w:t>%.</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Maturities of the outstanding notes payable and other obligations as of December 31, 2021 are as follows:</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SCHEDULE OF MATURITIES OF LONG-TERM DEB</w:t>
      </w:r>
      <w:r>
        <w:rPr>
          <w:vanish/>
          <w:sz w:val="20"/>
          <w:szCs w:val="20"/>
        </w:rPr>
        <w:t>T</w:t>
      </w:r>
    </w:p>
    <w:tbl>
      <w:tblPr>
        <w:tblW w:w="3500" w:type="pct"/>
        <w:tblCellMar>
          <w:left w:w="0" w:type="dxa"/>
          <w:right w:w="0" w:type="dxa"/>
        </w:tblCellMar>
        <w:tblLook w:val="04A0" w:firstRow="1" w:lastRow="0" w:firstColumn="1" w:lastColumn="0" w:noHBand="0" w:noVBand="1"/>
      </w:tblPr>
      <w:tblGrid>
        <w:gridCol w:w="2056"/>
        <w:gridCol w:w="79"/>
        <w:gridCol w:w="101"/>
        <w:gridCol w:w="662"/>
        <w:gridCol w:w="50"/>
        <w:gridCol w:w="57"/>
        <w:gridCol w:w="101"/>
        <w:gridCol w:w="790"/>
        <w:gridCol w:w="50"/>
        <w:gridCol w:w="57"/>
        <w:gridCol w:w="101"/>
        <w:gridCol w:w="790"/>
        <w:gridCol w:w="50"/>
        <w:gridCol w:w="57"/>
        <w:gridCol w:w="100"/>
        <w:gridCol w:w="663"/>
        <w:gridCol w:w="50"/>
      </w:tblGrid>
      <w:tr w:rsidR="00000000">
        <w:tc>
          <w:tcPr>
            <w:tcW w:w="0" w:type="auto"/>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 xml:space="preserve">Years ending </w:t>
            </w:r>
            <w:r>
              <w:rPr>
                <w:rFonts w:eastAsia="Times New Roman"/>
                <w:b/>
                <w:bCs/>
                <w:sz w:val="20"/>
                <w:szCs w:val="20"/>
              </w:rPr>
              <w:br/>
              <w:t>December 31</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b/>
                <w:bCs/>
                <w:sz w:val="20"/>
                <w:szCs w:val="20"/>
              </w:rPr>
              <w:t>Line of Credit*</w:t>
            </w:r>
          </w:p>
        </w:tc>
        <w:tc>
          <w:tcPr>
            <w:tcW w:w="0" w:type="auto"/>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Vehicle Financing Notes</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Insurance Financing</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p>
        </w:tc>
        <w:tc>
          <w:tcPr>
            <w:tcW w:w="0" w:type="auto"/>
            <w:gridSpan w:val="13"/>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B30BA7">
            <w:pPr>
              <w:rPr>
                <w:rFonts w:eastAsia="Times New Roman"/>
                <w:sz w:val="20"/>
                <w:szCs w:val="20"/>
              </w:rPr>
            </w:pPr>
            <w:r>
              <w:rPr>
                <w:rFonts w:eastAsia="Times New Roman"/>
                <w:sz w:val="20"/>
                <w:szCs w:val="20"/>
              </w:rPr>
              <w:t>2022</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     16</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328</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344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8,000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8,007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2025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2026</w:t>
            </w:r>
          </w:p>
        </w:tc>
        <w:tc>
          <w:tcPr>
            <w:tcW w:w="0" w:type="auto"/>
            <w:shd w:val="clear" w:color="auto" w:fill="CCEE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w:t>
            </w:r>
          </w:p>
        </w:tc>
        <w:tc>
          <w:tcPr>
            <w:tcW w:w="0" w:type="auto"/>
            <w:shd w:val="clear" w:color="auto" w:fill="CCEE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w:t>
            </w:r>
          </w:p>
        </w:tc>
        <w:tc>
          <w:tcPr>
            <w:tcW w:w="0" w:type="auto"/>
            <w:shd w:val="clear" w:color="auto" w:fill="CCEE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8,000</w:t>
            </w:r>
          </w:p>
        </w:tc>
        <w:tc>
          <w:tcPr>
            <w:tcW w:w="0" w:type="auto"/>
            <w:shd w:val="clear" w:color="auto" w:fill="FFFF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36</w:t>
            </w:r>
          </w:p>
        </w:tc>
        <w:tc>
          <w:tcPr>
            <w:tcW w:w="0" w:type="auto"/>
            <w:shd w:val="clear" w:color="auto" w:fill="FFFF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328</w:t>
            </w:r>
          </w:p>
        </w:tc>
        <w:tc>
          <w:tcPr>
            <w:tcW w:w="0" w:type="auto"/>
            <w:shd w:val="clear" w:color="auto" w:fill="FFFF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8,364</w:t>
            </w:r>
          </w:p>
        </w:tc>
        <w:tc>
          <w:tcPr>
            <w:tcW w:w="0" w:type="auto"/>
            <w:shd w:val="clear" w:color="auto" w:fill="FFFFFF"/>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6"/>
        <w:gridCol w:w="8140"/>
      </w:tblGrid>
      <w:tr w:rsidR="00000000">
        <w:tc>
          <w:tcPr>
            <w:tcW w:w="100" w:type="pct"/>
            <w:hideMark/>
          </w:tcPr>
          <w:p w:rsidR="00000000" w:rsidRDefault="00B30BA7">
            <w:pPr>
              <w:rPr>
                <w:rFonts w:eastAsia="Times New Roman"/>
                <w:sz w:val="20"/>
                <w:szCs w:val="20"/>
              </w:rPr>
            </w:pPr>
            <w:r>
              <w:rPr>
                <w:rFonts w:eastAsia="Times New Roman"/>
                <w:sz w:val="20"/>
                <w:szCs w:val="20"/>
              </w:rPr>
              <w:t>*</w:t>
            </w:r>
          </w:p>
        </w:tc>
        <w:tc>
          <w:tcPr>
            <w:tcW w:w="4900" w:type="pct"/>
            <w:hideMark/>
          </w:tcPr>
          <w:p w:rsidR="00000000" w:rsidRDefault="00B30BA7">
            <w:pPr>
              <w:rPr>
                <w:rFonts w:eastAsia="Times New Roman"/>
                <w:sz w:val="20"/>
                <w:szCs w:val="20"/>
              </w:rPr>
            </w:pPr>
            <w:r>
              <w:rPr>
                <w:rFonts w:eastAsia="Times New Roman"/>
                <w:sz w:val="20"/>
                <w:szCs w:val="20"/>
              </w:rPr>
              <w:t>The line of credit was repaid after year-end.</w:t>
            </w:r>
          </w:p>
        </w:tc>
      </w:tr>
    </w:tbl>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9.</w:t>
      </w:r>
      <w:r>
        <w:rPr>
          <w:b/>
          <w:bCs/>
          <w:sz w:val="20"/>
          <w:szCs w:val="20"/>
        </w:rPr>
        <w:t xml:space="preserve"> </w:t>
      </w:r>
      <w:r>
        <w:rPr>
          <w:b/>
          <w:bCs/>
          <w:sz w:val="20"/>
          <w:szCs w:val="20"/>
        </w:rPr>
        <w:t>REVENU</w:t>
      </w:r>
      <w:r>
        <w:rPr>
          <w:b/>
          <w:bCs/>
          <w:sz w:val="20"/>
          <w:szCs w:val="20"/>
        </w:rPr>
        <w:t>E</w:t>
      </w:r>
    </w:p>
    <w:p w:rsidR="00000000" w:rsidRDefault="00B30BA7">
      <w:pPr>
        <w:pStyle w:val="a3"/>
        <w:spacing w:before="0" w:beforeAutospacing="0" w:after="0" w:afterAutospacing="0"/>
        <w:jc w:val="both"/>
        <w:rPr>
          <w:sz w:val="20"/>
          <w:szCs w:val="20"/>
        </w:rPr>
      </w:pPr>
      <w:r>
        <w:rPr>
          <w:b/>
          <w:bCs/>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Introduction</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 xml:space="preserve">Company accounts for revenue in accordance with ASC 606, </w:t>
      </w:r>
      <w:r>
        <w:rPr>
          <w:i/>
          <w:iCs/>
          <w:sz w:val="20"/>
          <w:szCs w:val="20"/>
        </w:rPr>
        <w:t>Revenue from Contracts with Customers</w:t>
      </w:r>
      <w:r>
        <w:rPr>
          <w:sz w:val="20"/>
          <w:szCs w:val="20"/>
        </w:rPr>
        <w:t>. All revenue is recognized as our performance obligations are satisfied. A performance obligation is a promise in a contract to transfer a distinct good or servi</w:t>
      </w:r>
      <w:r>
        <w:rPr>
          <w:sz w:val="20"/>
          <w:szCs w:val="20"/>
        </w:rPr>
        <w:t>ce to a customer, and is the unit of account under ASC 606. The Company recognizes revenue when the revenue cycle management services begin on the medical billing claims, which is generally upon receipt of the claim from the provider. For revenue cycle man</w:t>
      </w:r>
      <w:r>
        <w:rPr>
          <w:sz w:val="20"/>
          <w:szCs w:val="20"/>
        </w:rPr>
        <w:t>agement services, the Company estimates the value of the consideration it will earn over the remaining contractual period as our services are provided and recognizes the fees over the term; this estimation involves predicting the amounts our clients will u</w:t>
      </w:r>
      <w:r>
        <w:rPr>
          <w:sz w:val="20"/>
          <w:szCs w:val="20"/>
        </w:rPr>
        <w:t>ltimately collect associated with the services they provided. Certain significant estimates, such as payment-to-charge ratios, effective billing rates and the estimated contractual payment periods are required to measure revenue cycle management revenue un</w:t>
      </w:r>
      <w:r>
        <w:rPr>
          <w:sz w:val="20"/>
          <w:szCs w:val="20"/>
        </w:rPr>
        <w:t>der the new standard.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Most of our current contracts with customers contain a single performance obligation. For contracts where we provide multiple services, such as where we perform multiple ancillary services, each service represents its own performanc</w:t>
      </w:r>
      <w:r>
        <w:rPr>
          <w:sz w:val="20"/>
          <w:szCs w:val="20"/>
        </w:rPr>
        <w:t>e obligation. The standalone selling prices are based on the contractual price for the service.</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i/>
          <w:iCs/>
          <w:sz w:val="20"/>
          <w:szCs w:val="20"/>
        </w:rPr>
      </w:pPr>
      <w:r>
        <w:rPr>
          <w:sz w:val="20"/>
          <w:szCs w:val="20"/>
        </w:rPr>
        <w:t>We apply the portfolio approach as permitted by ASC 606 as a practical expedient to contracts with similar characteristics and we use estimates and assumption</w:t>
      </w:r>
      <w:r>
        <w:rPr>
          <w:sz w:val="20"/>
          <w:szCs w:val="20"/>
        </w:rPr>
        <w:t>s when accounting for those portfolios. Our contracts generally include standard commercial payment terms. We have no significant obligations for refunds, warranties or similar obligations and our revenue does not include taxes collected from our customers</w:t>
      </w:r>
      <w:r>
        <w:rPr>
          <w:sz w:val="20"/>
          <w:szCs w:val="20"/>
        </w:rPr>
        <w:t>.</w:t>
      </w:r>
    </w:p>
    <w:p w:rsidR="00000000" w:rsidRDefault="00B30BA7">
      <w:pPr>
        <w:pStyle w:val="a3"/>
        <w:spacing w:before="0" w:beforeAutospacing="0" w:after="0" w:afterAutospacing="0"/>
        <w:rPr>
          <w:i/>
          <w:iCs/>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64302068"/>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i/>
          <w:iCs/>
          <w:sz w:val="20"/>
          <w:szCs w:val="20"/>
        </w:rPr>
      </w:pPr>
      <w:r>
        <w:rPr>
          <w:i/>
          <w:iCs/>
          <w:sz w:val="20"/>
          <w:szCs w:val="20"/>
        </w:rPr>
        <w:t> </w:t>
      </w:r>
    </w:p>
    <w:p w:rsidR="00000000" w:rsidRDefault="00B30BA7">
      <w:pPr>
        <w:pStyle w:val="a3"/>
        <w:spacing w:before="0" w:beforeAutospacing="0" w:after="0" w:afterAutospacing="0"/>
        <w:rPr>
          <w:i/>
          <w:iCs/>
          <w:sz w:val="20"/>
          <w:szCs w:val="20"/>
        </w:rPr>
      </w:pPr>
      <w:r>
        <w:rPr>
          <w:i/>
          <w:iCs/>
          <w:sz w:val="20"/>
          <w:szCs w:val="20"/>
        </w:rPr>
        <w:t>Disaggregation of Revenue from Contracts with Customers</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We derive revenue from five primary sources: (1) Technology-enabled business solutions, (2) professional services, (3) printing and mailing services, (4) group purchasing services and </w:t>
      </w:r>
      <w:r>
        <w:rPr>
          <w:sz w:val="20"/>
          <w:szCs w:val="20"/>
        </w:rPr>
        <w:t>(5) medical practice management services.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years ended December 31, 2021 and 2020:</w:t>
      </w:r>
    </w:p>
    <w:p w:rsidR="00000000" w:rsidRDefault="00B30BA7">
      <w:pPr>
        <w:pStyle w:val="a3"/>
        <w:shd w:val="clear" w:color="auto" w:fill="FFFFFF"/>
        <w:spacing w:before="0" w:beforeAutospacing="0" w:after="0" w:afterAutospacing="0"/>
        <w:jc w:val="both"/>
        <w:rPr>
          <w:sz w:val="20"/>
          <w:szCs w:val="20"/>
        </w:rPr>
      </w:pPr>
      <w:r>
        <w:rPr>
          <w:sz w:val="20"/>
          <w:szCs w:val="20"/>
        </w:rPr>
        <w:t> </w:t>
      </w:r>
      <w:r>
        <w:rPr>
          <w:vanish/>
          <w:sz w:val="20"/>
          <w:szCs w:val="20"/>
        </w:rPr>
        <w:t>SCHEDULE OF DISAGGREGATION OF REVENU</w:t>
      </w:r>
      <w:r>
        <w:rPr>
          <w:vanish/>
          <w:sz w:val="20"/>
          <w:szCs w:val="20"/>
        </w:rPr>
        <w:t>E</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trPr>
          <w:hidden/>
        </w:trPr>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Technology-enabled business solutions</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105,531</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88,453</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19,044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2,559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1,538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1,453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966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859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b/>
                <w:bCs/>
                <w:sz w:val="20"/>
                <w:szCs w:val="20"/>
              </w:rPr>
            </w:pPr>
            <w:r>
              <w:rPr>
                <w:rFonts w:eastAsia="Times New Roman"/>
                <w:b/>
                <w:bCs/>
                <w:sz w:val="20"/>
                <w:szCs w:val="20"/>
              </w:rPr>
              <w:t>Medical Practice Management: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Medical practice management services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12,520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11,798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Total</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139,599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105,122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Technology-enabled business solutions:</w:t>
      </w:r>
    </w:p>
    <w:p w:rsidR="00000000" w:rsidRDefault="00B30BA7">
      <w:pPr>
        <w:pStyle w:val="a3"/>
        <w:spacing w:before="0" w:beforeAutospacing="0" w:after="0" w:afterAutospacing="0"/>
        <w:jc w:val="both"/>
        <w:rPr>
          <w:sz w:val="20"/>
          <w:szCs w:val="20"/>
        </w:rPr>
      </w:pPr>
      <w:r>
        <w:rPr>
          <w:sz w:val="20"/>
          <w:szCs w:val="20"/>
        </w:rPr>
        <w:t xml:space="preserve">Revenue </w:t>
      </w:r>
      <w:r>
        <w:rPr>
          <w:sz w:val="20"/>
          <w:szCs w:val="20"/>
        </w:rPr>
        <w:t>derived on an on-going basis from our technology-enabled solutions is typically billed as a percentage of payments collected by our customers. The fee for our services includes the ability to use our EHR and practice management software as well as RCM as p</w:t>
      </w:r>
      <w:r>
        <w:rPr>
          <w:sz w:val="20"/>
          <w:szCs w:val="20"/>
        </w:rPr>
        <w:t>art of the bundled fee.</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Revenue cycle management services are the recurring process of submitting and following up on claims with health insurance companies in order for the healthcare providers to receive payment for the services they rendered. The Comp</w:t>
      </w:r>
      <w:r>
        <w:rPr>
          <w:sz w:val="20"/>
          <w:szCs w:val="20"/>
        </w:rPr>
        <w:t>any typically invoices customers on a monthly basis based on the actual collections received by its customers and the agreed-upon rate in the sales contract. The fee for these services typically includes use of practice management software and related tool</w:t>
      </w:r>
      <w:r>
        <w:rPr>
          <w:sz w:val="20"/>
          <w:szCs w:val="20"/>
        </w:rPr>
        <w:t>s (on a SaaS basis), electronic health records (on a SaaS basis), medical billing services and use of mobile health solutions. We consider the services to be one performance obligation since the promises are not distinct in the context of the contract. The</w:t>
      </w:r>
      <w:r>
        <w:rPr>
          <w:sz w:val="20"/>
          <w:szCs w:val="20"/>
        </w:rPr>
        <w:t xml:space="preserve"> performance obligation consists of a series of distinct services that are substantially the same and have the same periodic pattern of transfer to our customers.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In many cases, our clients may terminate their agreements with 90 days’ notice without caus</w:t>
      </w:r>
      <w:r>
        <w:rPr>
          <w:sz w:val="20"/>
          <w:szCs w:val="20"/>
        </w:rPr>
        <w:t>e, thereby limiting the term in which we have enforceable rights and obligations, although this time period can vary between clients. Our payment terms are normally net 30 days. Although our contracts typically have stated terms of one or more years, under</w:t>
      </w:r>
      <w:r>
        <w:rPr>
          <w:sz w:val="20"/>
          <w:szCs w:val="20"/>
        </w:rPr>
        <w:t xml:space="preserve"> ASC 606 our contracts are considered month-to-month and accordingly, there is no financing component.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For the majority of our revenue cycle management contracts, the total transaction price is variable because our obligation is to process an unknown qua</w:t>
      </w:r>
      <w:r>
        <w:rPr>
          <w:sz w:val="20"/>
          <w:szCs w:val="20"/>
        </w:rPr>
        <w:t xml:space="preserve">ntity of claims, as and when requested by our customers over the contract period. When a contract includes variable consideration, we evaluate the estimate of the variable consideration to determine whether the estimate needs to be constrained; therefore, </w:t>
      </w:r>
      <w:r>
        <w:rPr>
          <w:sz w:val="20"/>
          <w:szCs w:val="20"/>
        </w:rPr>
        <w:t>we include variable consideration in the transaction price only to the extent that it is probable that a significant reversal of the amount of cumulative revenue recognized will not occur when the uncertainty associated with variable consideration is subse</w:t>
      </w:r>
      <w:r>
        <w:rPr>
          <w:sz w:val="20"/>
          <w:szCs w:val="20"/>
        </w:rPr>
        <w:t>quently resolved. Estimates to determine variable consideration such as payment to charge ratios, effective billing rates, and the estimated contractual payment periods are updated at each reporting date. Revenue is recognized over the performance period u</w:t>
      </w:r>
      <w:r>
        <w:rPr>
          <w:sz w:val="20"/>
          <w:szCs w:val="20"/>
        </w:rPr>
        <w:t>sing the input method.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proprietary, cloud-based practice management application automates the labor-intensive workflow of a medical office in a unified and streamlined SaaS platform. The Company has a large number of clients who utilize the Company’s</w:t>
      </w:r>
      <w:r>
        <w:rPr>
          <w:sz w:val="20"/>
          <w:szCs w:val="20"/>
        </w:rPr>
        <w:t xml:space="preserve"> practice management software, electronic health records software, patient experience management solutions, business intelligence software and/or robotic process automation software on a SaaS basis, but who do not utilize the Company’s revenue cycle manage</w:t>
      </w:r>
      <w:r>
        <w:rPr>
          <w:sz w:val="20"/>
          <w:szCs w:val="20"/>
        </w:rPr>
        <w:t>ment services. SaaS fees may be fixed based on the number of providers, or may be variable.</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71221262"/>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The medical billing clearinghouse service takes claim information from customers, checks the claims for errors and sends this information electronical</w:t>
      </w:r>
      <w:r>
        <w:rPr>
          <w:sz w:val="20"/>
          <w:szCs w:val="20"/>
        </w:rPr>
        <w:t>ly to insurance companies. The Company invoices customers on a monthly basis based on the number of claims submitted and the agreed-upon rate in the agreement. This service is provided to medical practices and providers to medical practices who are not rev</w:t>
      </w:r>
      <w:r>
        <w:rPr>
          <w:sz w:val="20"/>
          <w:szCs w:val="20"/>
        </w:rPr>
        <w:t>enue cycle management customers. The performance obligation is satisfied once the relevant submissions are completed.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Additional services such as coding and transcription are rendered in connection with the delivery of revenue cycle management and relate</w:t>
      </w:r>
      <w:r>
        <w:rPr>
          <w:sz w:val="20"/>
          <w:szCs w:val="20"/>
        </w:rPr>
        <w:t>d medical services. The Company invoices customers monthly, based on the actual amount of services performed at the agreed-upon rate in the contract. These services are only offered to revenue cycle management customers. These services do not represent a m</w:t>
      </w:r>
      <w:r>
        <w:rPr>
          <w:sz w:val="20"/>
          <w:szCs w:val="20"/>
        </w:rPr>
        <w:t>aterial right because the services are optional to the customer and customers electing these services are charged the same price for those services as if they were on a standalone basis. Each individual coding or transcription transaction processed represe</w:t>
      </w:r>
      <w:r>
        <w:rPr>
          <w:sz w:val="20"/>
          <w:szCs w:val="20"/>
        </w:rPr>
        <w:t>nts a performance obligation, which is satisfied over time as that individual service is rendered.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Professional services:</w:t>
      </w:r>
    </w:p>
    <w:p w:rsidR="00000000" w:rsidRDefault="00B30BA7">
      <w:pPr>
        <w:pStyle w:val="a3"/>
        <w:spacing w:before="0" w:beforeAutospacing="0" w:after="0" w:afterAutospacing="0"/>
        <w:jc w:val="both"/>
        <w:rPr>
          <w:sz w:val="20"/>
          <w:szCs w:val="20"/>
        </w:rPr>
      </w:pPr>
      <w:r>
        <w:rPr>
          <w:sz w:val="20"/>
          <w:szCs w:val="20"/>
        </w:rPr>
        <w:t xml:space="preserve">Our </w:t>
      </w:r>
      <w:r>
        <w:rPr>
          <w:sz w:val="20"/>
          <w:szCs w:val="20"/>
        </w:rPr>
        <w:t>professional services include an extensive set of services including EHR vendor-agnostic optimization and activation, project management, IT transformation consulting, process improvement, training, education and staffing for large healthcare organizations</w:t>
      </w:r>
      <w:r>
        <w:rPr>
          <w:sz w:val="20"/>
          <w:szCs w:val="20"/>
        </w:rPr>
        <w:t xml:space="preserve"> including health systems and hospitals. Revenue is recorded monthly on a time and materials or a fixed rate basis. This is a separate performance obligation from any RCM or SaaS services provided, for which the Company receives and records monthly fees. T</w:t>
      </w:r>
      <w:r>
        <w:rPr>
          <w:sz w:val="20"/>
          <w:szCs w:val="20"/>
        </w:rPr>
        <w:t>he performance obligation is satisfied over time as the professional services are rendered.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Printing and mailing services:</w:t>
      </w:r>
    </w:p>
    <w:p w:rsidR="00000000" w:rsidRDefault="00B30BA7">
      <w:pPr>
        <w:pStyle w:val="a3"/>
        <w:spacing w:before="0" w:beforeAutospacing="0" w:after="0" w:afterAutospacing="0"/>
        <w:jc w:val="both"/>
        <w:rPr>
          <w:sz w:val="20"/>
          <w:szCs w:val="20"/>
        </w:rPr>
      </w:pPr>
      <w:r>
        <w:rPr>
          <w:sz w:val="20"/>
          <w:szCs w:val="20"/>
        </w:rPr>
        <w:t xml:space="preserve">The Company provides printing and mailing services for both revenue cycle management customers and a non- revenue cycle management </w:t>
      </w:r>
      <w:r>
        <w:rPr>
          <w:sz w:val="20"/>
          <w:szCs w:val="20"/>
        </w:rPr>
        <w:t>customer, and invoices on a monthly basis based on the number of prints, the agreed-upon rate per print and the postage incurred. The performance obligation is satisfied once the printing and mailing is completed.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Group purchasing services:</w:t>
      </w:r>
    </w:p>
    <w:p w:rsidR="00000000" w:rsidRDefault="00B30BA7">
      <w:pPr>
        <w:pStyle w:val="a3"/>
        <w:spacing w:before="0" w:beforeAutospacing="0" w:after="0" w:afterAutospacing="0"/>
        <w:jc w:val="both"/>
        <w:rPr>
          <w:sz w:val="20"/>
          <w:szCs w:val="20"/>
        </w:rPr>
      </w:pPr>
      <w:r>
        <w:rPr>
          <w:sz w:val="20"/>
          <w:szCs w:val="20"/>
        </w:rPr>
        <w:t>The Company p</w:t>
      </w:r>
      <w:r>
        <w:rPr>
          <w:sz w:val="20"/>
          <w:szCs w:val="20"/>
        </w:rPr>
        <w:t xml:space="preserve">rovides group purchasing services which enable medical providers to purchase various vaccines directly from selected pharmaceutical companies at a discounted price. Currently, there are approximately 4,000 medical providers who are members of the program. </w:t>
      </w:r>
      <w:r>
        <w:rPr>
          <w:sz w:val="20"/>
          <w:szCs w:val="20"/>
        </w:rPr>
        <w:t>Revenue is recognized as the vaccine shipments are made to the medical providers. Fees from the pharmaceutical companies are paid either quarterly or annually and the Company adjusts its revenue accrual at the time of payment. The Company makes significant</w:t>
      </w:r>
      <w:r>
        <w:rPr>
          <w:sz w:val="20"/>
          <w:szCs w:val="20"/>
        </w:rPr>
        <w:t xml:space="preserve"> judgments regarding the variable consideration which we expect to be entitled to for the group purchasing services which includes the anticipated shipments to the members enrolled in the program, anticipated volumes of purchases made by the members, and t</w:t>
      </w:r>
      <w:r>
        <w:rPr>
          <w:sz w:val="20"/>
          <w:szCs w:val="20"/>
        </w:rPr>
        <w:t>he changes in the number of members. The amounts recorded are constrained by estimates of decreases in shipments and loss of members to avoid a significant revenue reversal in the subsequent period. The only performance obligation is to provide the pharmac</w:t>
      </w:r>
      <w:r>
        <w:rPr>
          <w:sz w:val="20"/>
          <w:szCs w:val="20"/>
        </w:rPr>
        <w:t>eutical companies with the medical providers who want to become members in order to purchase vaccines. The performance obligation is satisfied once the medical provider agrees to purchase a specific quantity of vaccines and the medical provider’s informati</w:t>
      </w:r>
      <w:r>
        <w:rPr>
          <w:sz w:val="20"/>
          <w:szCs w:val="20"/>
        </w:rPr>
        <w:t>on is forwarded to the vaccine suppliers. The Company records a contract asset for revenue earned and not paid as the ultimate payment is conditioned on achieving certain volume thresholds.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For all of the above revenue streams other than group purchasing</w:t>
      </w:r>
      <w:r>
        <w:rPr>
          <w:sz w:val="20"/>
          <w:szCs w:val="20"/>
        </w:rPr>
        <w:t xml:space="preserve"> services, revenue is recognized over time, which is typically one month or less, which closely matches the point in time that the customer simultaneously receives and consumes the benefits provided by the Company. For the group purchasing services, revenu</w:t>
      </w:r>
      <w:r>
        <w:rPr>
          <w:sz w:val="20"/>
          <w:szCs w:val="20"/>
        </w:rPr>
        <w:t>e is recognized at a point in time. Each service is substantially the same and has the same periodic pattern of transfer to the customer. Each of the services provided above is considered a separate performance obligation.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i/>
          <w:iCs/>
          <w:sz w:val="20"/>
          <w:szCs w:val="20"/>
        </w:rPr>
        <w:t>Practice management services:</w:t>
      </w:r>
    </w:p>
    <w:p w:rsidR="00000000" w:rsidRDefault="00B30BA7">
      <w:pPr>
        <w:pStyle w:val="a3"/>
        <w:shd w:val="clear" w:color="auto" w:fill="FFFFFF"/>
        <w:spacing w:before="0" w:beforeAutospacing="0" w:after="0" w:afterAutospacing="0"/>
        <w:jc w:val="both"/>
        <w:rPr>
          <w:sz w:val="20"/>
          <w:szCs w:val="20"/>
        </w:rPr>
      </w:pPr>
      <w:r>
        <w:rPr>
          <w:sz w:val="20"/>
          <w:szCs w:val="20"/>
        </w:rPr>
        <w:t>T</w:t>
      </w:r>
      <w:r>
        <w:rPr>
          <w:sz w:val="20"/>
          <w:szCs w:val="20"/>
        </w:rPr>
        <w:t xml:space="preserve">he Company also provides practice management services under long-term management service agreements to three </w:t>
      </w:r>
      <w:r>
        <w:rPr>
          <w:color w:val="000000"/>
          <w:sz w:val="20"/>
          <w:szCs w:val="20"/>
        </w:rPr>
        <w:t>medical practices. We provide the medical practices with the nurses, administrative support, facilities, supplies, equipment, marketing, RCM, accou</w:t>
      </w:r>
      <w:r>
        <w:rPr>
          <w:color w:val="000000"/>
          <w:sz w:val="20"/>
          <w:szCs w:val="20"/>
        </w:rPr>
        <w:t>nting, and other non-clinical services needed to efficiently operate their practices. Revenue is recognized as the services are provided to the medical practices. Revenue recorded in the consolidated statements of operations represents the reimbursement of</w:t>
      </w:r>
      <w:r>
        <w:rPr>
          <w:color w:val="000000"/>
          <w:sz w:val="20"/>
          <w:szCs w:val="20"/>
        </w:rPr>
        <w:t xml:space="preserve"> costs paid by the Company for the practices and the management fee earned each month for managing the practice. The management fee is based on either a fixed fee or a percentage of the net operating income. </w:t>
      </w:r>
    </w:p>
    <w:p w:rsidR="00000000" w:rsidRDefault="00B30BA7">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49503175"/>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color w:val="000000"/>
          <w:sz w:val="20"/>
          <w:szCs w:val="20"/>
        </w:rPr>
        <w:t xml:space="preserve">The </w:t>
      </w:r>
      <w:r>
        <w:rPr>
          <w:color w:val="000000"/>
          <w:sz w:val="20"/>
          <w:szCs w:val="20"/>
        </w:rPr>
        <w:t>Company assumes all financial risk for the performance of the managed medical practices. Revenue is impacted by the amount of the costs incurred by the practices and their operating income. The gross billing of the practices is impacted by billing rates, c</w:t>
      </w:r>
      <w:r>
        <w:rPr>
          <w:color w:val="000000"/>
          <w:sz w:val="20"/>
          <w:szCs w:val="20"/>
        </w:rPr>
        <w:t>hanges in current procedural terminology code reimbursement and collection trends which in turn impacts the management fee that the Company is entitled to. Billing rates are reviewed at least annually and adjusted based on current insurer reimbursement pra</w:t>
      </w:r>
      <w:r>
        <w:rPr>
          <w:color w:val="000000"/>
          <w:sz w:val="20"/>
          <w:szCs w:val="20"/>
        </w:rPr>
        <w:t xml:space="preserve">ctices. The </w:t>
      </w:r>
      <w:r>
        <w:rPr>
          <w:sz w:val="20"/>
          <w:szCs w:val="20"/>
        </w:rPr>
        <w:t>performance obligation is satisfied as the management services are provided.</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Our contracts for practice management services have approximately an additional 20 years remaining and are only cancellable under very limited circumstances. The Com</w:t>
      </w:r>
      <w:r>
        <w:rPr>
          <w:sz w:val="20"/>
          <w:szCs w:val="20"/>
        </w:rPr>
        <w:t>pany receives a management fee each month for managing the day-to-day business operations of each medical group as a fixed fee or a percentage payment of the net operating income which is included in revenue in the consolidated statements of operations.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practice management services obligations consist of a series of distinct services that are substantially the same and have the same periodic pattern of transfer to our customers. Revenue is recognized over time, however for reporting and convenience pu</w:t>
      </w:r>
      <w:r>
        <w:rPr>
          <w:sz w:val="20"/>
          <w:szCs w:val="20"/>
        </w:rPr>
        <w:t>rposes, the management fee is computed at each month end.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Information about contract balances:</w:t>
      </w:r>
    </w:p>
    <w:p w:rsidR="00000000" w:rsidRDefault="00B30BA7">
      <w:pPr>
        <w:pStyle w:val="a3"/>
        <w:spacing w:before="0" w:beforeAutospacing="0" w:after="0" w:afterAutospacing="0"/>
        <w:jc w:val="both"/>
        <w:rPr>
          <w:sz w:val="20"/>
          <w:szCs w:val="20"/>
        </w:rPr>
      </w:pPr>
      <w:r>
        <w:rPr>
          <w:sz w:val="20"/>
          <w:szCs w:val="20"/>
        </w:rPr>
        <w:t>As of December 31, 2021, the estimated revenue expected to be recognized in the future related to the remaining revenue cycle management performance obligation</w:t>
      </w:r>
      <w:r>
        <w:rPr>
          <w:sz w:val="20"/>
          <w:szCs w:val="20"/>
        </w:rPr>
        <w:t xml:space="preserve">s outstanding was approximately </w:t>
      </w:r>
      <w:r>
        <w:rPr>
          <w:sz w:val="20"/>
          <w:szCs w:val="20"/>
        </w:rPr>
        <w:t>$</w:t>
      </w:r>
      <w:r>
        <w:rPr>
          <w:sz w:val="20"/>
          <w:szCs w:val="20"/>
        </w:rPr>
        <w:t>4.3</w:t>
      </w:r>
      <w:r>
        <w:rPr>
          <w:sz w:val="20"/>
          <w:szCs w:val="20"/>
        </w:rPr>
        <w:t xml:space="preserve"> </w:t>
      </w:r>
      <w:r>
        <w:rPr>
          <w:sz w:val="20"/>
          <w:szCs w:val="20"/>
        </w:rPr>
        <w:t>million. We expect to recognize substantially all of the revenue for the remaining performance obligations over the next</w:t>
      </w:r>
      <w:r>
        <w:rPr>
          <w:sz w:val="20"/>
          <w:szCs w:val="20"/>
        </w:rPr>
        <w:t xml:space="preserve"> </w:t>
      </w:r>
      <w:r>
        <w:rPr>
          <w:sz w:val="20"/>
          <w:szCs w:val="20"/>
        </w:rPr>
        <w:t>three month</w:t>
      </w:r>
      <w:r>
        <w:rPr>
          <w:sz w:val="20"/>
          <w:szCs w:val="20"/>
        </w:rPr>
        <w:t>s</w:t>
      </w:r>
      <w:r>
        <w:rPr>
          <w:sz w:val="20"/>
          <w:szCs w:val="20"/>
        </w:rPr>
        <w:t xml:space="preserve">. Approximately </w:t>
      </w:r>
      <w:r>
        <w:rPr>
          <w:sz w:val="20"/>
          <w:szCs w:val="20"/>
        </w:rPr>
        <w:t>$</w:t>
      </w:r>
      <w:r>
        <w:rPr>
          <w:sz w:val="20"/>
          <w:szCs w:val="20"/>
        </w:rPr>
        <w:t>376,000</w:t>
      </w:r>
      <w:r>
        <w:rPr>
          <w:sz w:val="20"/>
          <w:szCs w:val="20"/>
        </w:rPr>
        <w:t xml:space="preserve"> </w:t>
      </w:r>
      <w:r>
        <w:rPr>
          <w:sz w:val="20"/>
          <w:szCs w:val="20"/>
        </w:rPr>
        <w:t>of the contract asset represents revenue earned, not paid, fr</w:t>
      </w:r>
      <w:r>
        <w:rPr>
          <w:sz w:val="20"/>
          <w:szCs w:val="20"/>
        </w:rPr>
        <w:t>om the group purchasing services.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Amounts that we are entitled to collect under the applicable contract are recorded as accounts receivable. Invoicing is performed at the end of each month when the services have been provided. The contract asset includes</w:t>
      </w:r>
      <w:r>
        <w:rPr>
          <w:sz w:val="20"/>
          <w:szCs w:val="20"/>
        </w:rPr>
        <w:t xml:space="preserve"> our right to payment for services already transferred to a customer when the right to payment is conditional on something other than the passage of time. For example, contracts for revenue cycle management services where we recognize revenue over time but</w:t>
      </w:r>
      <w:r>
        <w:rPr>
          <w:sz w:val="20"/>
          <w:szCs w:val="20"/>
        </w:rPr>
        <w:t xml:space="preserve"> do not have a contractual right to payment until the customer receives payment of their claim from the insurance provider. The contract asset also includes the revenue accrued, not received, for the group purchasing services.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Changes in the contract ass</w:t>
      </w:r>
      <w:r>
        <w:rPr>
          <w:sz w:val="20"/>
          <w:szCs w:val="20"/>
        </w:rPr>
        <w:t>et are recorded as adjustments to net revenue. The changes primarily result from providing services to revenue cycle management customers that result in additional consideration and are offset by our right to payment for services becoming unconditional and</w:t>
      </w:r>
      <w:r>
        <w:rPr>
          <w:sz w:val="20"/>
          <w:szCs w:val="20"/>
        </w:rPr>
        <w:t xml:space="preserve"> changes in the revenue accrued for the group purchasing services. The contract asset for our group purchasing services is reduced when we receive payments from vaccine manufacturers and is increased for revenue earned, not received. The opening and closin</w:t>
      </w:r>
      <w:r>
        <w:rPr>
          <w:sz w:val="20"/>
          <w:szCs w:val="20"/>
        </w:rPr>
        <w:t>g balances of the Company’s accounts receivable, contract asset and deferred revenue are as follows:</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SCHEDULE OF ACCOUNTS RECEIVABLE, CONTRACT ASSET AND DEFERRED REVENU</w:t>
      </w:r>
      <w:r>
        <w:rPr>
          <w:vanish/>
          <w:sz w:val="20"/>
          <w:szCs w:val="20"/>
        </w:rPr>
        <w:t>E</w:t>
      </w:r>
    </w:p>
    <w:tbl>
      <w:tblPr>
        <w:tblW w:w="5000" w:type="pct"/>
        <w:tblCellMar>
          <w:left w:w="0" w:type="dxa"/>
          <w:right w:w="0" w:type="dxa"/>
        </w:tblCellMar>
        <w:tblLook w:val="04A0" w:firstRow="1" w:lastRow="0" w:firstColumn="1" w:lastColumn="0" w:noHBand="0" w:noVBand="1"/>
      </w:tblPr>
      <w:tblGrid>
        <w:gridCol w:w="2867"/>
        <w:gridCol w:w="50"/>
        <w:gridCol w:w="101"/>
        <w:gridCol w:w="897"/>
        <w:gridCol w:w="67"/>
        <w:gridCol w:w="50"/>
        <w:gridCol w:w="100"/>
        <w:gridCol w:w="796"/>
        <w:gridCol w:w="50"/>
        <w:gridCol w:w="50"/>
        <w:gridCol w:w="121"/>
        <w:gridCol w:w="1440"/>
        <w:gridCol w:w="67"/>
        <w:gridCol w:w="50"/>
        <w:gridCol w:w="120"/>
        <w:gridCol w:w="1430"/>
        <w:gridCol w:w="50"/>
      </w:tblGrid>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B30BA7">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B30BA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pStyle w:val="a3"/>
              <w:spacing w:before="0" w:beforeAutospacing="0" w:after="0" w:afterAutospacing="0"/>
              <w:jc w:val="center"/>
              <w:rPr>
                <w:b/>
                <w:bCs/>
                <w:sz w:val="20"/>
                <w:szCs w:val="20"/>
              </w:rPr>
            </w:pPr>
            <w:r>
              <w:rPr>
                <w:b/>
                <w:bCs/>
                <w:sz w:val="20"/>
                <w:szCs w:val="20"/>
              </w:rPr>
              <w:t>Accounts</w:t>
            </w:r>
          </w:p>
          <w:p w:rsidR="00000000" w:rsidRDefault="00B30BA7">
            <w:pPr>
              <w:pStyle w:val="a3"/>
              <w:spacing w:before="0" w:beforeAutospacing="0" w:after="0" w:afterAutospacing="0"/>
              <w:jc w:val="center"/>
              <w:rPr>
                <w:b/>
                <w:bCs/>
                <w:sz w:val="20"/>
                <w:szCs w:val="20"/>
              </w:rPr>
            </w:pPr>
            <w:r>
              <w:rPr>
                <w:b/>
                <w:bCs/>
                <w:sz w:val="20"/>
                <w:szCs w:val="20"/>
              </w:rPr>
              <w:t>Receivable, Net</w:t>
            </w:r>
          </w:p>
        </w:tc>
        <w:tc>
          <w:tcPr>
            <w:tcW w:w="0" w:type="auto"/>
            <w:vAlign w:val="bottom"/>
            <w:hideMark/>
          </w:tcPr>
          <w:p w:rsidR="00000000" w:rsidRDefault="00B30BA7">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 xml:space="preserve">Contract </w:t>
            </w:r>
            <w:r>
              <w:rPr>
                <w:rFonts w:eastAsia="Times New Roman"/>
                <w:b/>
                <w:bCs/>
                <w:sz w:val="20"/>
                <w:szCs w:val="20"/>
              </w:rPr>
              <w:t>Asset</w:t>
            </w:r>
          </w:p>
        </w:tc>
        <w:tc>
          <w:tcPr>
            <w:tcW w:w="0" w:type="auto"/>
            <w:vAlign w:val="bottom"/>
            <w:hideMark/>
          </w:tcPr>
          <w:p w:rsidR="00000000" w:rsidRDefault="00B30BA7">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B30BA7">
            <w:pPr>
              <w:pStyle w:val="a3"/>
              <w:spacing w:before="0" w:beforeAutospacing="0" w:after="0" w:afterAutospacing="0"/>
              <w:jc w:val="center"/>
              <w:rPr>
                <w:b/>
                <w:bCs/>
                <w:sz w:val="20"/>
                <w:szCs w:val="20"/>
              </w:rPr>
            </w:pPr>
            <w:r>
              <w:rPr>
                <w:b/>
                <w:bCs/>
                <w:sz w:val="20"/>
                <w:szCs w:val="20"/>
              </w:rPr>
              <w:t>Deferred</w:t>
            </w:r>
          </w:p>
          <w:p w:rsidR="00000000" w:rsidRDefault="00B30BA7">
            <w:pPr>
              <w:pStyle w:val="a3"/>
              <w:spacing w:before="0" w:beforeAutospacing="0" w:after="0" w:afterAutospacing="0"/>
              <w:jc w:val="center"/>
              <w:rPr>
                <w:b/>
                <w:bCs/>
                <w:sz w:val="20"/>
                <w:szCs w:val="20"/>
              </w:rPr>
            </w:pPr>
            <w:r>
              <w:rPr>
                <w:b/>
                <w:bCs/>
                <w:sz w:val="20"/>
                <w:szCs w:val="20"/>
              </w:rPr>
              <w:t>Revenue (current)</w:t>
            </w:r>
          </w:p>
        </w:tc>
        <w:tc>
          <w:tcPr>
            <w:tcW w:w="0" w:type="auto"/>
            <w:vAlign w:val="bottom"/>
            <w:hideMark/>
          </w:tcPr>
          <w:p w:rsidR="00000000" w:rsidRDefault="00B30BA7">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B30BA7">
            <w:pPr>
              <w:pStyle w:val="a3"/>
              <w:spacing w:before="0" w:beforeAutospacing="0" w:after="0" w:afterAutospacing="0"/>
              <w:jc w:val="center"/>
              <w:rPr>
                <w:b/>
                <w:bCs/>
                <w:sz w:val="20"/>
                <w:szCs w:val="20"/>
              </w:rPr>
            </w:pPr>
            <w:r>
              <w:rPr>
                <w:b/>
                <w:bCs/>
                <w:sz w:val="20"/>
                <w:szCs w:val="20"/>
              </w:rPr>
              <w:t>Deferred Revenue</w:t>
            </w:r>
          </w:p>
          <w:p w:rsidR="00000000" w:rsidRDefault="00B30BA7">
            <w:pPr>
              <w:pStyle w:val="a3"/>
              <w:spacing w:before="0" w:beforeAutospacing="0" w:after="0" w:afterAutospacing="0"/>
              <w:jc w:val="center"/>
              <w:rPr>
                <w:b/>
                <w:bCs/>
                <w:sz w:val="20"/>
                <w:szCs w:val="20"/>
              </w:rPr>
            </w:pPr>
            <w:r>
              <w:rPr>
                <w:b/>
                <w:bCs/>
                <w:sz w:val="20"/>
                <w:szCs w:val="20"/>
              </w:rPr>
              <w:t>(long term)</w:t>
            </w:r>
          </w:p>
        </w:tc>
        <w:tc>
          <w:tcPr>
            <w:tcW w:w="0" w:type="auto"/>
            <w:vAlign w:val="bottom"/>
            <w:hideMark/>
          </w:tcPr>
          <w:p w:rsidR="00000000" w:rsidRDefault="00B30BA7">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jc w:val="center"/>
              <w:rPr>
                <w:rFonts w:eastAsia="Times New Roman"/>
                <w:sz w:val="20"/>
                <w:szCs w:val="20"/>
              </w:rPr>
            </w:pPr>
            <w:r>
              <w:rPr>
                <w:rFonts w:eastAsia="Times New Roman"/>
                <w:sz w:val="20"/>
                <w:szCs w:val="20"/>
              </w:rPr>
              <w:t> </w:t>
            </w:r>
          </w:p>
        </w:tc>
        <w:tc>
          <w:tcPr>
            <w:tcW w:w="0" w:type="auto"/>
            <w:vAlign w:val="bottom"/>
            <w:hideMark/>
          </w:tcPr>
          <w:p w:rsidR="00000000" w:rsidRDefault="00B30BA7">
            <w:pPr>
              <w:jc w:val="center"/>
              <w:rPr>
                <w:rFonts w:eastAsia="Times New Roman"/>
                <w:sz w:val="20"/>
                <w:szCs w:val="20"/>
              </w:rPr>
            </w:pPr>
            <w:r>
              <w:rPr>
                <w:rFonts w:eastAsia="Times New Roman"/>
                <w:sz w:val="20"/>
                <w:szCs w:val="20"/>
              </w:rPr>
              <w:t> </w:t>
            </w:r>
          </w:p>
        </w:tc>
        <w:tc>
          <w:tcPr>
            <w:tcW w:w="0" w:type="auto"/>
            <w:gridSpan w:val="14"/>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jc w:val="cente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B30BA7">
            <w:pPr>
              <w:rPr>
                <w:rFonts w:eastAsia="Times New Roman"/>
                <w:sz w:val="20"/>
                <w:szCs w:val="20"/>
              </w:rPr>
            </w:pPr>
            <w:r>
              <w:rPr>
                <w:rFonts w:eastAsia="Times New Roman"/>
                <w:sz w:val="20"/>
                <w:szCs w:val="20"/>
              </w:rPr>
              <w:t>Balance as of January 1, 2021</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12,089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4,105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1,173</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305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medSR acquisition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5,187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xml:space="preserve">CCH </w:t>
            </w:r>
            <w:r>
              <w:rPr>
                <w:rFonts w:eastAsia="Times New Roman"/>
                <w:vanish/>
                <w:sz w:val="20"/>
                <w:szCs w:val="20"/>
              </w:rPr>
              <w:t>acquisition</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Meridian acquisition</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(Decrease) increase,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(270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Balance as of December 31, 2021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17,006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4,725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1,085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341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Balance as of January 1, 2020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6,995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2,385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Beginning balance</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6,995</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2,385</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20</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19</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CCH acquisition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2,299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538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269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Meridian acquisition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3,558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881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907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(Decrease) increase,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(763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301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246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Balance as of December 31, 2020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12,089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4,105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1,173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rPr>
          <w:hidden/>
        </w:trPr>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Ending balance</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12,089</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4,105</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1,173</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vanish/>
                <w:sz w:val="20"/>
                <w:szCs w:val="20"/>
              </w:rPr>
            </w:pPr>
            <w:r>
              <w:rPr>
                <w:rFonts w:eastAsia="Times New Roman"/>
                <w:vanish/>
                <w:sz w:val="20"/>
                <w:szCs w:val="20"/>
              </w:rPr>
              <w:t>305</w:t>
            </w:r>
          </w:p>
        </w:tc>
        <w:tc>
          <w:tcPr>
            <w:tcW w:w="0" w:type="auto"/>
            <w:shd w:val="clear" w:color="auto" w:fill="FFFFFF"/>
            <w:vAlign w:val="bottom"/>
            <w:hideMark/>
          </w:tcPr>
          <w:p w:rsidR="00000000" w:rsidRDefault="00B30BA7">
            <w:pPr>
              <w:rPr>
                <w:rFonts w:eastAsia="Times New Roman"/>
                <w:vanish/>
                <w:sz w:val="20"/>
                <w:szCs w:val="20"/>
              </w:rPr>
            </w:pPr>
            <w:r>
              <w:rPr>
                <w:rFonts w:eastAsia="Times New Roman"/>
                <w:vanish/>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39250224"/>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i/>
          <w:iCs/>
          <w:sz w:val="20"/>
          <w:szCs w:val="20"/>
        </w:rPr>
        <w:t>Deferred commissions:</w:t>
      </w:r>
    </w:p>
    <w:p w:rsidR="00000000" w:rsidRDefault="00B30BA7">
      <w:pPr>
        <w:pStyle w:val="a3"/>
        <w:spacing w:before="0" w:beforeAutospacing="0" w:after="0" w:afterAutospacing="0"/>
        <w:jc w:val="both"/>
        <w:rPr>
          <w:sz w:val="20"/>
          <w:szCs w:val="20"/>
        </w:rPr>
      </w:pPr>
      <w:r>
        <w:rPr>
          <w:sz w:val="20"/>
          <w:szCs w:val="20"/>
        </w:rPr>
        <w:t>Our sales incentive plans include commissions payable to employees and third parties at the time of initial contract execution that are capitalized as incremental costs to obtain a contract. The capitalized commissions are amortized o</w:t>
      </w:r>
      <w:r>
        <w:rPr>
          <w:sz w:val="20"/>
          <w:szCs w:val="20"/>
        </w:rPr>
        <w:t xml:space="preserve">ver the period the related services are transferred. As we do not offer commissions on contract renewals, we have determined the amortization period to be the estimated client life, which is three years. Deferred commissions were approximately </w:t>
      </w:r>
      <w:r>
        <w:rPr>
          <w:sz w:val="20"/>
          <w:szCs w:val="20"/>
        </w:rPr>
        <w:t>$</w:t>
      </w:r>
      <w:r>
        <w:rPr>
          <w:sz w:val="20"/>
          <w:szCs w:val="20"/>
        </w:rPr>
        <w:t>931,000</w:t>
      </w:r>
      <w:r>
        <w:rPr>
          <w:sz w:val="20"/>
          <w:szCs w:val="20"/>
        </w:rPr>
        <w:t xml:space="preserve"> </w:t>
      </w:r>
      <w:r>
        <w:rPr>
          <w:sz w:val="20"/>
          <w:szCs w:val="20"/>
        </w:rPr>
        <w:t>and</w:t>
      </w:r>
      <w:r>
        <w:rPr>
          <w:sz w:val="20"/>
          <w:szCs w:val="20"/>
        </w:rPr>
        <w:t xml:space="preserve"> </w:t>
      </w:r>
      <w:r>
        <w:rPr>
          <w:sz w:val="20"/>
          <w:szCs w:val="20"/>
        </w:rPr>
        <w:t>$</w:t>
      </w:r>
      <w:r>
        <w:rPr>
          <w:sz w:val="20"/>
          <w:szCs w:val="20"/>
        </w:rPr>
        <w:t>970,000</w:t>
      </w:r>
      <w:r>
        <w:rPr>
          <w:sz w:val="20"/>
          <w:szCs w:val="20"/>
        </w:rPr>
        <w:t xml:space="preserve"> </w:t>
      </w:r>
      <w:r>
        <w:rPr>
          <w:color w:val="000000"/>
          <w:sz w:val="20"/>
          <w:szCs w:val="20"/>
        </w:rPr>
        <w:t xml:space="preserve">at </w:t>
      </w:r>
      <w:r>
        <w:rPr>
          <w:sz w:val="20"/>
          <w:szCs w:val="20"/>
        </w:rPr>
        <w:t xml:space="preserve">December </w:t>
      </w:r>
      <w:r>
        <w:rPr>
          <w:color w:val="000000"/>
          <w:sz w:val="20"/>
          <w:szCs w:val="20"/>
        </w:rPr>
        <w:t>31, 2021 and 2020, respectively, and are included in the Other Assets amounts in the consolidated balance sheets.</w:t>
      </w:r>
    </w:p>
    <w:p w:rsidR="00000000" w:rsidRDefault="00B30BA7">
      <w:pPr>
        <w:pStyle w:val="a3"/>
        <w:shd w:val="clear" w:color="auto" w:fill="FFFFFF"/>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sz w:val="20"/>
          <w:szCs w:val="20"/>
        </w:rPr>
      </w:pPr>
      <w:r>
        <w:rPr>
          <w:b/>
          <w:bCs/>
          <w:sz w:val="20"/>
          <w:szCs w:val="20"/>
        </w:rPr>
        <w:t>10.</w:t>
      </w:r>
      <w:r>
        <w:rPr>
          <w:b/>
          <w:bCs/>
          <w:sz w:val="20"/>
          <w:szCs w:val="20"/>
        </w:rPr>
        <w:t xml:space="preserve"> </w:t>
      </w:r>
      <w:r>
        <w:rPr>
          <w:b/>
          <w:bCs/>
          <w:sz w:val="20"/>
          <w:szCs w:val="20"/>
        </w:rPr>
        <w:t>SHAREHOLDERS’ EQUIT</w:t>
      </w:r>
      <w:r>
        <w:rPr>
          <w:b/>
          <w:bCs/>
          <w:sz w:val="20"/>
          <w:szCs w:val="20"/>
        </w:rPr>
        <w:t>Y</w:t>
      </w:r>
    </w:p>
    <w:p w:rsidR="00000000" w:rsidRDefault="00B30BA7">
      <w:pPr>
        <w:pStyle w:val="a3"/>
        <w:spacing w:before="0" w:beforeAutospacing="0" w:after="0" w:afterAutospacing="0"/>
        <w:rPr>
          <w:sz w:val="20"/>
          <w:szCs w:val="20"/>
        </w:rPr>
      </w:pPr>
      <w:r>
        <w:rPr>
          <w:i/>
          <w:iCs/>
          <w:sz w:val="20"/>
          <w:szCs w:val="20"/>
        </w:rPr>
        <w:t> </w:t>
      </w:r>
    </w:p>
    <w:p w:rsidR="00000000" w:rsidRDefault="00B30BA7">
      <w:pPr>
        <w:pStyle w:val="a3"/>
        <w:spacing w:before="0" w:beforeAutospacing="0" w:after="0" w:afterAutospacing="0"/>
        <w:rPr>
          <w:sz w:val="20"/>
          <w:szCs w:val="20"/>
        </w:rPr>
      </w:pPr>
      <w:r>
        <w:rPr>
          <w:i/>
          <w:iCs/>
          <w:sz w:val="20"/>
          <w:szCs w:val="20"/>
          <w:u w:val="single"/>
        </w:rPr>
        <w:t>Treasury stock</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Board of Directors of the Company previously approved common stock repurchase programs. The last program expired</w:t>
      </w:r>
      <w:r>
        <w:rPr>
          <w:sz w:val="20"/>
          <w:szCs w:val="20"/>
        </w:rPr>
        <w:t xml:space="preserve"> </w:t>
      </w:r>
      <w:r>
        <w:rPr>
          <w:sz w:val="20"/>
          <w:szCs w:val="20"/>
        </w:rPr>
        <w:t>January 25, 201</w:t>
      </w:r>
      <w:r>
        <w:rPr>
          <w:sz w:val="20"/>
          <w:szCs w:val="20"/>
        </w:rPr>
        <w:t>7</w:t>
      </w:r>
      <w:r>
        <w:rPr>
          <w:sz w:val="20"/>
          <w:szCs w:val="20"/>
        </w:rPr>
        <w:t>. As a result of these stock repurchases, the Company has</w:t>
      </w:r>
      <w:r>
        <w:rPr>
          <w:sz w:val="20"/>
          <w:szCs w:val="20"/>
        </w:rPr>
        <w:t xml:space="preserve"> </w:t>
      </w:r>
      <w:r>
        <w:rPr>
          <w:sz w:val="20"/>
          <w:szCs w:val="20"/>
        </w:rPr>
        <w:t>740,799</w:t>
      </w:r>
      <w:r>
        <w:rPr>
          <w:sz w:val="20"/>
          <w:szCs w:val="20"/>
        </w:rPr>
        <w:t xml:space="preserve"> </w:t>
      </w:r>
      <w:r>
        <w:rPr>
          <w:sz w:val="20"/>
          <w:szCs w:val="20"/>
        </w:rPr>
        <w:t xml:space="preserve">common shares held as treasury stock at an aggregate cost of </w:t>
      </w:r>
      <w:r>
        <w:rPr>
          <w:sz w:val="20"/>
          <w:szCs w:val="20"/>
        </w:rPr>
        <w:t>$</w:t>
      </w:r>
      <w:r>
        <w:rPr>
          <w:sz w:val="20"/>
          <w:szCs w:val="20"/>
        </w:rPr>
        <w:t>662,00</w:t>
      </w:r>
      <w:r>
        <w:rPr>
          <w:sz w:val="20"/>
          <w:szCs w:val="20"/>
        </w:rPr>
        <w:t>0</w:t>
      </w:r>
      <w:r>
        <w:rPr>
          <w:sz w:val="20"/>
          <w:szCs w:val="20"/>
        </w:rPr>
        <w: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sz w:val="20"/>
          <w:szCs w:val="20"/>
        </w:rPr>
      </w:pPr>
      <w:r>
        <w:rPr>
          <w:i/>
          <w:iCs/>
          <w:sz w:val="20"/>
          <w:szCs w:val="20"/>
          <w:u w:val="single"/>
        </w:rPr>
        <w:t>Common stock</w:t>
      </w:r>
    </w:p>
    <w:p w:rsidR="00000000" w:rsidRDefault="00B30BA7">
      <w:pPr>
        <w:pStyle w:val="a3"/>
        <w:spacing w:before="0" w:beforeAutospacing="0" w:after="0" w:afterAutospacing="0"/>
        <w:jc w:val="both"/>
        <w:rPr>
          <w:sz w:val="20"/>
          <w:szCs w:val="20"/>
        </w:rPr>
      </w:pPr>
      <w:r>
        <w:rPr>
          <w:sz w:val="20"/>
          <w:szCs w:val="20"/>
        </w:rPr>
        <w:t xml:space="preserve">The Company has the right to sell up to </w:t>
      </w:r>
      <w:r>
        <w:rPr>
          <w:sz w:val="20"/>
          <w:szCs w:val="20"/>
        </w:rPr>
        <w:t>$</w:t>
      </w:r>
      <w:r>
        <w:rPr>
          <w:sz w:val="20"/>
          <w:szCs w:val="20"/>
        </w:rPr>
        <w:t>50</w:t>
      </w:r>
      <w:r>
        <w:rPr>
          <w:sz w:val="20"/>
          <w:szCs w:val="20"/>
        </w:rPr>
        <w:t xml:space="preserve"> </w:t>
      </w:r>
      <w:r>
        <w:rPr>
          <w:sz w:val="20"/>
          <w:szCs w:val="20"/>
        </w:rPr>
        <w:t>million of its common stock using an “at-the-market” facility (“ATM”). The underwriter receives</w:t>
      </w:r>
      <w:r>
        <w:rPr>
          <w:sz w:val="20"/>
          <w:szCs w:val="20"/>
        </w:rPr>
        <w:t xml:space="preserve"> </w:t>
      </w:r>
      <w:r>
        <w:rPr>
          <w:sz w:val="20"/>
          <w:szCs w:val="20"/>
        </w:rPr>
        <w:t>3</w:t>
      </w:r>
      <w:r>
        <w:rPr>
          <w:sz w:val="20"/>
          <w:szCs w:val="20"/>
        </w:rPr>
        <w:t>% of the gross proceeds. During the year ended December 31, 2021, the Company sold</w:t>
      </w:r>
      <w:r>
        <w:rPr>
          <w:sz w:val="20"/>
          <w:szCs w:val="20"/>
        </w:rPr>
        <w:t xml:space="preserve"> </w:t>
      </w:r>
      <w:r>
        <w:rPr>
          <w:sz w:val="20"/>
          <w:szCs w:val="20"/>
        </w:rPr>
        <w:t>346,389</w:t>
      </w:r>
      <w:r>
        <w:rPr>
          <w:sz w:val="20"/>
          <w:szCs w:val="20"/>
        </w:rPr>
        <w:t xml:space="preserve"> </w:t>
      </w:r>
      <w:r>
        <w:rPr>
          <w:sz w:val="20"/>
          <w:szCs w:val="20"/>
        </w:rPr>
        <w:t xml:space="preserve">shares of common stock under its ATM and received net proceeds of approximately </w:t>
      </w:r>
      <w:r>
        <w:rPr>
          <w:sz w:val="20"/>
          <w:szCs w:val="20"/>
        </w:rPr>
        <w:t>$</w:t>
      </w:r>
      <w:r>
        <w:rPr>
          <w:sz w:val="20"/>
          <w:szCs w:val="20"/>
        </w:rPr>
        <w:t>2.7</w:t>
      </w:r>
      <w:r>
        <w:rPr>
          <w:sz w:val="20"/>
          <w:szCs w:val="20"/>
        </w:rPr>
        <w:t xml:space="preserve"> </w:t>
      </w:r>
      <w:r>
        <w:rPr>
          <w:sz w:val="20"/>
          <w:szCs w:val="20"/>
        </w:rPr>
        <w:t>million. There were no common stock offerings during 2020.</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Holders of our common stock are entitled to one vote for each share held on all matters properly submitted to</w:t>
      </w:r>
      <w:r>
        <w:rPr>
          <w:sz w:val="20"/>
          <w:szCs w:val="20"/>
        </w:rPr>
        <w:t xml:space="preserve"> a vote of shareholders on which holders of common stock are entitled to vote. Holders of common stocks are entitled to receive dividends only at times and amounts as determined by the Board of Directors. The common stock is not entitled to pre-emptive rig</w:t>
      </w:r>
      <w:r>
        <w:rPr>
          <w:sz w:val="20"/>
          <w:szCs w:val="20"/>
        </w:rPr>
        <w:t>hts, and is not subject to conversion, redemption or sinking fund provisions.</w:t>
      </w:r>
    </w:p>
    <w:p w:rsidR="00000000" w:rsidRDefault="00B30BA7">
      <w:pPr>
        <w:pStyle w:val="a3"/>
        <w:spacing w:before="0" w:beforeAutospacing="0" w:after="0" w:afterAutospacing="0"/>
        <w:rPr>
          <w:sz w:val="20"/>
          <w:szCs w:val="20"/>
        </w:rPr>
      </w:pPr>
      <w:r>
        <w:rPr>
          <w:sz w:val="20"/>
          <w:szCs w:val="20"/>
        </w:rPr>
        <w:t> </w:t>
      </w:r>
    </w:p>
    <w:p w:rsidR="00000000" w:rsidRDefault="00B30BA7">
      <w:pPr>
        <w:pStyle w:val="a3"/>
        <w:spacing w:before="0" w:beforeAutospacing="0" w:after="0" w:afterAutospacing="0"/>
        <w:rPr>
          <w:sz w:val="20"/>
          <w:szCs w:val="20"/>
        </w:rPr>
      </w:pPr>
      <w:r>
        <w:rPr>
          <w:i/>
          <w:iCs/>
          <w:sz w:val="20"/>
          <w:szCs w:val="20"/>
          <w:u w:val="single"/>
        </w:rPr>
        <w:t>Preferred stock</w:t>
      </w:r>
    </w:p>
    <w:p w:rsidR="00000000" w:rsidRDefault="00B30BA7">
      <w:pPr>
        <w:pStyle w:val="a3"/>
        <w:spacing w:before="0" w:beforeAutospacing="0" w:after="0" w:afterAutospacing="0"/>
        <w:jc w:val="both"/>
        <w:rPr>
          <w:sz w:val="20"/>
          <w:szCs w:val="20"/>
        </w:rPr>
      </w:pPr>
      <w:r>
        <w:rPr>
          <w:sz w:val="20"/>
          <w:szCs w:val="20"/>
        </w:rPr>
        <w:t>During the year ended December 31, 2021, the Company cancelled</w:t>
      </w:r>
      <w:r>
        <w:rPr>
          <w:sz w:val="20"/>
          <w:szCs w:val="20"/>
        </w:rPr>
        <w:t xml:space="preserve"> </w:t>
      </w:r>
      <w:r>
        <w:rPr>
          <w:sz w:val="20"/>
          <w:szCs w:val="20"/>
        </w:rPr>
        <w:t>215,822</w:t>
      </w:r>
      <w:r>
        <w:rPr>
          <w:sz w:val="20"/>
          <w:szCs w:val="20"/>
        </w:rPr>
        <w:t xml:space="preserve"> </w:t>
      </w:r>
      <w:r>
        <w:rPr>
          <w:sz w:val="20"/>
          <w:szCs w:val="20"/>
        </w:rPr>
        <w:t>shares of preferred stock that were held in escrow from the CCH acquisition as the matter</w:t>
      </w:r>
      <w:r>
        <w:rPr>
          <w:sz w:val="20"/>
          <w:szCs w:val="20"/>
        </w:rPr>
        <w:t>s related to the escrow were settled in cash.</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color w:val="000000"/>
          <w:sz w:val="20"/>
          <w:szCs w:val="20"/>
        </w:rPr>
        <w:t xml:space="preserve">Dividends on the Series A Preferred Stock of </w:t>
      </w:r>
      <w:r>
        <w:rPr>
          <w:color w:val="000000"/>
          <w:sz w:val="20"/>
          <w:szCs w:val="20"/>
        </w:rPr>
        <w:t>$</w:t>
      </w:r>
      <w:r>
        <w:rPr>
          <w:color w:val="000000"/>
          <w:sz w:val="20"/>
          <w:szCs w:val="20"/>
        </w:rPr>
        <w:t>2.7</w:t>
      </w:r>
      <w:r>
        <w:rPr>
          <w:color w:val="000000"/>
          <w:sz w:val="20"/>
          <w:szCs w:val="20"/>
        </w:rPr>
        <w:t>5</w:t>
      </w:r>
      <w:r>
        <w:rPr>
          <w:color w:val="000000"/>
          <w:sz w:val="20"/>
          <w:szCs w:val="20"/>
        </w:rPr>
        <w:t xml:space="preserve"> annually per share are cumulative from the date of issue and are payable each month when, as and if declared by the Company’s Board of </w:t>
      </w:r>
      <w:r>
        <w:rPr>
          <w:sz w:val="20"/>
          <w:szCs w:val="20"/>
        </w:rPr>
        <w:t>Directors. As of Decem</w:t>
      </w:r>
      <w:r>
        <w:rPr>
          <w:sz w:val="20"/>
          <w:szCs w:val="20"/>
        </w:rPr>
        <w:t xml:space="preserve">ber 31, 2021, the Board of Directors has declared monthly dividends on the </w:t>
      </w:r>
      <w:r>
        <w:rPr>
          <w:color w:val="000000"/>
          <w:sz w:val="20"/>
          <w:szCs w:val="20"/>
        </w:rPr>
        <w:t>Series A</w:t>
      </w:r>
      <w:r>
        <w:rPr>
          <w:sz w:val="20"/>
          <w:szCs w:val="20"/>
        </w:rPr>
        <w:t xml:space="preserve"> Preferred Stock payable through February 2022.</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Since November 4, 2020, the Company may redeem, at its option, the Series A Preferred Stock, in whole or in part, at a cash</w:t>
      </w:r>
      <w:r>
        <w:rPr>
          <w:sz w:val="20"/>
          <w:szCs w:val="20"/>
        </w:rPr>
        <w:t xml:space="preserve"> redemption price of </w:t>
      </w:r>
      <w:r>
        <w:rPr>
          <w:sz w:val="20"/>
          <w:szCs w:val="20"/>
        </w:rPr>
        <w:t>$</w:t>
      </w:r>
      <w:r>
        <w:rPr>
          <w:sz w:val="20"/>
          <w:szCs w:val="20"/>
        </w:rPr>
        <w:t>25.0</w:t>
      </w:r>
      <w:r>
        <w:rPr>
          <w:sz w:val="20"/>
          <w:szCs w:val="20"/>
        </w:rPr>
        <w:t>0</w:t>
      </w:r>
      <w:r>
        <w:rPr>
          <w:sz w:val="20"/>
          <w:szCs w:val="20"/>
        </w:rPr>
        <w:t xml:space="preserve"> per share, plus all accrued and unpaid dividends to, but not including, the redemption date. The Series A Preferred Stock has no stated maturity, is not subject to any sinking fund or other mandatory redemption, and is not conve</w:t>
      </w:r>
      <w:r>
        <w:rPr>
          <w:sz w:val="20"/>
          <w:szCs w:val="20"/>
        </w:rPr>
        <w:t>rtible into or exchangeable for any of the Company’s other securities. Holders of the Series A Preferred Stock have no voting rights except for limited voting rights if dividends payable on the Series A Preferred Stock are in arrears for eighteen or more c</w:t>
      </w:r>
      <w:r>
        <w:rPr>
          <w:sz w:val="20"/>
          <w:szCs w:val="20"/>
        </w:rPr>
        <w:t xml:space="preserve">onsecutive or non-consecutive monthly dividend periods. If the Company were to liquidate, dissolve or wind up, the holders of the Series A Preferred Stock will have the right to receive </w:t>
      </w:r>
      <w:r>
        <w:rPr>
          <w:sz w:val="20"/>
          <w:szCs w:val="20"/>
        </w:rPr>
        <w:t>$</w:t>
      </w:r>
      <w:r>
        <w:rPr>
          <w:sz w:val="20"/>
          <w:szCs w:val="20"/>
        </w:rPr>
        <w:t>25.0</w:t>
      </w:r>
      <w:r>
        <w:rPr>
          <w:sz w:val="20"/>
          <w:szCs w:val="20"/>
        </w:rPr>
        <w:t>0</w:t>
      </w:r>
      <w:r>
        <w:rPr>
          <w:sz w:val="20"/>
          <w:szCs w:val="20"/>
        </w:rPr>
        <w:t xml:space="preserve"> per share, plus any accumulated and unpaid dividends to, but no</w:t>
      </w:r>
      <w:r>
        <w:rPr>
          <w:sz w:val="20"/>
          <w:szCs w:val="20"/>
        </w:rPr>
        <w:t>t including, the date of payment, before any payment is made to the holders of the common stock. The Series A Preferred Stock is listed on the Nasdaq Global Market under the trading symbol “MTBCP.”</w:t>
      </w:r>
    </w:p>
    <w:p w:rsidR="00000000" w:rsidRDefault="00B30BA7">
      <w:pPr>
        <w:pStyle w:val="a3"/>
        <w:spacing w:before="0" w:beforeAutospacing="0" w:after="0" w:afterAutospacing="0"/>
        <w:rPr>
          <w:sz w:val="20"/>
          <w:szCs w:val="20"/>
        </w:rPr>
      </w:pPr>
      <w:r>
        <w:rPr>
          <w:i/>
          <w:iCs/>
          <w:sz w:val="20"/>
          <w:szCs w:val="20"/>
        </w:rPr>
        <w:t> </w:t>
      </w:r>
    </w:p>
    <w:p w:rsidR="00000000" w:rsidRDefault="00B30BA7">
      <w:pPr>
        <w:pStyle w:val="a3"/>
        <w:spacing w:before="0" w:beforeAutospacing="0" w:after="0" w:afterAutospacing="0"/>
        <w:rPr>
          <w:sz w:val="20"/>
          <w:szCs w:val="20"/>
        </w:rPr>
      </w:pPr>
      <w:r>
        <w:rPr>
          <w:i/>
          <w:iCs/>
          <w:sz w:val="20"/>
          <w:szCs w:val="20"/>
          <w:u w:val="single"/>
        </w:rPr>
        <w:t>Warrants</w:t>
      </w:r>
    </w:p>
    <w:p w:rsidR="00000000" w:rsidRDefault="00B30BA7">
      <w:pPr>
        <w:pStyle w:val="a3"/>
        <w:spacing w:before="0" w:beforeAutospacing="0" w:after="0" w:afterAutospacing="0"/>
        <w:jc w:val="both"/>
        <w:rPr>
          <w:sz w:val="20"/>
          <w:szCs w:val="20"/>
        </w:rPr>
      </w:pPr>
      <w:r>
        <w:rPr>
          <w:sz w:val="20"/>
          <w:szCs w:val="20"/>
        </w:rPr>
        <w:t>The Company has issued</w:t>
      </w:r>
      <w:r>
        <w:rPr>
          <w:sz w:val="20"/>
          <w:szCs w:val="20"/>
        </w:rPr>
        <w:t xml:space="preserve"> </w:t>
      </w:r>
      <w:r>
        <w:rPr>
          <w:sz w:val="20"/>
          <w:szCs w:val="20"/>
        </w:rPr>
        <w:t>6,603,489</w:t>
      </w:r>
      <w:r>
        <w:rPr>
          <w:sz w:val="20"/>
          <w:szCs w:val="20"/>
        </w:rPr>
        <w:t xml:space="preserve"> </w:t>
      </w:r>
      <w:r>
        <w:rPr>
          <w:sz w:val="20"/>
          <w:szCs w:val="20"/>
        </w:rPr>
        <w:t>warrants for i</w:t>
      </w:r>
      <w:r>
        <w:rPr>
          <w:sz w:val="20"/>
          <w:szCs w:val="20"/>
        </w:rPr>
        <w:t>ts common stock, of which</w:t>
      </w:r>
      <w:r>
        <w:rPr>
          <w:sz w:val="20"/>
          <w:szCs w:val="20"/>
        </w:rPr>
        <w:t xml:space="preserve"> </w:t>
      </w:r>
      <w:r>
        <w:rPr>
          <w:sz w:val="20"/>
          <w:szCs w:val="20"/>
        </w:rPr>
        <w:t>3,152,140</w:t>
      </w:r>
      <w:r>
        <w:rPr>
          <w:sz w:val="20"/>
          <w:szCs w:val="20"/>
        </w:rPr>
        <w:t xml:space="preserve"> </w:t>
      </w:r>
      <w:r>
        <w:rPr>
          <w:sz w:val="20"/>
          <w:szCs w:val="20"/>
        </w:rPr>
        <w:t>remained outstanding at December 31, 2021.</w:t>
      </w:r>
      <w:r>
        <w:rPr>
          <w:sz w:val="20"/>
          <w:szCs w:val="20"/>
        </w:rPr>
        <w:t xml:space="preserve"> </w:t>
      </w:r>
      <w:r>
        <w:rPr>
          <w:sz w:val="20"/>
          <w:szCs w:val="20"/>
        </w:rPr>
        <w:t>2,000,000</w:t>
      </w:r>
      <w:r>
        <w:rPr>
          <w:sz w:val="20"/>
          <w:szCs w:val="20"/>
        </w:rPr>
        <w:t xml:space="preserve"> </w:t>
      </w:r>
      <w:r>
        <w:rPr>
          <w:sz w:val="20"/>
          <w:szCs w:val="20"/>
        </w:rPr>
        <w:t xml:space="preserve">warrants previously issued at a </w:t>
      </w:r>
      <w:r>
        <w:rPr>
          <w:sz w:val="20"/>
          <w:szCs w:val="20"/>
        </w:rPr>
        <w:t>$</w:t>
      </w:r>
      <w:r>
        <w:rPr>
          <w:sz w:val="20"/>
          <w:szCs w:val="20"/>
        </w:rPr>
        <w:t>5.00</w:t>
      </w:r>
      <w:r>
        <w:rPr>
          <w:sz w:val="20"/>
          <w:szCs w:val="20"/>
        </w:rPr>
        <w:t xml:space="preserve"> </w:t>
      </w:r>
      <w:r>
        <w:rPr>
          <w:sz w:val="20"/>
          <w:szCs w:val="20"/>
        </w:rPr>
        <w:t>exercise price expired in</w:t>
      </w:r>
      <w:r>
        <w:rPr>
          <w:sz w:val="20"/>
          <w:szCs w:val="20"/>
        </w:rPr>
        <w:t xml:space="preserve"> </w:t>
      </w:r>
      <w:r>
        <w:rPr>
          <w:sz w:val="20"/>
          <w:szCs w:val="20"/>
        </w:rPr>
        <w:t>May 201</w:t>
      </w:r>
      <w:r>
        <w:rPr>
          <w:sz w:val="20"/>
          <w:szCs w:val="20"/>
        </w:rPr>
        <w:t>8</w:t>
      </w:r>
      <w:r>
        <w:rPr>
          <w:sz w:val="20"/>
          <w:szCs w:val="20"/>
        </w:rPr>
        <w:t>. The outstanding warrants consist of</w:t>
      </w:r>
      <w:r>
        <w:rPr>
          <w:sz w:val="20"/>
          <w:szCs w:val="20"/>
        </w:rPr>
        <w:t xml:space="preserve"> </w:t>
      </w:r>
      <w:r>
        <w:rPr>
          <w:sz w:val="20"/>
          <w:szCs w:val="20"/>
        </w:rPr>
        <w:t>1,000,000</w:t>
      </w:r>
      <w:r>
        <w:rPr>
          <w:sz w:val="20"/>
          <w:szCs w:val="20"/>
        </w:rPr>
        <w:t xml:space="preserve"> </w:t>
      </w:r>
      <w:r>
        <w:rPr>
          <w:sz w:val="20"/>
          <w:szCs w:val="20"/>
        </w:rPr>
        <w:t xml:space="preserve">warrants at a </w:t>
      </w:r>
      <w:r>
        <w:rPr>
          <w:sz w:val="20"/>
          <w:szCs w:val="20"/>
        </w:rPr>
        <w:t>$</w:t>
      </w:r>
      <w:r>
        <w:rPr>
          <w:sz w:val="20"/>
          <w:szCs w:val="20"/>
        </w:rPr>
        <w:t>7.50</w:t>
      </w:r>
      <w:r>
        <w:rPr>
          <w:sz w:val="20"/>
          <w:szCs w:val="20"/>
        </w:rPr>
        <w:t xml:space="preserve"> </w:t>
      </w:r>
      <w:r>
        <w:rPr>
          <w:sz w:val="20"/>
          <w:szCs w:val="20"/>
        </w:rPr>
        <w:t>exercise price which expire</w:t>
      </w:r>
      <w:r>
        <w:rPr>
          <w:sz w:val="20"/>
          <w:szCs w:val="20"/>
        </w:rPr>
        <w:t>d in</w:t>
      </w:r>
      <w:r>
        <w:rPr>
          <w:sz w:val="20"/>
          <w:szCs w:val="20"/>
        </w:rPr>
        <w:t xml:space="preserve"> </w:t>
      </w:r>
      <w:r>
        <w:rPr>
          <w:sz w:val="20"/>
          <w:szCs w:val="20"/>
        </w:rPr>
        <w:t>January 202</w:t>
      </w:r>
      <w:r>
        <w:rPr>
          <w:sz w:val="20"/>
          <w:szCs w:val="20"/>
        </w:rPr>
        <w:t>2</w:t>
      </w:r>
      <w:r>
        <w:rPr>
          <w:sz w:val="20"/>
          <w:szCs w:val="20"/>
        </w:rPr>
        <w:t>,</w:t>
      </w:r>
      <w:r>
        <w:rPr>
          <w:sz w:val="20"/>
          <w:szCs w:val="20"/>
        </w:rPr>
        <w:t xml:space="preserve"> </w:t>
      </w:r>
      <w:r>
        <w:rPr>
          <w:sz w:val="20"/>
          <w:szCs w:val="20"/>
        </w:rPr>
        <w:t>798,651</w:t>
      </w:r>
      <w:r>
        <w:rPr>
          <w:sz w:val="20"/>
          <w:szCs w:val="20"/>
        </w:rPr>
        <w:t xml:space="preserve"> </w:t>
      </w:r>
      <w:r>
        <w:rPr>
          <w:sz w:val="20"/>
          <w:szCs w:val="20"/>
        </w:rPr>
        <w:t xml:space="preserve">warrants at a </w:t>
      </w:r>
      <w:r>
        <w:rPr>
          <w:sz w:val="20"/>
          <w:szCs w:val="20"/>
        </w:rPr>
        <w:t>$</w:t>
      </w:r>
      <w:r>
        <w:rPr>
          <w:sz w:val="20"/>
          <w:szCs w:val="20"/>
        </w:rPr>
        <w:t>7.50</w:t>
      </w:r>
      <w:r>
        <w:rPr>
          <w:sz w:val="20"/>
          <w:szCs w:val="20"/>
        </w:rPr>
        <w:t xml:space="preserve"> </w:t>
      </w:r>
      <w:r>
        <w:rPr>
          <w:sz w:val="20"/>
          <w:szCs w:val="20"/>
        </w:rPr>
        <w:t>exercise price which will expire in</w:t>
      </w:r>
      <w:r>
        <w:rPr>
          <w:sz w:val="20"/>
          <w:szCs w:val="20"/>
        </w:rPr>
        <w:t xml:space="preserve"> </w:t>
      </w:r>
      <w:r>
        <w:rPr>
          <w:sz w:val="20"/>
          <w:szCs w:val="20"/>
        </w:rPr>
        <w:t>June 202</w:t>
      </w:r>
      <w:r>
        <w:rPr>
          <w:sz w:val="20"/>
          <w:szCs w:val="20"/>
        </w:rPr>
        <w:t>2</w:t>
      </w:r>
      <w:r>
        <w:rPr>
          <w:sz w:val="20"/>
          <w:szCs w:val="20"/>
        </w:rPr>
        <w:t>,</w:t>
      </w:r>
      <w:r>
        <w:rPr>
          <w:sz w:val="20"/>
          <w:szCs w:val="20"/>
        </w:rPr>
        <w:t xml:space="preserve"> </w:t>
      </w:r>
      <w:r>
        <w:rPr>
          <w:sz w:val="20"/>
          <w:szCs w:val="20"/>
        </w:rPr>
        <w:t>100,000</w:t>
      </w:r>
      <w:r>
        <w:rPr>
          <w:sz w:val="20"/>
          <w:szCs w:val="20"/>
        </w:rPr>
        <w:t xml:space="preserve"> </w:t>
      </w:r>
      <w:r>
        <w:rPr>
          <w:sz w:val="20"/>
          <w:szCs w:val="20"/>
        </w:rPr>
        <w:t xml:space="preserve">warrants at a </w:t>
      </w:r>
      <w:r>
        <w:rPr>
          <w:sz w:val="20"/>
          <w:szCs w:val="20"/>
        </w:rPr>
        <w:t>$</w:t>
      </w:r>
      <w:r>
        <w:rPr>
          <w:sz w:val="20"/>
          <w:szCs w:val="20"/>
        </w:rPr>
        <w:t>5.00</w:t>
      </w:r>
      <w:r>
        <w:rPr>
          <w:sz w:val="20"/>
          <w:szCs w:val="20"/>
        </w:rPr>
        <w:t xml:space="preserve"> </w:t>
      </w:r>
      <w:r>
        <w:rPr>
          <w:sz w:val="20"/>
          <w:szCs w:val="20"/>
        </w:rPr>
        <w:t>exercise price which will expire in</w:t>
      </w:r>
      <w:r>
        <w:rPr>
          <w:sz w:val="20"/>
          <w:szCs w:val="20"/>
        </w:rPr>
        <w:t xml:space="preserve"> </w:t>
      </w:r>
      <w:r>
        <w:rPr>
          <w:sz w:val="20"/>
          <w:szCs w:val="20"/>
        </w:rPr>
        <w:t>September 202</w:t>
      </w:r>
      <w:r>
        <w:rPr>
          <w:sz w:val="20"/>
          <w:szCs w:val="20"/>
        </w:rPr>
        <w:t>2</w:t>
      </w:r>
      <w:r>
        <w:rPr>
          <w:sz w:val="20"/>
          <w:szCs w:val="20"/>
        </w:rPr>
        <w:t>,</w:t>
      </w:r>
      <w:r>
        <w:rPr>
          <w:sz w:val="20"/>
          <w:szCs w:val="20"/>
        </w:rPr>
        <w:t xml:space="preserve"> </w:t>
      </w:r>
      <w:r>
        <w:rPr>
          <w:sz w:val="20"/>
          <w:szCs w:val="20"/>
        </w:rPr>
        <w:t>125,000</w:t>
      </w:r>
      <w:r>
        <w:rPr>
          <w:sz w:val="20"/>
          <w:szCs w:val="20"/>
        </w:rPr>
        <w:t xml:space="preserve"> </w:t>
      </w:r>
      <w:r>
        <w:rPr>
          <w:sz w:val="20"/>
          <w:szCs w:val="20"/>
        </w:rPr>
        <w:t xml:space="preserve">warrants at a </w:t>
      </w:r>
      <w:r>
        <w:rPr>
          <w:sz w:val="20"/>
          <w:szCs w:val="20"/>
        </w:rPr>
        <w:t>$</w:t>
      </w:r>
      <w:r>
        <w:rPr>
          <w:sz w:val="20"/>
          <w:szCs w:val="20"/>
        </w:rPr>
        <w:t>3.92</w:t>
      </w:r>
      <w:r>
        <w:rPr>
          <w:sz w:val="20"/>
          <w:szCs w:val="20"/>
        </w:rPr>
        <w:t xml:space="preserve"> </w:t>
      </w:r>
      <w:r>
        <w:rPr>
          <w:sz w:val="20"/>
          <w:szCs w:val="20"/>
        </w:rPr>
        <w:t>exercise price which will expire in</w:t>
      </w:r>
      <w:r>
        <w:rPr>
          <w:sz w:val="20"/>
          <w:szCs w:val="20"/>
        </w:rPr>
        <w:t xml:space="preserve"> </w:t>
      </w:r>
      <w:r>
        <w:rPr>
          <w:sz w:val="20"/>
          <w:szCs w:val="20"/>
        </w:rPr>
        <w:t>October 202</w:t>
      </w:r>
      <w:r>
        <w:rPr>
          <w:sz w:val="20"/>
          <w:szCs w:val="20"/>
        </w:rPr>
        <w:t>2</w:t>
      </w:r>
      <w:r>
        <w:rPr>
          <w:sz w:val="20"/>
          <w:szCs w:val="20"/>
        </w:rPr>
        <w:t>,</w:t>
      </w:r>
      <w:r>
        <w:rPr>
          <w:sz w:val="20"/>
          <w:szCs w:val="20"/>
        </w:rPr>
        <w:t xml:space="preserve"> </w:t>
      </w:r>
      <w:r>
        <w:rPr>
          <w:sz w:val="20"/>
          <w:szCs w:val="20"/>
        </w:rPr>
        <w:t>1,00</w:t>
      </w:r>
      <w:r>
        <w:rPr>
          <w:sz w:val="20"/>
          <w:szCs w:val="20"/>
        </w:rPr>
        <w:t>0,000</w:t>
      </w:r>
      <w:r>
        <w:rPr>
          <w:sz w:val="20"/>
          <w:szCs w:val="20"/>
        </w:rPr>
        <w:t xml:space="preserve"> </w:t>
      </w:r>
      <w:r>
        <w:rPr>
          <w:sz w:val="20"/>
          <w:szCs w:val="20"/>
        </w:rPr>
        <w:t xml:space="preserve">warrants at a </w:t>
      </w:r>
      <w:r>
        <w:rPr>
          <w:sz w:val="20"/>
          <w:szCs w:val="20"/>
        </w:rPr>
        <w:t>$</w:t>
      </w:r>
      <w:r>
        <w:rPr>
          <w:sz w:val="20"/>
          <w:szCs w:val="20"/>
        </w:rPr>
        <w:t>10.00</w:t>
      </w:r>
      <w:r>
        <w:rPr>
          <w:sz w:val="20"/>
          <w:szCs w:val="20"/>
        </w:rPr>
        <w:t xml:space="preserve"> </w:t>
      </w:r>
      <w:r>
        <w:rPr>
          <w:sz w:val="20"/>
          <w:szCs w:val="20"/>
        </w:rPr>
        <w:t>exercise price which will expire in</w:t>
      </w:r>
      <w:r>
        <w:rPr>
          <w:sz w:val="20"/>
          <w:szCs w:val="20"/>
        </w:rPr>
        <w:t xml:space="preserve"> </w:t>
      </w:r>
      <w:r>
        <w:rPr>
          <w:sz w:val="20"/>
          <w:szCs w:val="20"/>
        </w:rPr>
        <w:t>January 202</w:t>
      </w:r>
      <w:r>
        <w:rPr>
          <w:sz w:val="20"/>
          <w:szCs w:val="20"/>
        </w:rPr>
        <w:t>3</w:t>
      </w:r>
      <w:r>
        <w:rPr>
          <w:sz w:val="20"/>
          <w:szCs w:val="20"/>
        </w:rPr>
        <w:t>,</w:t>
      </w:r>
      <w:r>
        <w:rPr>
          <w:sz w:val="20"/>
          <w:szCs w:val="20"/>
        </w:rPr>
        <w:t xml:space="preserve"> </w:t>
      </w:r>
      <w:r>
        <w:rPr>
          <w:sz w:val="20"/>
          <w:szCs w:val="20"/>
        </w:rPr>
        <w:t>100,000</w:t>
      </w:r>
      <w:r>
        <w:rPr>
          <w:sz w:val="20"/>
          <w:szCs w:val="20"/>
        </w:rPr>
        <w:t xml:space="preserve"> </w:t>
      </w:r>
      <w:r>
        <w:rPr>
          <w:sz w:val="20"/>
          <w:szCs w:val="20"/>
        </w:rPr>
        <w:t xml:space="preserve">warrants at a </w:t>
      </w:r>
      <w:r>
        <w:rPr>
          <w:sz w:val="20"/>
          <w:szCs w:val="20"/>
        </w:rPr>
        <w:t>$</w:t>
      </w:r>
      <w:r>
        <w:rPr>
          <w:sz w:val="20"/>
          <w:szCs w:val="20"/>
        </w:rPr>
        <w:t>5.00</w:t>
      </w:r>
      <w:r>
        <w:rPr>
          <w:sz w:val="20"/>
          <w:szCs w:val="20"/>
        </w:rPr>
        <w:t xml:space="preserve"> </w:t>
      </w:r>
      <w:r>
        <w:rPr>
          <w:sz w:val="20"/>
          <w:szCs w:val="20"/>
        </w:rPr>
        <w:t>exercise price which will expire in</w:t>
      </w:r>
      <w:r>
        <w:rPr>
          <w:sz w:val="20"/>
          <w:szCs w:val="20"/>
        </w:rPr>
        <w:t xml:space="preserve"> </w:t>
      </w:r>
      <w:r>
        <w:rPr>
          <w:sz w:val="20"/>
          <w:szCs w:val="20"/>
        </w:rPr>
        <w:t>July 202</w:t>
      </w:r>
      <w:r>
        <w:rPr>
          <w:sz w:val="20"/>
          <w:szCs w:val="20"/>
        </w:rPr>
        <w:t>3</w:t>
      </w:r>
      <w:r>
        <w:rPr>
          <w:sz w:val="20"/>
          <w:szCs w:val="20"/>
        </w:rPr>
        <w:t>, and</w:t>
      </w:r>
      <w:r>
        <w:rPr>
          <w:sz w:val="20"/>
          <w:szCs w:val="20"/>
        </w:rPr>
        <w:t xml:space="preserve"> </w:t>
      </w:r>
      <w:r>
        <w:rPr>
          <w:sz w:val="20"/>
          <w:szCs w:val="20"/>
        </w:rPr>
        <w:t>28,489</w:t>
      </w:r>
      <w:r>
        <w:rPr>
          <w:sz w:val="20"/>
          <w:szCs w:val="20"/>
        </w:rPr>
        <w:t xml:space="preserve"> </w:t>
      </w:r>
      <w:r>
        <w:rPr>
          <w:sz w:val="20"/>
          <w:szCs w:val="20"/>
        </w:rPr>
        <w:t xml:space="preserve">warrants at a </w:t>
      </w:r>
      <w:r>
        <w:rPr>
          <w:sz w:val="20"/>
          <w:szCs w:val="20"/>
        </w:rPr>
        <w:t>$</w:t>
      </w:r>
      <w:r>
        <w:rPr>
          <w:sz w:val="20"/>
          <w:szCs w:val="20"/>
        </w:rPr>
        <w:t>5.26</w:t>
      </w:r>
      <w:r>
        <w:rPr>
          <w:sz w:val="20"/>
          <w:szCs w:val="20"/>
        </w:rPr>
        <w:t xml:space="preserve"> </w:t>
      </w:r>
      <w:r>
        <w:rPr>
          <w:sz w:val="20"/>
          <w:szCs w:val="20"/>
        </w:rPr>
        <w:t>exercise price which will expire in</w:t>
      </w:r>
      <w:r>
        <w:rPr>
          <w:sz w:val="20"/>
          <w:szCs w:val="20"/>
        </w:rPr>
        <w:t xml:space="preserve"> </w:t>
      </w:r>
      <w:r>
        <w:rPr>
          <w:sz w:val="20"/>
          <w:szCs w:val="20"/>
        </w:rPr>
        <w:t>September 202</w:t>
      </w:r>
      <w:r>
        <w:rPr>
          <w:sz w:val="20"/>
          <w:szCs w:val="20"/>
        </w:rPr>
        <w:t>3</w:t>
      </w:r>
      <w:r>
        <w:rPr>
          <w:sz w:val="20"/>
          <w:szCs w:val="20"/>
        </w:rPr>
        <w:t>. During the years ende</w:t>
      </w:r>
      <w:r>
        <w:rPr>
          <w:sz w:val="20"/>
          <w:szCs w:val="20"/>
        </w:rPr>
        <w:t>d December 31, 2021 and 2020,</w:t>
      </w:r>
      <w:r>
        <w:rPr>
          <w:sz w:val="20"/>
          <w:szCs w:val="20"/>
        </w:rPr>
        <w:t xml:space="preserve"> </w:t>
      </w:r>
      <w:r>
        <w:rPr>
          <w:sz w:val="20"/>
          <w:szCs w:val="20"/>
        </w:rPr>
        <w:t>858,000</w:t>
      </w:r>
      <w:r>
        <w:rPr>
          <w:sz w:val="20"/>
          <w:szCs w:val="20"/>
        </w:rPr>
        <w:t xml:space="preserve"> </w:t>
      </w:r>
      <w:r>
        <w:rPr>
          <w:sz w:val="20"/>
          <w:szCs w:val="20"/>
        </w:rPr>
        <w:t>and</w:t>
      </w:r>
      <w:r>
        <w:rPr>
          <w:sz w:val="20"/>
          <w:szCs w:val="20"/>
        </w:rPr>
        <w:t xml:space="preserve"> </w:t>
      </w:r>
      <w:r>
        <w:rPr>
          <w:sz w:val="20"/>
          <w:szCs w:val="20"/>
        </w:rPr>
        <w:t>593,349</w:t>
      </w:r>
      <w:r>
        <w:rPr>
          <w:sz w:val="20"/>
          <w:szCs w:val="20"/>
        </w:rPr>
        <w:t xml:space="preserve"> </w:t>
      </w:r>
      <w:r>
        <w:rPr>
          <w:sz w:val="20"/>
          <w:szCs w:val="20"/>
        </w:rPr>
        <w:t xml:space="preserve">warrants, respectively were exercised at a </w:t>
      </w:r>
      <w:r>
        <w:rPr>
          <w:sz w:val="20"/>
          <w:szCs w:val="20"/>
        </w:rPr>
        <w:t>$</w:t>
      </w:r>
      <w:r>
        <w:rPr>
          <w:sz w:val="20"/>
          <w:szCs w:val="20"/>
        </w:rPr>
        <w:t>7.50</w:t>
      </w:r>
      <w:r>
        <w:rPr>
          <w:sz w:val="20"/>
          <w:szCs w:val="20"/>
        </w:rPr>
        <w:t xml:space="preserve"> </w:t>
      </w:r>
      <w:r>
        <w:rPr>
          <w:sz w:val="20"/>
          <w:szCs w:val="20"/>
        </w:rPr>
        <w:t xml:space="preserve">exercise price for total proceeds of approximately </w:t>
      </w:r>
      <w:r>
        <w:rPr>
          <w:sz w:val="20"/>
          <w:szCs w:val="20"/>
        </w:rPr>
        <w:t>$</w:t>
      </w:r>
      <w:r>
        <w:rPr>
          <w:sz w:val="20"/>
          <w:szCs w:val="20"/>
        </w:rPr>
        <w:t>6,435,000</w:t>
      </w:r>
      <w:r>
        <w:rPr>
          <w:sz w:val="20"/>
          <w:szCs w:val="20"/>
        </w:rPr>
        <w:t xml:space="preserve"> </w:t>
      </w:r>
      <w:r>
        <w:rPr>
          <w:sz w:val="20"/>
          <w:szCs w:val="20"/>
        </w:rPr>
        <w:t xml:space="preserve">and </w:t>
      </w:r>
      <w:r>
        <w:rPr>
          <w:sz w:val="20"/>
          <w:szCs w:val="20"/>
        </w:rPr>
        <w:t>$</w:t>
      </w:r>
      <w:r>
        <w:rPr>
          <w:sz w:val="20"/>
          <w:szCs w:val="20"/>
        </w:rPr>
        <w:t>4,450,00</w:t>
      </w:r>
      <w:r>
        <w:rPr>
          <w:sz w:val="20"/>
          <w:szCs w:val="20"/>
        </w:rPr>
        <w:t>0</w:t>
      </w:r>
      <w:r>
        <w:rPr>
          <w:sz w:val="20"/>
          <w:szCs w:val="20"/>
        </w:rPr>
        <w:t>, respectively.</w:t>
      </w:r>
    </w:p>
    <w:p w:rsidR="00000000" w:rsidRDefault="00B30BA7">
      <w:pPr>
        <w:pStyle w:val="a3"/>
        <w:spacing w:before="0" w:beforeAutospacing="0" w:after="0" w:afterAutospacing="0"/>
        <w:rPr>
          <w:sz w:val="20"/>
          <w:szCs w:val="20"/>
        </w:rPr>
      </w:pPr>
      <w:r>
        <w:rPr>
          <w:i/>
          <w:iCs/>
          <w:sz w:val="20"/>
          <w:szCs w:val="20"/>
        </w:rPr>
        <w:t> </w:t>
      </w:r>
    </w:p>
    <w:p w:rsidR="00000000" w:rsidRDefault="00B30BA7">
      <w:pPr>
        <w:pStyle w:val="a3"/>
        <w:spacing w:before="0" w:beforeAutospacing="0" w:after="0" w:afterAutospacing="0"/>
        <w:jc w:val="both"/>
        <w:rPr>
          <w:sz w:val="20"/>
          <w:szCs w:val="20"/>
        </w:rPr>
      </w:pPr>
      <w:r>
        <w:rPr>
          <w:sz w:val="20"/>
          <w:szCs w:val="20"/>
        </w:rPr>
        <w:t>The Company incurs common and preferred stock offering costs wh</w:t>
      </w:r>
      <w:r>
        <w:rPr>
          <w:sz w:val="20"/>
          <w:szCs w:val="20"/>
        </w:rPr>
        <w:t xml:space="preserve">ich consist principally of professional fees, primarily legal and accounting, and other costs such as printing and registration costs. In connection with the 2021 and 2020 equity offerings, the Company incurred approximately </w:t>
      </w:r>
      <w:r>
        <w:rPr>
          <w:sz w:val="20"/>
          <w:szCs w:val="20"/>
        </w:rPr>
        <w:t>$</w:t>
      </w:r>
      <w:r>
        <w:rPr>
          <w:sz w:val="20"/>
          <w:szCs w:val="20"/>
        </w:rPr>
        <w:t>223,000</w:t>
      </w:r>
      <w:r>
        <w:rPr>
          <w:sz w:val="20"/>
          <w:szCs w:val="20"/>
        </w:rPr>
        <w:t xml:space="preserve"> </w:t>
      </w:r>
      <w:r>
        <w:rPr>
          <w:sz w:val="20"/>
          <w:szCs w:val="20"/>
        </w:rPr>
        <w:t xml:space="preserve">and </w:t>
      </w:r>
      <w:r>
        <w:rPr>
          <w:sz w:val="20"/>
          <w:szCs w:val="20"/>
        </w:rPr>
        <w:t>$</w:t>
      </w:r>
      <w:r>
        <w:rPr>
          <w:sz w:val="20"/>
          <w:szCs w:val="20"/>
        </w:rPr>
        <w:t>330,00</w:t>
      </w:r>
      <w:r>
        <w:rPr>
          <w:sz w:val="20"/>
          <w:szCs w:val="20"/>
        </w:rPr>
        <w:t>0</w:t>
      </w:r>
      <w:r>
        <w:rPr>
          <w:sz w:val="20"/>
          <w:szCs w:val="20"/>
        </w:rPr>
        <w:t>, respecti</w:t>
      </w:r>
      <w:r>
        <w:rPr>
          <w:sz w:val="20"/>
          <w:szCs w:val="20"/>
        </w:rPr>
        <w:t>vely, of such costs, excluding underwriting commissions and placement agent fees which are recorded in additional paid-in capital in the consolidated balance sheets.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71347055"/>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11.</w:t>
      </w:r>
      <w:r>
        <w:rPr>
          <w:b/>
          <w:bCs/>
          <w:caps/>
          <w:sz w:val="20"/>
          <w:szCs w:val="20"/>
        </w:rPr>
        <w:t xml:space="preserve"> </w:t>
      </w:r>
      <w:r>
        <w:rPr>
          <w:b/>
          <w:bCs/>
          <w:caps/>
          <w:sz w:val="20"/>
          <w:szCs w:val="20"/>
        </w:rPr>
        <w:t>COMMITMENTS AND CONTINGENCIE</w:t>
      </w:r>
      <w:r>
        <w:rPr>
          <w:b/>
          <w:bCs/>
          <w:caps/>
          <w:sz w:val="20"/>
          <w:szCs w:val="20"/>
        </w:rPr>
        <w: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b/>
          <w:bCs/>
          <w:sz w:val="20"/>
          <w:szCs w:val="20"/>
        </w:rPr>
        <w:t xml:space="preserve">Legal Proceedings — </w:t>
      </w:r>
      <w:r>
        <w:rPr>
          <w:sz w:val="20"/>
          <w:szCs w:val="20"/>
        </w:rPr>
        <w:t>On May 30, 2018, the Superior Court of New Jersey, Chancery Division, Somerset County (the “Chancery Court”) denied the Company’s and MTBC Acquisition Corp.’s (“MAC”) request to enjoin an arbitration proceeding demanded by Randolph Pain Relief and Wellness</w:t>
      </w:r>
      <w:r>
        <w:rPr>
          <w:sz w:val="20"/>
          <w:szCs w:val="20"/>
        </w:rPr>
        <w:t xml:space="preserve"> Center (“RPRWC”) related to RCM services provided by parties unaffiliated with the Company and MAC. On June 15, 2018, the Company and MAC filed an appeal of the Chancery Court’s decision with the New Jersey Superior Court, Appellate Division. On July 19, </w:t>
      </w:r>
      <w:r>
        <w:rPr>
          <w:sz w:val="20"/>
          <w:szCs w:val="20"/>
        </w:rPr>
        <w:t>2018, the Chancery Court ordered that the arbitration be stayed pending the Company’s and MAC’s appeal. On appeal, the Company and MAC contended they were never party to the billing services agreement giving rise to the arbitration claim, did not assume th</w:t>
      </w:r>
      <w:r>
        <w:rPr>
          <w:sz w:val="20"/>
          <w:szCs w:val="20"/>
        </w:rPr>
        <w:t>e obligations of Millennium Practice Management Associates, Inc. (“MPMA”) under such agreement, and any agreement to arbitrate disputes arising under such agreement did not apply to the Company or MAC as RPRWC terminated the agreement before the APA took e</w:t>
      </w:r>
      <w:r>
        <w:rPr>
          <w:sz w:val="20"/>
          <w:szCs w:val="20"/>
        </w:rPr>
        <w:t>ffect. On January 30, 2019, the parties conducted oral arguments before the Appellate Court.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On April 23, 2019, the Appellate Division affirmed in part and reversed in part the trial court’s order. The Appellate Division upheld the portion of the trial c</w:t>
      </w:r>
      <w:r>
        <w:rPr>
          <w:sz w:val="20"/>
          <w:szCs w:val="20"/>
        </w:rPr>
        <w:t>ourt’s order requiring MAC to participate in the arbitration based on the trial court’s finding that MAC had assumed MPMA’s contractual responsibilities. The Appellate Division reversed the trial court’s order requiring the Company to participate in the ar</w:t>
      </w:r>
      <w:r>
        <w:rPr>
          <w:sz w:val="20"/>
          <w:szCs w:val="20"/>
        </w:rPr>
        <w:t>bitration on the grounds that insufficient facts had been provided by RPRWC from which the court could conclude the Company was required to participate in the arbitration. As a result, the Appellate Division remanded the issue of whether Company is require</w:t>
      </w:r>
      <w:r>
        <w:rPr>
          <w:sz w:val="20"/>
          <w:szCs w:val="20"/>
        </w:rPr>
        <w:t>d to participate in the arbitration back to the trial court for further proceedings.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parties completed discovery in the remanded matter on November 29, 2019, and thereafter both the Company and RPRWC filed cross-motions for summary judgment in their </w:t>
      </w:r>
      <w:r>
        <w:rPr>
          <w:sz w:val="20"/>
          <w:szCs w:val="20"/>
        </w:rPr>
        <w:t>favor. On February 6, 2020, the Chancery Court denied RPRWC’s motion for summary judgment and granted the Company’s cross-motion for summary judgment. The Chancery Court held that the Company cannot be compelled to participate in the Arbitration. RPRWC has</w:t>
      </w:r>
      <w:r>
        <w:rPr>
          <w:sz w:val="20"/>
          <w:szCs w:val="20"/>
        </w:rPr>
        <w:t xml:space="preserve"> informed the Company that it does not intend to appeal the Chancery Court’s ruling and that it intends to move forward solely against MAC. On March 25, 2020, the Chancery Court lifted the stay of arbitration relative to RPWC and MAC. In its arbitration de</w:t>
      </w:r>
      <w:r>
        <w:rPr>
          <w:sz w:val="20"/>
          <w:szCs w:val="20"/>
        </w:rPr>
        <w:t xml:space="preserve">mand RPRWC alleges that MPMA, a subsidiary of MediGain, LLC, breached the terms of the billing services agreement the parties had entered into and sought compensatory damages of </w:t>
      </w:r>
      <w:r>
        <w:rPr>
          <w:sz w:val="20"/>
          <w:szCs w:val="20"/>
        </w:rPr>
        <w:t>$</w:t>
      </w:r>
      <w:r>
        <w:rPr>
          <w:sz w:val="20"/>
          <w:szCs w:val="20"/>
        </w:rPr>
        <w:t>6.</w:t>
      </w:r>
      <w:r>
        <w:rPr>
          <w:sz w:val="20"/>
          <w:szCs w:val="20"/>
        </w:rPr>
        <w:t>6</w:t>
      </w:r>
      <w:r>
        <w:rPr>
          <w:sz w:val="20"/>
          <w:szCs w:val="20"/>
        </w:rPr>
        <w:t xml:space="preserve"> million and costs.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On May 28, 2020, the arbitrator handling the matter </w:t>
      </w:r>
      <w:r>
        <w:rPr>
          <w:sz w:val="20"/>
          <w:szCs w:val="20"/>
        </w:rPr>
        <w:t>conducted a scheduling conference with the parties in order to establish deadlines for the parties to exchange discovery requests and responses. During the conference the arbitrator directed RPRWC to produce statement of damages on which it bases its claim</w:t>
      </w:r>
      <w:r>
        <w:rPr>
          <w:sz w:val="20"/>
          <w:szCs w:val="20"/>
        </w:rPr>
        <w:t xml:space="preserve">. RPRWC disclosed its statement of damages to MAC on June 12, 2020. RPRWC’s June 12, 2020 statement of damages increased its alleged damages from </w:t>
      </w:r>
      <w:r>
        <w:rPr>
          <w:sz w:val="20"/>
          <w:szCs w:val="20"/>
        </w:rPr>
        <w:t>$</w:t>
      </w:r>
      <w:r>
        <w:rPr>
          <w:sz w:val="20"/>
          <w:szCs w:val="20"/>
        </w:rPr>
        <w:t>6.</w:t>
      </w:r>
      <w:r>
        <w:rPr>
          <w:sz w:val="20"/>
          <w:szCs w:val="20"/>
        </w:rPr>
        <w:t>6</w:t>
      </w:r>
      <w:r>
        <w:rPr>
          <w:sz w:val="20"/>
          <w:szCs w:val="20"/>
        </w:rPr>
        <w:t xml:space="preserve"> million and costs to </w:t>
      </w:r>
      <w:r>
        <w:rPr>
          <w:sz w:val="20"/>
          <w:szCs w:val="20"/>
        </w:rPr>
        <w:t>$</w:t>
      </w:r>
      <w:r>
        <w:rPr>
          <w:sz w:val="20"/>
          <w:szCs w:val="20"/>
        </w:rPr>
        <w:t>2</w:t>
      </w:r>
      <w:r>
        <w:rPr>
          <w:sz w:val="20"/>
          <w:szCs w:val="20"/>
        </w:rPr>
        <w:t>0</w:t>
      </w:r>
      <w:r>
        <w:rPr>
          <w:sz w:val="20"/>
          <w:szCs w:val="20"/>
        </w:rPr>
        <w:t xml:space="preserve"> million and costs. On July 24, 2020, RPRWC disclosed a declaration to MAC, in wh</w:t>
      </w:r>
      <w:r>
        <w:rPr>
          <w:sz w:val="20"/>
          <w:szCs w:val="20"/>
        </w:rPr>
        <w:t xml:space="preserve">ich RPRWC estimates its damages to be approximately </w:t>
      </w:r>
      <w:r>
        <w:rPr>
          <w:sz w:val="20"/>
          <w:szCs w:val="20"/>
        </w:rPr>
        <w:t>$</w:t>
      </w:r>
      <w:r>
        <w:rPr>
          <w:sz w:val="20"/>
          <w:szCs w:val="20"/>
        </w:rPr>
        <w:t>1</w:t>
      </w:r>
      <w:r>
        <w:rPr>
          <w:sz w:val="20"/>
          <w:szCs w:val="20"/>
        </w:rPr>
        <w:t>1</w:t>
      </w:r>
      <w:r>
        <w:rPr>
          <w:sz w:val="20"/>
          <w:szCs w:val="20"/>
        </w:rPr>
        <w:t xml:space="preserve"> million plus costs. At this time, RPRWC has not provided any evidence to support its increased claim for damages. RPRWC recently served expert reports in this matter. Plaintiff’s expert analyzed only </w:t>
      </w:r>
      <w:r>
        <w:rPr>
          <w:sz w:val="20"/>
          <w:szCs w:val="20"/>
        </w:rPr>
        <w:t xml:space="preserve">a minute portion of the claims alleged to have been mishandled and then extrapolated damages to be in the range of </w:t>
      </w:r>
      <w:r>
        <w:rPr>
          <w:sz w:val="20"/>
          <w:szCs w:val="20"/>
        </w:rPr>
        <w:t>$</w:t>
      </w:r>
      <w:r>
        <w:rPr>
          <w:sz w:val="20"/>
          <w:szCs w:val="20"/>
        </w:rPr>
        <w:t>9.</w:t>
      </w:r>
      <w:r>
        <w:rPr>
          <w:sz w:val="20"/>
          <w:szCs w:val="20"/>
        </w:rPr>
        <w:t>8</w:t>
      </w:r>
      <w:r>
        <w:rPr>
          <w:sz w:val="20"/>
          <w:szCs w:val="20"/>
        </w:rPr>
        <w:t xml:space="preserve"> million to </w:t>
      </w:r>
      <w:r>
        <w:rPr>
          <w:sz w:val="20"/>
          <w:szCs w:val="20"/>
        </w:rPr>
        <w:t>$</w:t>
      </w:r>
      <w:r>
        <w:rPr>
          <w:sz w:val="20"/>
          <w:szCs w:val="20"/>
        </w:rPr>
        <w:t>10.</w:t>
      </w:r>
      <w:r>
        <w:rPr>
          <w:sz w:val="20"/>
          <w:szCs w:val="20"/>
        </w:rPr>
        <w:t>8</w:t>
      </w:r>
      <w:r>
        <w:rPr>
          <w:sz w:val="20"/>
          <w:szCs w:val="20"/>
        </w:rPr>
        <w:t xml:space="preserve"> million; however, this is unrealistically based on an alleged 90-100% collection rate on charges. MAC is preparing rebu</w:t>
      </w:r>
      <w:r>
        <w:rPr>
          <w:sz w:val="20"/>
          <w:szCs w:val="20"/>
        </w:rPr>
        <w:t>ttal expert reports to be submitted shortly. Currently, the arbitration hearing is scheduled for April 2022.</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While the allegations of breach of contract made by RPRWC are the subject of the ongoing legal proceedings, MAC believes RPRWC’s allegations lack</w:t>
      </w:r>
      <w:r>
        <w:rPr>
          <w:sz w:val="20"/>
          <w:szCs w:val="20"/>
        </w:rPr>
        <w:t xml:space="preserve"> merit on numerous grounds. The Company and MAC plan to vigorously defend against RPRWC’s claim and in the event of a loss, if any, they anticipate the loss to be substantially less than the amount claimed.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Through the CCH transaction, we acquired its so</w:t>
      </w:r>
      <w:r>
        <w:rPr>
          <w:sz w:val="20"/>
          <w:szCs w:val="20"/>
        </w:rPr>
        <w:t>ftware technology and related business, of which certain elements were, at the time of the acquisition, subject to a civil investigation to determine pre-acquisition compliance with certain federal regulatory requirements. Following the closing of the tran</w:t>
      </w:r>
      <w:r>
        <w:rPr>
          <w:sz w:val="20"/>
          <w:szCs w:val="20"/>
        </w:rPr>
        <w:t xml:space="preserve">saction, the Company continued to cooperate with the inquiry as CCH had historically done since the commencement of the investigation in July of 2018. This element was considered as part of the transaction as </w:t>
      </w:r>
      <w:r>
        <w:rPr>
          <w:sz w:val="20"/>
          <w:szCs w:val="20"/>
        </w:rPr>
        <w:t>$</w:t>
      </w:r>
      <w:r>
        <w:rPr>
          <w:sz w:val="20"/>
          <w:szCs w:val="20"/>
        </w:rPr>
        <w:t>4</w:t>
      </w:r>
      <w:r>
        <w:rPr>
          <w:sz w:val="20"/>
          <w:szCs w:val="20"/>
        </w:rPr>
        <w:t xml:space="preserve"> </w:t>
      </w:r>
      <w:r>
        <w:rPr>
          <w:sz w:val="20"/>
          <w:szCs w:val="20"/>
        </w:rPr>
        <w:t>million of the transaction’s consideration w</w:t>
      </w:r>
      <w:r>
        <w:rPr>
          <w:sz w:val="20"/>
          <w:szCs w:val="20"/>
        </w:rPr>
        <w:t xml:space="preserve">as held in escrow for the resolution of this investigation. The Company accrued </w:t>
      </w:r>
      <w:r>
        <w:rPr>
          <w:sz w:val="20"/>
          <w:szCs w:val="20"/>
        </w:rPr>
        <w:t>$</w:t>
      </w:r>
      <w:r>
        <w:rPr>
          <w:sz w:val="20"/>
          <w:szCs w:val="20"/>
        </w:rPr>
        <w:t>4.</w:t>
      </w:r>
      <w:r>
        <w:rPr>
          <w:sz w:val="20"/>
          <w:szCs w:val="20"/>
        </w:rPr>
        <w:t>2</w:t>
      </w:r>
      <w:r>
        <w:rPr>
          <w:sz w:val="20"/>
          <w:szCs w:val="20"/>
        </w:rPr>
        <w:t xml:space="preserve"> million to resolve this investigation, including the </w:t>
      </w:r>
      <w:r>
        <w:rPr>
          <w:sz w:val="20"/>
          <w:szCs w:val="20"/>
        </w:rPr>
        <w:t>$</w:t>
      </w:r>
      <w:r>
        <w:rPr>
          <w:sz w:val="20"/>
          <w:szCs w:val="20"/>
        </w:rPr>
        <w:t>4</w:t>
      </w:r>
      <w:r>
        <w:rPr>
          <w:sz w:val="20"/>
          <w:szCs w:val="20"/>
        </w:rPr>
        <w:t xml:space="preserve"> million in escrow, which was recorded as an indemnification asset which is included in the condensed consolidated b</w:t>
      </w:r>
      <w:r>
        <w:rPr>
          <w:sz w:val="20"/>
          <w:szCs w:val="20"/>
        </w:rPr>
        <w:t>alance sheets at December 31, 2020 in prepaid expenses and other current assets with an offsetting amount in accrued expenses. The Company settled the obligation in April 2021 substantially within the range covered by the escrowed funds.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2697149"/>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From time to time, we may become involved in other legal proceedings arising in the ordinary course of our business. Including the proceedings described above, we are not presently a party to any legal proceedings that, in the opinion of our management, wo</w:t>
      </w:r>
      <w:r>
        <w:rPr>
          <w:sz w:val="20"/>
          <w:szCs w:val="20"/>
        </w:rPr>
        <w:t>uld individually or taken together have a material adverse effect on our business, consolidated results of operations, financial position or cash flows of the Company.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12.</w:t>
      </w:r>
      <w:r>
        <w:rPr>
          <w:b/>
          <w:bCs/>
          <w:caps/>
          <w:sz w:val="20"/>
          <w:szCs w:val="20"/>
        </w:rPr>
        <w:t xml:space="preserve"> </w:t>
      </w:r>
      <w:r>
        <w:rPr>
          <w:b/>
          <w:bCs/>
          <w:caps/>
          <w:sz w:val="20"/>
          <w:szCs w:val="20"/>
        </w:rPr>
        <w:t>LEASE</w:t>
      </w:r>
      <w:r>
        <w:rPr>
          <w:b/>
          <w:bCs/>
          <w:caps/>
          <w:sz w:val="20"/>
          <w:szCs w:val="20"/>
        </w:rPr>
        <w: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We determine if an arrangement is a lease at inception. We have operating</w:t>
      </w:r>
      <w:r>
        <w:rPr>
          <w:sz w:val="20"/>
          <w:szCs w:val="20"/>
        </w:rPr>
        <w:t xml:space="preserve"> leases for office and temporary living space as well as for some office equipment. Operating leases are included in operating lease ROU assets, current operating lease liability and non-current operating lease liability in our consolidated balance sheets </w:t>
      </w:r>
      <w:r>
        <w:rPr>
          <w:sz w:val="20"/>
          <w:szCs w:val="20"/>
        </w:rPr>
        <w:t>as of December 31, 2021 and 2020. The Company does not have any finance leases.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from the lease. ROU</w:t>
      </w:r>
      <w:r>
        <w:rPr>
          <w:sz w:val="20"/>
          <w:szCs w:val="20"/>
        </w:rPr>
        <w:t xml:space="preserve"> assets and liabilities are recognized at the lease commencement date based on the estimated present value of lease payments over the lease term.</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As most of our leases do not provide an implicit rate, we use our estimated incremental borrowing rates, whi</w:t>
      </w:r>
      <w:r>
        <w:rPr>
          <w:sz w:val="20"/>
          <w:szCs w:val="20"/>
        </w:rPr>
        <w:t>ch are derived from information available at the lease commencement date, in determining the present value of lease payments. We give consideration to our bank financing arrangements, geographical location and collateralization of assets when calculating o</w:t>
      </w:r>
      <w:r>
        <w:rPr>
          <w:sz w:val="20"/>
          <w:szCs w:val="20"/>
        </w:rPr>
        <w:t>ur incremental borrowing rates.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Our lease terms include options to extend the lease when it is reasonably certain that we will exercise that option.</w:t>
      </w:r>
      <w:r>
        <w:rPr>
          <w:sz w:val="20"/>
          <w:szCs w:val="20"/>
        </w:rPr>
        <w:t xml:space="preserve"> </w:t>
      </w:r>
      <w:r>
        <w:rPr>
          <w:sz w:val="20"/>
          <w:szCs w:val="20"/>
        </w:rPr>
        <w:t>Leases with a term of less than 12 months are not recorded in the consolidated balance sheets</w:t>
      </w:r>
      <w:r>
        <w:rPr>
          <w:sz w:val="20"/>
          <w:szCs w:val="20"/>
        </w:rPr>
        <w:t>.</w:t>
      </w:r>
      <w:r>
        <w:rPr>
          <w:sz w:val="20"/>
          <w:szCs w:val="20"/>
        </w:rPr>
        <w:t xml:space="preserve"> Our lease </w:t>
      </w:r>
      <w:r>
        <w:rPr>
          <w:sz w:val="20"/>
          <w:szCs w:val="20"/>
        </w:rPr>
        <w:t>agreements do not contain any residual value guarantees. For real estate leases, we account for the lease and non-lease components as a single lease component. Some leases include escalation clauses and termination options that are factored in the determin</w:t>
      </w:r>
      <w:r>
        <w:rPr>
          <w:sz w:val="20"/>
          <w:szCs w:val="20"/>
        </w:rPr>
        <w:t>ation of the lease payments when appropriate.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If a lease is modified after the effective date, the operating lease ROU asset and liability is re-measured using the current incremental borrowing rate. We review our incremental borrowing rate for our portf</w:t>
      </w:r>
      <w:r>
        <w:rPr>
          <w:sz w:val="20"/>
          <w:szCs w:val="20"/>
        </w:rPr>
        <w:t xml:space="preserve">olio of leases on a quarterly basis. During the years ended December 31, 2021 and 2020, lease impairment of approximately </w:t>
      </w:r>
      <w:r>
        <w:rPr>
          <w:sz w:val="20"/>
          <w:szCs w:val="20"/>
        </w:rPr>
        <w:t>$</w:t>
      </w:r>
      <w:r>
        <w:rPr>
          <w:sz w:val="20"/>
          <w:szCs w:val="20"/>
        </w:rPr>
        <w:t>68,00</w:t>
      </w:r>
      <w:r>
        <w:rPr>
          <w:sz w:val="20"/>
          <w:szCs w:val="20"/>
        </w:rPr>
        <w:t>0</w:t>
      </w:r>
      <w:r>
        <w:rPr>
          <w:sz w:val="20"/>
          <w:szCs w:val="20"/>
        </w:rPr>
        <w:t xml:space="preserve"> and </w:t>
      </w:r>
      <w:r>
        <w:rPr>
          <w:sz w:val="20"/>
          <w:szCs w:val="20"/>
        </w:rPr>
        <w:t>$</w:t>
      </w:r>
      <w:r>
        <w:rPr>
          <w:sz w:val="20"/>
          <w:szCs w:val="20"/>
        </w:rPr>
        <w:t>298,00</w:t>
      </w:r>
      <w:r>
        <w:rPr>
          <w:sz w:val="20"/>
          <w:szCs w:val="20"/>
        </w:rPr>
        <w:t>0</w:t>
      </w:r>
      <w:r>
        <w:rPr>
          <w:sz w:val="20"/>
          <w:szCs w:val="20"/>
        </w:rPr>
        <w:t>, respectively was recorded since the Company is no longer using certain leased facilities and is currently in the</w:t>
      </w:r>
      <w:r>
        <w:rPr>
          <w:sz w:val="20"/>
          <w:szCs w:val="20"/>
        </w:rPr>
        <w:t xml:space="preserve"> process of trying to sublease one of the spaces. There were no restructuring charges in the years ended December 31, 2021 and 2020, respectively.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Lease expense is included in direct operating costs and general and administrative expenses in the consolid</w:t>
      </w:r>
      <w:r>
        <w:rPr>
          <w:sz w:val="20"/>
          <w:szCs w:val="20"/>
        </w:rPr>
        <w:t>ated statements of operations based on the nature of the expense. As of December 31, 2021, we had 37 leased properties, seven in Practice Management and 30 in Healthcare IT, with remaining terms ranging from less than one year to fifteen years. Our lease t</w:t>
      </w:r>
      <w:r>
        <w:rPr>
          <w:sz w:val="20"/>
          <w:szCs w:val="20"/>
        </w:rPr>
        <w:t>erms are determined taking into account lease renewal options, the Company’s anticipated operating plans and leases that are on a month-to-month basis. We also have some related party leases – see Note 13.</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components of lease expense were as follows:</w:t>
      </w:r>
    </w:p>
    <w:p w:rsidR="00000000" w:rsidRDefault="00B30BA7">
      <w:pPr>
        <w:pStyle w:val="a3"/>
        <w:spacing w:before="0" w:beforeAutospacing="0" w:after="0" w:afterAutospacing="0"/>
        <w:jc w:val="both"/>
        <w:rPr>
          <w:sz w:val="20"/>
          <w:szCs w:val="20"/>
        </w:rPr>
      </w:pPr>
      <w:r>
        <w:rPr>
          <w:vanish/>
          <w:sz w:val="20"/>
          <w:szCs w:val="20"/>
        </w:rPr>
        <w:t>SCHEDULE OF LEASE EXPENS</w:t>
      </w:r>
      <w:r>
        <w:rPr>
          <w:vanish/>
          <w:sz w:val="20"/>
          <w:szCs w:val="20"/>
        </w:rPr>
        <w:t>E</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trPr>
          <w:hidden/>
        </w:trPr>
        <w:tc>
          <w:tcPr>
            <w:tcW w:w="0" w:type="auto"/>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vanish/>
                <w:sz w:val="20"/>
                <w:szCs w:val="20"/>
              </w:rPr>
            </w:pPr>
            <w:r>
              <w:rPr>
                <w:rFonts w:eastAsia="Times New Roman"/>
                <w:b/>
                <w:bCs/>
                <w:vanish/>
                <w:sz w:val="20"/>
                <w:szCs w:val="20"/>
              </w:rPr>
              <w:t>2020</w:t>
            </w:r>
          </w:p>
        </w:tc>
        <w:tc>
          <w:tcPr>
            <w:tcW w:w="0" w:type="auto"/>
            <w:vAlign w:val="bottom"/>
            <w:hideMark/>
          </w:tcPr>
          <w:p w:rsidR="00000000" w:rsidRDefault="00B30BA7">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w:t>
            </w:r>
            <w:r>
              <w:rPr>
                <w:rFonts w:eastAsia="Times New Roman"/>
                <w:b/>
                <w:bCs/>
                <w:sz w:val="20"/>
                <w:szCs w:val="20"/>
              </w:rPr>
              <w:b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4,232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3,348</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Variable lease cost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Total- net lease cost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4,317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3,433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26931208"/>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2021 or the beginning of the lease was less than 12 months. Variable lease costs include utilities, real estate taxes and common area maintenance costs.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Supplemental balance sheet information related to leases was as follows: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vanish/>
          <w:sz w:val="20"/>
          <w:szCs w:val="20"/>
        </w:rPr>
        <w:t>SCHEDULE OF SUPPLEMENTAL BALANCE SHEET INFORMATION RELATED TO LEASE</w:t>
      </w:r>
      <w:r>
        <w:rPr>
          <w:vanish/>
          <w:sz w:val="20"/>
          <w:szCs w:val="20"/>
        </w:rPr>
        <w:t>S</w:t>
      </w:r>
    </w:p>
    <w:tbl>
      <w:tblPr>
        <w:tblW w:w="4000" w:type="pct"/>
        <w:tblCellMar>
          <w:left w:w="0" w:type="dxa"/>
          <w:right w:w="0" w:type="dxa"/>
        </w:tblCellMar>
        <w:tblLook w:val="04A0" w:firstRow="1" w:lastRow="0" w:firstColumn="1" w:lastColumn="0" w:noHBand="0" w:noVBand="1"/>
      </w:tblPr>
      <w:tblGrid>
        <w:gridCol w:w="3933"/>
        <w:gridCol w:w="79"/>
        <w:gridCol w:w="100"/>
        <w:gridCol w:w="1009"/>
        <w:gridCol w:w="167"/>
        <w:gridCol w:w="80"/>
        <w:gridCol w:w="100"/>
        <w:gridCol w:w="1010"/>
        <w:gridCol w:w="167"/>
      </w:tblGrid>
      <w:tr w:rsidR="00000000">
        <w:tc>
          <w:tcPr>
            <w:tcW w:w="0" w:type="auto"/>
            <w:vAlign w:val="bottom"/>
            <w:hideMark/>
          </w:tcPr>
          <w:p w:rsidR="00000000" w:rsidRDefault="00B30BA7">
            <w:pPr>
              <w:rPr>
                <w:rFonts w:eastAsia="Times New Roman"/>
                <w:b/>
                <w:bCs/>
                <w:i/>
                <w:iCs/>
                <w:sz w:val="20"/>
                <w:szCs w:val="20"/>
              </w:rPr>
            </w:pPr>
            <w:r>
              <w:rPr>
                <w:rFonts w:eastAsia="Times New Roman"/>
                <w:b/>
                <w:bCs/>
                <w:i/>
                <w:i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December 31, 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December 31, 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6,940</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7,743</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4,729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Non-current operating lease liabilities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4,545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6,297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Total </w:t>
            </w:r>
            <w:r>
              <w:rPr>
                <w:rFonts w:eastAsia="Times New Roman"/>
                <w:sz w:val="20"/>
                <w:szCs w:val="20"/>
              </w:rPr>
              <w:t>operating lease liabilities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8,508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11,026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ROU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10,535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10,648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(3,574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(2,889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Foreign exchange loss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ROU </w:t>
            </w:r>
            <w:r>
              <w:rPr>
                <w:rFonts w:eastAsia="Times New Roman"/>
                <w:sz w:val="20"/>
                <w:szCs w:val="20"/>
              </w:rPr>
              <w:t>assets, net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6,940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7,743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4.2</w:t>
            </w:r>
            <w:r>
              <w:rPr>
                <w:rFonts w:eastAsia="Times New Roman"/>
                <w:sz w:val="20"/>
                <w:szCs w:val="20"/>
              </w:rPr>
              <w:t>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2.7</w:t>
            </w:r>
            <w:r>
              <w:rPr>
                <w:rFonts w:eastAsia="Times New Roman"/>
                <w:sz w:val="20"/>
                <w:szCs w:val="20"/>
              </w:rPr>
              <w:t>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6.76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6.76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rPr>
          <w:hidden/>
        </w:trPr>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vanish/>
                <w:sz w:val="20"/>
                <w:szCs w:val="20"/>
              </w:rPr>
            </w:pPr>
            <w:r>
              <w:rPr>
                <w:rFonts w:eastAsia="Times New Roman"/>
                <w:vanish/>
                <w:sz w:val="20"/>
                <w:szCs w:val="20"/>
              </w:rPr>
              <w:t>Operating leases, Weighted average discount rate</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6.76</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B30BA7">
            <w:pPr>
              <w:jc w:val="right"/>
              <w:rPr>
                <w:rFonts w:eastAsia="Times New Roman"/>
                <w:vanish/>
                <w:sz w:val="20"/>
                <w:szCs w:val="20"/>
              </w:rPr>
            </w:pPr>
            <w:r>
              <w:rPr>
                <w:rFonts w:eastAsia="Times New Roman"/>
                <w:vanish/>
                <w:sz w:val="20"/>
                <w:szCs w:val="20"/>
              </w:rPr>
              <w:t>6.76</w:t>
            </w:r>
          </w:p>
        </w:tc>
        <w:tc>
          <w:tcPr>
            <w:tcW w:w="0" w:type="auto"/>
            <w:shd w:val="clear" w:color="auto" w:fill="CCEEFF"/>
            <w:vAlign w:val="bottom"/>
            <w:hideMark/>
          </w:tcPr>
          <w:p w:rsidR="00000000" w:rsidRDefault="00B30BA7">
            <w:pPr>
              <w:rPr>
                <w:rFonts w:eastAsia="Times New Roman"/>
                <w:vanish/>
                <w:sz w:val="20"/>
                <w:szCs w:val="20"/>
              </w:rPr>
            </w:pPr>
            <w:r>
              <w:rPr>
                <w:rFonts w:eastAsia="Times New Roman"/>
                <w:vanish/>
                <w:sz w:val="20"/>
                <w:szCs w:val="20"/>
              </w:rPr>
              <w:t>%</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Supplemental cash flow and other information related to leases was as follows:</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SCHEDULE OF SUPPLEMENTAL CASH FLOW AND OTHER INFORMATION RELATED TO LEASE</w:t>
      </w:r>
      <w:r>
        <w:rPr>
          <w:vanish/>
          <w:sz w:val="20"/>
          <w:szCs w:val="20"/>
        </w:rPr>
        <w:t>S</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w:t>
            </w:r>
            <w:r>
              <w:rPr>
                <w:rFonts w:eastAsia="Times New Roman"/>
                <w:b/>
                <w:bCs/>
                <w:sz w:val="20"/>
                <w:szCs w:val="20"/>
              </w:rPr>
              <w:b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xml:space="preserve">Cash </w:t>
            </w:r>
            <w:r>
              <w:rPr>
                <w:rFonts w:eastAsia="Times New Roman"/>
                <w:sz w:val="20"/>
                <w:szCs w:val="20"/>
              </w:rPr>
              <w:t>paid for amounts included in the measurement of lease liabilities:</w:t>
            </w:r>
          </w:p>
        </w:tc>
        <w:tc>
          <w:tcPr>
            <w:tcW w:w="0" w:type="auto"/>
            <w:vAlign w:val="bottom"/>
            <w:hideMark/>
          </w:tcPr>
          <w:p w:rsidR="00000000" w:rsidRDefault="00B30BA7">
            <w:pPr>
              <w:rPr>
                <w:rFonts w:eastAsia="Times New Roman"/>
                <w:color w:val="FF0000"/>
                <w:sz w:val="20"/>
                <w:szCs w:val="20"/>
              </w:rPr>
            </w:pPr>
            <w:r>
              <w:rPr>
                <w:rFonts w:eastAsia="Times New Roman"/>
                <w:color w:val="FF0000"/>
                <w:sz w:val="20"/>
                <w:szCs w:val="20"/>
              </w:rPr>
              <w:t> </w:t>
            </w:r>
          </w:p>
        </w:tc>
        <w:tc>
          <w:tcPr>
            <w:tcW w:w="0" w:type="auto"/>
            <w:gridSpan w:val="2"/>
            <w:vAlign w:val="bottom"/>
            <w:hideMark/>
          </w:tcPr>
          <w:p w:rsidR="00000000" w:rsidRDefault="00B30BA7">
            <w:pPr>
              <w:rPr>
                <w:rFonts w:eastAsia="Times New Roman"/>
                <w:color w:val="FF0000"/>
                <w:sz w:val="20"/>
                <w:szCs w:val="20"/>
              </w:rPr>
            </w:pPr>
            <w:r>
              <w:rPr>
                <w:rFonts w:eastAsia="Times New Roman"/>
                <w:color w:val="FF0000"/>
                <w:sz w:val="20"/>
                <w:szCs w:val="20"/>
              </w:rPr>
              <w:t> </w:t>
            </w:r>
          </w:p>
        </w:tc>
        <w:tc>
          <w:tcPr>
            <w:tcW w:w="0" w:type="auto"/>
            <w:vAlign w:val="bottom"/>
            <w:hideMark/>
          </w:tcPr>
          <w:p w:rsidR="00000000" w:rsidRDefault="00B30BA7">
            <w:pPr>
              <w:rPr>
                <w:rFonts w:eastAsia="Times New Roman"/>
                <w:color w:val="FF0000"/>
                <w:sz w:val="20"/>
                <w:szCs w:val="20"/>
              </w:rPr>
            </w:pPr>
            <w:r>
              <w:rPr>
                <w:rFonts w:eastAsia="Times New Roman"/>
                <w:color w:val="FF0000"/>
                <w:sz w:val="20"/>
                <w:szCs w:val="20"/>
              </w:rPr>
              <w:t> </w:t>
            </w:r>
          </w:p>
        </w:tc>
        <w:tc>
          <w:tcPr>
            <w:tcW w:w="0" w:type="auto"/>
            <w:vAlign w:val="bottom"/>
            <w:hideMark/>
          </w:tcPr>
          <w:p w:rsidR="00000000" w:rsidRDefault="00B30BA7">
            <w:pPr>
              <w:rPr>
                <w:rFonts w:eastAsia="Times New Roman"/>
                <w:color w:val="FF0000"/>
                <w:sz w:val="20"/>
                <w:szCs w:val="20"/>
              </w:rPr>
            </w:pPr>
            <w:r>
              <w:rPr>
                <w:rFonts w:eastAsia="Times New Roman"/>
                <w:color w:val="FF0000"/>
                <w:sz w:val="20"/>
                <w:szCs w:val="20"/>
              </w:rPr>
              <w:t> </w:t>
            </w:r>
          </w:p>
        </w:tc>
        <w:tc>
          <w:tcPr>
            <w:tcW w:w="0" w:type="auto"/>
            <w:gridSpan w:val="2"/>
            <w:vAlign w:val="bottom"/>
            <w:hideMark/>
          </w:tcPr>
          <w:p w:rsidR="00000000" w:rsidRDefault="00B30BA7">
            <w:pPr>
              <w:rPr>
                <w:rFonts w:eastAsia="Times New Roman"/>
                <w:color w:val="FF0000"/>
                <w:sz w:val="20"/>
                <w:szCs w:val="20"/>
              </w:rPr>
            </w:pPr>
            <w:r>
              <w:rPr>
                <w:rFonts w:eastAsia="Times New Roman"/>
                <w:color w:val="FF0000"/>
                <w:sz w:val="20"/>
                <w:szCs w:val="20"/>
              </w:rPr>
              <w:t> </w:t>
            </w:r>
          </w:p>
        </w:tc>
        <w:tc>
          <w:tcPr>
            <w:tcW w:w="0" w:type="auto"/>
            <w:vAlign w:val="bottom"/>
            <w:hideMark/>
          </w:tcPr>
          <w:p w:rsidR="00000000" w:rsidRDefault="00B30BA7">
            <w:pPr>
              <w:rPr>
                <w:rFonts w:eastAsia="Times New Roman"/>
                <w:color w:val="FF0000"/>
                <w:sz w:val="20"/>
                <w:szCs w:val="20"/>
              </w:rPr>
            </w:pPr>
            <w:r>
              <w:rPr>
                <w:rFonts w:eastAsia="Times New Roman"/>
                <w:color w:val="FF0000"/>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Operating cash flows from operating leases</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5,351</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4,458</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ROU </w:t>
            </w:r>
            <w:r>
              <w:rPr>
                <w:rFonts w:eastAsia="Times New Roman"/>
                <w:sz w:val="20"/>
                <w:szCs w:val="20"/>
              </w:rPr>
              <w:t>assets obtained in exchange for lease liabilities: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Operating leases, net of impairment and terminations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2,790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7,559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90076363"/>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Maturities of lease liabilities are as follows: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vanish/>
          <w:sz w:val="20"/>
          <w:szCs w:val="20"/>
        </w:rPr>
        <w:t xml:space="preserve">SCHEDULE </w:t>
      </w:r>
      <w:r>
        <w:rPr>
          <w:vanish/>
          <w:sz w:val="20"/>
          <w:szCs w:val="20"/>
        </w:rPr>
        <w:t>OF MATURITIES OF LEASE LIABILITIE</w:t>
      </w:r>
      <w:r>
        <w:rPr>
          <w:vanish/>
          <w:sz w:val="20"/>
          <w:szCs w:val="20"/>
        </w:rPr>
        <w:t>S</w:t>
      </w:r>
    </w:p>
    <w:tbl>
      <w:tblPr>
        <w:tblW w:w="3500" w:type="pct"/>
        <w:tblCellMar>
          <w:left w:w="0" w:type="dxa"/>
          <w:right w:w="0" w:type="dxa"/>
        </w:tblCellMar>
        <w:tblLook w:val="04A0" w:firstRow="1" w:lastRow="0" w:firstColumn="1" w:lastColumn="0" w:noHBand="0" w:noVBand="1"/>
      </w:tblPr>
      <w:tblGrid>
        <w:gridCol w:w="4401"/>
        <w:gridCol w:w="99"/>
        <w:gridCol w:w="101"/>
        <w:gridCol w:w="1146"/>
        <w:gridCol w:w="67"/>
      </w:tblGrid>
      <w:tr w:rsidR="00000000">
        <w:tc>
          <w:tcPr>
            <w:tcW w:w="0" w:type="auto"/>
            <w:tcBorders>
              <w:bottom w:val="single" w:sz="12" w:space="0" w:color="000000"/>
            </w:tcBorders>
            <w:vAlign w:val="bottom"/>
            <w:hideMark/>
          </w:tcPr>
          <w:p w:rsidR="00000000" w:rsidRDefault="00B30BA7">
            <w:pPr>
              <w:rPr>
                <w:rFonts w:eastAsia="Times New Roman"/>
                <w:b/>
                <w:bCs/>
                <w:sz w:val="20"/>
                <w:szCs w:val="20"/>
              </w:rPr>
            </w:pPr>
            <w:r>
              <w:rPr>
                <w:rFonts w:eastAsia="Times New Roman"/>
                <w:b/>
                <w:bCs/>
                <w:sz w:val="20"/>
                <w:szCs w:val="20"/>
              </w:rPr>
              <w:t>Operating leases - Years ending December 31,</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B30BA7">
            <w:pPr>
              <w:rPr>
                <w:rFonts w:eastAsia="Times New Roman"/>
                <w:sz w:val="20"/>
                <w:szCs w:val="20"/>
              </w:rPr>
            </w:pPr>
            <w:r>
              <w:rPr>
                <w:rFonts w:eastAsia="Times New Roman"/>
                <w:sz w:val="20"/>
                <w:szCs w:val="20"/>
              </w:rPr>
              <w:t>2022</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4,420</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2,296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1,019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2025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481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2026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216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Thereafter</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1,756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Total lease payments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10,188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Less: imputed interest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(1,680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Total lease obligations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8,508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Less: current obligations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Long-term lease obligations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4,545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13.</w:t>
      </w:r>
      <w:r>
        <w:rPr>
          <w:b/>
          <w:bCs/>
          <w:caps/>
          <w:sz w:val="20"/>
          <w:szCs w:val="20"/>
        </w:rPr>
        <w:t xml:space="preserve"> </w:t>
      </w:r>
      <w:r>
        <w:rPr>
          <w:b/>
          <w:bCs/>
          <w:caps/>
          <w:sz w:val="20"/>
          <w:szCs w:val="20"/>
        </w:rPr>
        <w:t>RELATED PARTIE</w:t>
      </w:r>
      <w:r>
        <w:rPr>
          <w:b/>
          <w:bCs/>
          <w:caps/>
          <w:sz w:val="20"/>
          <w:szCs w:val="20"/>
        </w:rPr>
        <w: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 xml:space="preserve">Company had sales to a related party, a physician who is the wife of the Executive Chairman. Revenues from this customer were approximately </w:t>
      </w:r>
      <w:r>
        <w:rPr>
          <w:sz w:val="20"/>
          <w:szCs w:val="20"/>
        </w:rPr>
        <w:t>$</w:t>
      </w:r>
      <w:r>
        <w:rPr>
          <w:sz w:val="20"/>
          <w:szCs w:val="20"/>
        </w:rPr>
        <w:t>23,00</w:t>
      </w:r>
      <w:r>
        <w:rPr>
          <w:sz w:val="20"/>
          <w:szCs w:val="20"/>
        </w:rPr>
        <w:t>0</w:t>
      </w:r>
      <w:r>
        <w:rPr>
          <w:sz w:val="20"/>
          <w:szCs w:val="20"/>
        </w:rPr>
        <w:t xml:space="preserve"> for the year ended December 31, 2021 and approximately </w:t>
      </w:r>
      <w:r>
        <w:rPr>
          <w:sz w:val="20"/>
          <w:szCs w:val="20"/>
        </w:rPr>
        <w:t>$</w:t>
      </w:r>
      <w:r>
        <w:rPr>
          <w:sz w:val="20"/>
          <w:szCs w:val="20"/>
        </w:rPr>
        <w:t>17,00</w:t>
      </w:r>
      <w:r>
        <w:rPr>
          <w:sz w:val="20"/>
          <w:szCs w:val="20"/>
        </w:rPr>
        <w:t>0</w:t>
      </w:r>
      <w:r>
        <w:rPr>
          <w:sz w:val="20"/>
          <w:szCs w:val="20"/>
        </w:rPr>
        <w:t xml:space="preserve"> for the year ended December 31, 2020. As of D</w:t>
      </w:r>
      <w:r>
        <w:rPr>
          <w:sz w:val="20"/>
          <w:szCs w:val="20"/>
        </w:rPr>
        <w:t xml:space="preserve">ecember 31, 2021 and 2020, the accounts receivable balance due from this customer was approximately </w:t>
      </w:r>
      <w:r>
        <w:rPr>
          <w:sz w:val="20"/>
          <w:szCs w:val="20"/>
        </w:rPr>
        <w:t>$</w:t>
      </w:r>
      <w:r>
        <w:rPr>
          <w:sz w:val="20"/>
          <w:szCs w:val="20"/>
        </w:rPr>
        <w:t>3,00</w:t>
      </w:r>
      <w:r>
        <w:rPr>
          <w:sz w:val="20"/>
          <w:szCs w:val="20"/>
        </w:rPr>
        <w:t>0</w:t>
      </w:r>
      <w:r>
        <w:rPr>
          <w:sz w:val="20"/>
          <w:szCs w:val="20"/>
        </w:rPr>
        <w:t xml:space="preserve"> and </w:t>
      </w:r>
      <w:r>
        <w:rPr>
          <w:sz w:val="20"/>
          <w:szCs w:val="20"/>
        </w:rPr>
        <w:t>$</w:t>
      </w:r>
      <w:r>
        <w:rPr>
          <w:sz w:val="20"/>
          <w:szCs w:val="20"/>
        </w:rPr>
        <w:t>2,00</w:t>
      </w:r>
      <w:r>
        <w:rPr>
          <w:sz w:val="20"/>
          <w:szCs w:val="20"/>
        </w:rPr>
        <w:t>0</w:t>
      </w:r>
      <w:r>
        <w:rPr>
          <w:sz w:val="20"/>
          <w:szCs w:val="20"/>
        </w:rPr>
        <w:t xml:space="preserve"> respectively, and is included in accounts receivable in the consolidated balance sheets.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Company was a party to a nonexclusive aircr</w:t>
      </w:r>
      <w:r>
        <w:rPr>
          <w:sz w:val="20"/>
          <w:szCs w:val="20"/>
        </w:rPr>
        <w:t xml:space="preserve">aft dry lease agreement with Kashmir Air, Inc. (“KAI”), which is owned by the Executive Chairman. The Company recorded an expense of approximately </w:t>
      </w:r>
      <w:r>
        <w:rPr>
          <w:sz w:val="20"/>
          <w:szCs w:val="20"/>
        </w:rPr>
        <w:t>$</w:t>
      </w:r>
      <w:r>
        <w:rPr>
          <w:sz w:val="20"/>
          <w:szCs w:val="20"/>
        </w:rPr>
        <w:t>80,00</w:t>
      </w:r>
      <w:r>
        <w:rPr>
          <w:sz w:val="20"/>
          <w:szCs w:val="20"/>
        </w:rPr>
        <w:t>0</w:t>
      </w:r>
      <w:r>
        <w:rPr>
          <w:sz w:val="20"/>
          <w:szCs w:val="20"/>
        </w:rPr>
        <w:t xml:space="preserve"> and </w:t>
      </w:r>
      <w:r>
        <w:rPr>
          <w:sz w:val="20"/>
          <w:szCs w:val="20"/>
        </w:rPr>
        <w:t>$</w:t>
      </w:r>
      <w:r>
        <w:rPr>
          <w:sz w:val="20"/>
          <w:szCs w:val="20"/>
        </w:rPr>
        <w:t>120,00</w:t>
      </w:r>
      <w:r>
        <w:rPr>
          <w:sz w:val="20"/>
          <w:szCs w:val="20"/>
        </w:rPr>
        <w:t>0</w:t>
      </w:r>
      <w:r>
        <w:rPr>
          <w:sz w:val="20"/>
          <w:szCs w:val="20"/>
        </w:rPr>
        <w:t xml:space="preserve"> for the years ended December 31, 2021 and 2020, respectively. As of December 31, 2021, t</w:t>
      </w:r>
      <w:r>
        <w:rPr>
          <w:sz w:val="20"/>
          <w:szCs w:val="20"/>
        </w:rPr>
        <w:t>he Company had</w:t>
      </w:r>
      <w:r>
        <w:rPr>
          <w:sz w:val="20"/>
          <w:szCs w:val="20"/>
        </w:rPr>
        <w:t xml:space="preserve"> </w:t>
      </w:r>
      <w:r>
        <w:rPr>
          <w:sz w:val="20"/>
          <w:szCs w:val="20"/>
        </w:rPr>
        <w:t>n</w:t>
      </w:r>
      <w:r>
        <w:rPr>
          <w:sz w:val="20"/>
          <w:szCs w:val="20"/>
        </w:rPr>
        <w:t>o</w:t>
      </w:r>
      <w:r>
        <w:rPr>
          <w:sz w:val="20"/>
          <w:szCs w:val="20"/>
        </w:rPr>
        <w:t xml:space="preserve"> liability outstanding to KAI as compared to liability of approximately </w:t>
      </w:r>
      <w:r>
        <w:rPr>
          <w:sz w:val="20"/>
          <w:szCs w:val="20"/>
        </w:rPr>
        <w:t>$</w:t>
      </w:r>
      <w:r>
        <w:rPr>
          <w:sz w:val="20"/>
          <w:szCs w:val="20"/>
        </w:rPr>
        <w:t>1,00</w:t>
      </w:r>
      <w:r>
        <w:rPr>
          <w:sz w:val="20"/>
          <w:szCs w:val="20"/>
        </w:rPr>
        <w:t>0</w:t>
      </w:r>
      <w:r>
        <w:rPr>
          <w:sz w:val="20"/>
          <w:szCs w:val="20"/>
        </w:rPr>
        <w:t xml:space="preserve"> as of December 31, 2020, which was included in accrued liability to related party in the consolidated balance sheet. The lease for the aircraft was renewed as o</w:t>
      </w:r>
      <w:r>
        <w:rPr>
          <w:sz w:val="20"/>
          <w:szCs w:val="20"/>
        </w:rPr>
        <w:t xml:space="preserve">f April 1, 2021 and terminated on August 31, 2021 and has been included in the ROU asset and operating lease liability on December 31, 2020. As a result of the lease termination, the Company incurred a loss of approximately </w:t>
      </w:r>
      <w:r>
        <w:rPr>
          <w:sz w:val="20"/>
          <w:szCs w:val="20"/>
        </w:rPr>
        <w:t>$</w:t>
      </w:r>
      <w:r>
        <w:rPr>
          <w:sz w:val="20"/>
          <w:szCs w:val="20"/>
        </w:rPr>
        <w:t>185,00</w:t>
      </w:r>
      <w:r>
        <w:rPr>
          <w:sz w:val="20"/>
          <w:szCs w:val="20"/>
        </w:rPr>
        <w:t>0</w:t>
      </w:r>
      <w:r>
        <w:rPr>
          <w:sz w:val="20"/>
          <w:szCs w:val="20"/>
        </w:rPr>
        <w:t xml:space="preserve"> which has been included</w:t>
      </w:r>
      <w:r>
        <w:rPr>
          <w:sz w:val="20"/>
          <w:szCs w:val="20"/>
        </w:rPr>
        <w:t xml:space="preserve"> in loss on lease termination, impairment and unoccupied lease charges in the December 31, 2021 consolidated statement of operations.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Company leases its corporate offices in New Jersey, its temporary housing for its foreign visitors, a printing and m</w:t>
      </w:r>
      <w:r>
        <w:rPr>
          <w:sz w:val="20"/>
          <w:szCs w:val="20"/>
        </w:rPr>
        <w:t xml:space="preserve">ailing facility, its backup operations center in Bagh, Pakistan and an apartment for temporary housing in Dubai, the UAE, from the Executive Chairman. The related party rent expense for the years ended December 31, 2021 and 2020 was approximately </w:t>
      </w:r>
      <w:r>
        <w:rPr>
          <w:sz w:val="20"/>
          <w:szCs w:val="20"/>
        </w:rPr>
        <w:t>$</w:t>
      </w:r>
      <w:r>
        <w:rPr>
          <w:sz w:val="20"/>
          <w:szCs w:val="20"/>
        </w:rPr>
        <w:t>186,000</w:t>
      </w:r>
      <w:r>
        <w:rPr>
          <w:sz w:val="20"/>
          <w:szCs w:val="20"/>
        </w:rPr>
        <w:t xml:space="preserve"> </w:t>
      </w:r>
      <w:r>
        <w:rPr>
          <w:sz w:val="20"/>
          <w:szCs w:val="20"/>
        </w:rPr>
        <w:t xml:space="preserve">and </w:t>
      </w:r>
      <w:r>
        <w:rPr>
          <w:sz w:val="20"/>
          <w:szCs w:val="20"/>
        </w:rPr>
        <w:t>$</w:t>
      </w:r>
      <w:r>
        <w:rPr>
          <w:sz w:val="20"/>
          <w:szCs w:val="20"/>
        </w:rPr>
        <w:t>185,00</w:t>
      </w:r>
      <w:r>
        <w:rPr>
          <w:sz w:val="20"/>
          <w:szCs w:val="20"/>
        </w:rPr>
        <w:t>0</w:t>
      </w:r>
      <w:r>
        <w:rPr>
          <w:sz w:val="20"/>
          <w:szCs w:val="20"/>
        </w:rPr>
        <w:t xml:space="preserve">, respectively, and is included in direct operating costs and general and administrative expense in the consolidated statements of operations. During the year ended December 31, 2021, the Company spent approximately </w:t>
      </w:r>
      <w:r>
        <w:rPr>
          <w:sz w:val="20"/>
          <w:szCs w:val="20"/>
        </w:rPr>
        <w:t>$</w:t>
      </w:r>
      <w:r>
        <w:rPr>
          <w:sz w:val="20"/>
          <w:szCs w:val="20"/>
        </w:rPr>
        <w:t>2</w:t>
      </w:r>
      <w:r>
        <w:rPr>
          <w:sz w:val="20"/>
          <w:szCs w:val="20"/>
        </w:rPr>
        <w:t xml:space="preserve">.0 million to upgrade the </w:t>
      </w:r>
      <w:r>
        <w:rPr>
          <w:sz w:val="20"/>
          <w:szCs w:val="20"/>
        </w:rPr>
        <w:t xml:space="preserve">related party leased facilities and the leased aircraft. Current assets-related party in the consolidated balance sheets includes security deposits and prepaid rent related to the leases of the Company’s corporate offices in the amount of approximately </w:t>
      </w:r>
      <w:r>
        <w:rPr>
          <w:sz w:val="20"/>
          <w:szCs w:val="20"/>
        </w:rPr>
        <w:t>$</w:t>
      </w:r>
      <w:r>
        <w:rPr>
          <w:sz w:val="20"/>
          <w:szCs w:val="20"/>
        </w:rPr>
        <w:t>13</w:t>
      </w:r>
      <w:r>
        <w:rPr>
          <w:sz w:val="20"/>
          <w:szCs w:val="20"/>
        </w:rPr>
        <w:t>,000</w:t>
      </w:r>
      <w:r>
        <w:rPr>
          <w:sz w:val="20"/>
          <w:szCs w:val="20"/>
        </w:rPr>
        <w:t xml:space="preserve"> </w:t>
      </w:r>
      <w:r>
        <w:rPr>
          <w:sz w:val="20"/>
          <w:szCs w:val="20"/>
        </w:rPr>
        <w:t>for both the years ended December 31, 2021 and 2020. On October 15, 2021, the Company entered into a one-year lease agreement with the Executive Chairman for an apartment for temporary housing in Dubai.</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Included in the ROU asset at December 31, 2021</w:t>
      </w:r>
      <w:r>
        <w:rPr>
          <w:sz w:val="20"/>
          <w:szCs w:val="20"/>
        </w:rPr>
        <w:t xml:space="preserve"> is approximately </w:t>
      </w:r>
      <w:r>
        <w:rPr>
          <w:sz w:val="20"/>
          <w:szCs w:val="20"/>
        </w:rPr>
        <w:t>$</w:t>
      </w:r>
      <w:r>
        <w:rPr>
          <w:sz w:val="20"/>
          <w:szCs w:val="20"/>
        </w:rPr>
        <w:t>483,00</w:t>
      </w:r>
      <w:r>
        <w:rPr>
          <w:sz w:val="20"/>
          <w:szCs w:val="20"/>
        </w:rPr>
        <w:t>0</w:t>
      </w:r>
      <w:r>
        <w:rPr>
          <w:sz w:val="20"/>
          <w:szCs w:val="20"/>
        </w:rPr>
        <w:t xml:space="preserve"> applicable to the related party leases. Included in the current and non-current operating lease liability at December 31, 2021 is approximately </w:t>
      </w:r>
      <w:r>
        <w:rPr>
          <w:sz w:val="20"/>
          <w:szCs w:val="20"/>
        </w:rPr>
        <w:t>$</w:t>
      </w:r>
      <w:r>
        <w:rPr>
          <w:sz w:val="20"/>
          <w:szCs w:val="20"/>
        </w:rPr>
        <w:t>174,00</w:t>
      </w:r>
      <w:r>
        <w:rPr>
          <w:sz w:val="20"/>
          <w:szCs w:val="20"/>
        </w:rPr>
        <w:t>0</w:t>
      </w:r>
      <w:r>
        <w:rPr>
          <w:sz w:val="20"/>
          <w:szCs w:val="20"/>
        </w:rPr>
        <w:t xml:space="preserve"> and </w:t>
      </w:r>
      <w:r>
        <w:rPr>
          <w:sz w:val="20"/>
          <w:szCs w:val="20"/>
        </w:rPr>
        <w:t>$</w:t>
      </w:r>
      <w:r>
        <w:rPr>
          <w:sz w:val="20"/>
          <w:szCs w:val="20"/>
        </w:rPr>
        <w:t>305,00</w:t>
      </w:r>
      <w:r>
        <w:rPr>
          <w:sz w:val="20"/>
          <w:szCs w:val="20"/>
        </w:rPr>
        <w:t>0</w:t>
      </w:r>
      <w:r>
        <w:rPr>
          <w:sz w:val="20"/>
          <w:szCs w:val="20"/>
        </w:rPr>
        <w:t>, respectively, applicable to the related party leases.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Includ</w:t>
      </w:r>
      <w:r>
        <w:rPr>
          <w:sz w:val="20"/>
          <w:szCs w:val="20"/>
        </w:rPr>
        <w:t xml:space="preserve">ed in the ROU asset at December 31, 2020 is approximately </w:t>
      </w:r>
      <w:r>
        <w:rPr>
          <w:sz w:val="20"/>
          <w:szCs w:val="20"/>
        </w:rPr>
        <w:t>$</w:t>
      </w:r>
      <w:r>
        <w:rPr>
          <w:sz w:val="20"/>
          <w:szCs w:val="20"/>
        </w:rPr>
        <w:t>283,00</w:t>
      </w:r>
      <w:r>
        <w:rPr>
          <w:sz w:val="20"/>
          <w:szCs w:val="20"/>
        </w:rPr>
        <w:t>0</w:t>
      </w:r>
      <w:r>
        <w:rPr>
          <w:sz w:val="20"/>
          <w:szCs w:val="20"/>
        </w:rPr>
        <w:t xml:space="preserve"> applicable to the related party leases. Included in the current and non-current operating lease liability at December 31, 2020 is approximately </w:t>
      </w:r>
      <w:r>
        <w:rPr>
          <w:sz w:val="20"/>
          <w:szCs w:val="20"/>
        </w:rPr>
        <w:t>$</w:t>
      </w:r>
      <w:r>
        <w:rPr>
          <w:sz w:val="20"/>
          <w:szCs w:val="20"/>
        </w:rPr>
        <w:t>202,000</w:t>
      </w:r>
      <w:r>
        <w:rPr>
          <w:sz w:val="20"/>
          <w:szCs w:val="20"/>
        </w:rPr>
        <w:t xml:space="preserve"> </w:t>
      </w:r>
      <w:r>
        <w:rPr>
          <w:sz w:val="20"/>
          <w:szCs w:val="20"/>
        </w:rPr>
        <w:t xml:space="preserve">and </w:t>
      </w:r>
      <w:r>
        <w:rPr>
          <w:sz w:val="20"/>
          <w:szCs w:val="20"/>
        </w:rPr>
        <w:t>$</w:t>
      </w:r>
      <w:r>
        <w:rPr>
          <w:sz w:val="20"/>
          <w:szCs w:val="20"/>
        </w:rPr>
        <w:t>92,00</w:t>
      </w:r>
      <w:r>
        <w:rPr>
          <w:sz w:val="20"/>
          <w:szCs w:val="20"/>
        </w:rPr>
        <w:t>0</w:t>
      </w:r>
      <w:r>
        <w:rPr>
          <w:sz w:val="20"/>
          <w:szCs w:val="20"/>
        </w:rPr>
        <w:t>, respectively, applicabl</w:t>
      </w:r>
      <w:r>
        <w:rPr>
          <w:sz w:val="20"/>
          <w:szCs w:val="20"/>
        </w:rPr>
        <w:t>e to the related party leases.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During 2020, a New Jersey corporation, talkMD Clinicians, PA (“talkMD”), was formed by the wife of the Executive Chairman, who is a licensed physician, to provide telehealth services. talkMD was determined to be a variable </w:t>
      </w:r>
      <w:r>
        <w:rPr>
          <w:sz w:val="20"/>
          <w:szCs w:val="20"/>
        </w:rPr>
        <w:t xml:space="preserve">interest entity (“VIE”) for financial reporting purposes because the entity will be controlled by the Company. As of December 31, 2021, talkMD had not yet commenced operations. During the year ended December 31, 2021, the Company made arrangements to have </w:t>
      </w:r>
      <w:r>
        <w:rPr>
          <w:sz w:val="20"/>
          <w:szCs w:val="20"/>
        </w:rPr>
        <w:t xml:space="preserve">the income tax returns prepared for talkMD and will advance the funds for the required taxes. The aggregate amount advanced was approximately </w:t>
      </w:r>
      <w:r>
        <w:rPr>
          <w:sz w:val="20"/>
          <w:szCs w:val="20"/>
        </w:rPr>
        <w:t>$</w:t>
      </w:r>
      <w:r>
        <w:rPr>
          <w:sz w:val="20"/>
          <w:szCs w:val="20"/>
        </w:rPr>
        <w:t>3,50</w:t>
      </w:r>
      <w:r>
        <w:rPr>
          <w:sz w:val="20"/>
          <w:szCs w:val="20"/>
        </w:rPr>
        <w:t>0</w:t>
      </w:r>
      <w:r>
        <w:rPr>
          <w:sz w:val="20"/>
          <w:szCs w:val="20"/>
        </w:rPr>
        <w:t>.</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72335675"/>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14.</w:t>
      </w:r>
      <w:r>
        <w:rPr>
          <w:b/>
          <w:bCs/>
          <w:caps/>
          <w:sz w:val="20"/>
          <w:szCs w:val="20"/>
        </w:rPr>
        <w:t xml:space="preserve"> </w:t>
      </w:r>
      <w:r>
        <w:rPr>
          <w:b/>
          <w:bCs/>
          <w:caps/>
          <w:sz w:val="20"/>
          <w:szCs w:val="20"/>
        </w:rPr>
        <w:t>EMPLOYEE BENEFIT PLAN</w:t>
      </w:r>
      <w:r>
        <w:rPr>
          <w:b/>
          <w:bCs/>
          <w:caps/>
          <w:sz w:val="20"/>
          <w:szCs w:val="20"/>
        </w:rPr>
        <w: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 xml:space="preserve">Company has qualified 401(k) plans covering all U.S. employees who have completed one month of service. The plans provide for matching contributions by the Company for employees of the Company and most U.S. subsidiaries, although there is no match for CPM </w:t>
      </w:r>
      <w:r>
        <w:rPr>
          <w:sz w:val="20"/>
          <w:szCs w:val="20"/>
        </w:rPr>
        <w:t xml:space="preserve">employees. Employer contributions to the plans for the years ended December 31, 2021 and 2020 were approximately </w:t>
      </w:r>
      <w:r>
        <w:rPr>
          <w:sz w:val="20"/>
          <w:szCs w:val="20"/>
        </w:rPr>
        <w:t>$</w:t>
      </w:r>
      <w:r>
        <w:rPr>
          <w:sz w:val="20"/>
          <w:szCs w:val="20"/>
        </w:rPr>
        <w:t>697,00</w:t>
      </w:r>
      <w:r>
        <w:rPr>
          <w:sz w:val="20"/>
          <w:szCs w:val="20"/>
        </w:rPr>
        <w:t>0</w:t>
      </w:r>
      <w:r>
        <w:rPr>
          <w:sz w:val="20"/>
          <w:szCs w:val="20"/>
        </w:rPr>
        <w:t xml:space="preserve"> and </w:t>
      </w:r>
      <w:r>
        <w:rPr>
          <w:sz w:val="20"/>
          <w:szCs w:val="20"/>
        </w:rPr>
        <w:t>$</w:t>
      </w:r>
      <w:r>
        <w:rPr>
          <w:sz w:val="20"/>
          <w:szCs w:val="20"/>
        </w:rPr>
        <w:t>641,00</w:t>
      </w:r>
      <w:r>
        <w:rPr>
          <w:sz w:val="20"/>
          <w:szCs w:val="20"/>
        </w:rPr>
        <w:t>0</w:t>
      </w:r>
      <w:r>
        <w:rPr>
          <w:sz w:val="20"/>
          <w:szCs w:val="20"/>
        </w:rPr>
        <w:t>, respectively.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Additionally, the Company has a defined contribution retirement plan covering all employees located in o</w:t>
      </w:r>
      <w:r>
        <w:rPr>
          <w:sz w:val="20"/>
          <w:szCs w:val="20"/>
        </w:rPr>
        <w:t>ur Pakistan Offices who have completed three months of service.</w:t>
      </w:r>
      <w:r>
        <w:rPr>
          <w:sz w:val="20"/>
          <w:szCs w:val="20"/>
        </w:rPr>
        <w:t xml:space="preserve"> </w:t>
      </w:r>
      <w:r>
        <w:rPr>
          <w:sz w:val="20"/>
          <w:szCs w:val="20"/>
        </w:rPr>
        <w:t>The plan provides for monthly contributions by the Company which are equal to 10% of qualified employees’ basic monthly compensation</w:t>
      </w:r>
      <w:r>
        <w:rPr>
          <w:sz w:val="20"/>
          <w:szCs w:val="20"/>
        </w:rPr>
        <w:t>.</w:t>
      </w:r>
      <w:r>
        <w:rPr>
          <w:sz w:val="20"/>
          <w:szCs w:val="20"/>
        </w:rPr>
        <w:t xml:space="preserve"> The Company’s contributions for the years ended December 3</w:t>
      </w:r>
      <w:r>
        <w:rPr>
          <w:sz w:val="20"/>
          <w:szCs w:val="20"/>
        </w:rPr>
        <w:t xml:space="preserve">1, 2021 and 2020 were approximately </w:t>
      </w:r>
      <w:r>
        <w:rPr>
          <w:sz w:val="20"/>
          <w:szCs w:val="20"/>
        </w:rPr>
        <w:t>$</w:t>
      </w:r>
      <w:r>
        <w:rPr>
          <w:sz w:val="20"/>
          <w:szCs w:val="20"/>
        </w:rPr>
        <w:t>479,00</w:t>
      </w:r>
      <w:r>
        <w:rPr>
          <w:sz w:val="20"/>
          <w:szCs w:val="20"/>
        </w:rPr>
        <w:t>0</w:t>
      </w:r>
      <w:r>
        <w:rPr>
          <w:sz w:val="20"/>
          <w:szCs w:val="20"/>
        </w:rPr>
        <w:t xml:space="preserve"> and </w:t>
      </w:r>
      <w:r>
        <w:rPr>
          <w:sz w:val="20"/>
          <w:szCs w:val="20"/>
        </w:rPr>
        <w:t>$</w:t>
      </w:r>
      <w:r>
        <w:rPr>
          <w:sz w:val="20"/>
          <w:szCs w:val="20"/>
        </w:rPr>
        <w:t>341,00</w:t>
      </w:r>
      <w:r>
        <w:rPr>
          <w:sz w:val="20"/>
          <w:szCs w:val="20"/>
        </w:rPr>
        <w:t>0</w:t>
      </w:r>
      <w:r>
        <w:rPr>
          <w:sz w:val="20"/>
          <w:szCs w:val="20"/>
        </w:rPr>
        <w:t>, respectively.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Company maintains a defined contribution retirement plan covering all employees in Sri Lanka. The employee and employer contribut</w:t>
      </w:r>
      <w:r>
        <w:rPr>
          <w:sz w:val="20"/>
          <w:szCs w:val="20"/>
        </w:rPr>
        <w:t>e</w:t>
      </w:r>
      <w:r>
        <w:rPr>
          <w:sz w:val="20"/>
          <w:szCs w:val="20"/>
        </w:rPr>
        <w:t xml:space="preserve"> </w:t>
      </w:r>
      <w:r>
        <w:rPr>
          <w:sz w:val="20"/>
          <w:szCs w:val="20"/>
        </w:rPr>
        <w:t>8</w:t>
      </w:r>
      <w:r>
        <w:rPr>
          <w:sz w:val="20"/>
          <w:szCs w:val="20"/>
        </w:rPr>
        <w:t>% and</w:t>
      </w:r>
      <w:r>
        <w:rPr>
          <w:sz w:val="20"/>
          <w:szCs w:val="20"/>
        </w:rPr>
        <w:t xml:space="preserve"> </w:t>
      </w:r>
      <w:r>
        <w:rPr>
          <w:sz w:val="20"/>
          <w:szCs w:val="20"/>
        </w:rPr>
        <w:t>1</w:t>
      </w:r>
      <w:r>
        <w:rPr>
          <w:sz w:val="20"/>
          <w:szCs w:val="20"/>
        </w:rPr>
        <w:t>2</w:t>
      </w:r>
      <w:r>
        <w:rPr>
          <w:sz w:val="20"/>
          <w:szCs w:val="20"/>
        </w:rPr>
        <w:t>%, respectively, of the employee’s gr</w:t>
      </w:r>
      <w:r>
        <w:rPr>
          <w:sz w:val="20"/>
          <w:szCs w:val="20"/>
        </w:rPr>
        <w:t xml:space="preserve">oss salary. The Company’s contribution for the years ended December 31, 2021 and 2020 was approximately </w:t>
      </w:r>
      <w:r>
        <w:rPr>
          <w:sz w:val="20"/>
          <w:szCs w:val="20"/>
        </w:rPr>
        <w:t>$</w:t>
      </w:r>
      <w:r>
        <w:rPr>
          <w:sz w:val="20"/>
          <w:szCs w:val="20"/>
        </w:rPr>
        <w:t>35,00</w:t>
      </w:r>
      <w:r>
        <w:rPr>
          <w:sz w:val="20"/>
          <w:szCs w:val="20"/>
        </w:rPr>
        <w:t>0</w:t>
      </w:r>
      <w:r>
        <w:rPr>
          <w:sz w:val="20"/>
          <w:szCs w:val="20"/>
        </w:rPr>
        <w:t xml:space="preserve"> and </w:t>
      </w:r>
      <w:r>
        <w:rPr>
          <w:sz w:val="20"/>
          <w:szCs w:val="20"/>
        </w:rPr>
        <w:t>$</w:t>
      </w:r>
      <w:r>
        <w:rPr>
          <w:sz w:val="20"/>
          <w:szCs w:val="20"/>
        </w:rPr>
        <w:t>37,00</w:t>
      </w:r>
      <w:r>
        <w:rPr>
          <w:sz w:val="20"/>
          <w:szCs w:val="20"/>
        </w:rPr>
        <w:t>0</w:t>
      </w:r>
      <w:r>
        <w:rPr>
          <w:sz w:val="20"/>
          <w:szCs w:val="20"/>
        </w:rPr>
        <w:t>, respectively. The contributions are required to be deposited with the Employees’ Provident Fund Organization, a government owned en</w:t>
      </w:r>
      <w:r>
        <w:rPr>
          <w:sz w:val="20"/>
          <w:szCs w:val="20"/>
        </w:rPr>
        <w:t>tity.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15.</w:t>
      </w:r>
      <w:r>
        <w:rPr>
          <w:b/>
          <w:bCs/>
          <w:caps/>
          <w:sz w:val="20"/>
          <w:szCs w:val="20"/>
        </w:rPr>
        <w:t xml:space="preserve"> </w:t>
      </w:r>
      <w:r>
        <w:rPr>
          <w:b/>
          <w:bCs/>
          <w:caps/>
          <w:sz w:val="20"/>
          <w:szCs w:val="20"/>
        </w:rPr>
        <w:t>STOCK-BASED COMPENSATIO</w:t>
      </w:r>
      <w:r>
        <w:rPr>
          <w:b/>
          <w:bCs/>
          <w:caps/>
          <w:sz w:val="20"/>
          <w:szCs w:val="20"/>
        </w:rPr>
        <w:t>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In April 2014, the Company adopted the Medical Transcription Billing, Corp. 2014 Equity Incentive Plan (the “2014 Plan”), reserving a total of</w:t>
      </w:r>
      <w:r>
        <w:rPr>
          <w:sz w:val="20"/>
          <w:szCs w:val="20"/>
        </w:rPr>
        <w:t xml:space="preserve"> </w:t>
      </w:r>
      <w:r>
        <w:rPr>
          <w:sz w:val="20"/>
          <w:szCs w:val="20"/>
        </w:rPr>
        <w:t>1,351,00</w:t>
      </w:r>
      <w:r>
        <w:rPr>
          <w:sz w:val="20"/>
          <w:szCs w:val="20"/>
        </w:rPr>
        <w:t>0</w:t>
      </w:r>
      <w:r>
        <w:rPr>
          <w:sz w:val="20"/>
          <w:szCs w:val="20"/>
        </w:rPr>
        <w:t xml:space="preserve"> shares of common stock for grants to employees, officers, direct</w:t>
      </w:r>
      <w:r>
        <w:rPr>
          <w:sz w:val="20"/>
          <w:szCs w:val="20"/>
        </w:rPr>
        <w:t>ors and consultants. During 2017, the 2014 Plan was amended whereby an additional</w:t>
      </w:r>
      <w:r>
        <w:rPr>
          <w:sz w:val="20"/>
          <w:szCs w:val="20"/>
        </w:rPr>
        <w:t xml:space="preserve"> </w:t>
      </w:r>
      <w:r>
        <w:rPr>
          <w:sz w:val="20"/>
          <w:szCs w:val="20"/>
        </w:rPr>
        <w:t>1,500,00</w:t>
      </w:r>
      <w:r>
        <w:rPr>
          <w:sz w:val="20"/>
          <w:szCs w:val="20"/>
        </w:rPr>
        <w:t>0</w:t>
      </w:r>
      <w:r>
        <w:rPr>
          <w:sz w:val="20"/>
          <w:szCs w:val="20"/>
        </w:rPr>
        <w:t xml:space="preserve"> shares of common stock and</w:t>
      </w:r>
      <w:r>
        <w:rPr>
          <w:sz w:val="20"/>
          <w:szCs w:val="20"/>
        </w:rPr>
        <w:t xml:space="preserve"> </w:t>
      </w:r>
      <w:r>
        <w:rPr>
          <w:sz w:val="20"/>
          <w:szCs w:val="20"/>
        </w:rPr>
        <w:t>100,00</w:t>
      </w:r>
      <w:r>
        <w:rPr>
          <w:sz w:val="20"/>
          <w:szCs w:val="20"/>
        </w:rPr>
        <w:t>0</w:t>
      </w:r>
      <w:r>
        <w:rPr>
          <w:sz w:val="20"/>
          <w:szCs w:val="20"/>
        </w:rPr>
        <w:t xml:space="preserve"> shares of Series A Preferred Stock were added to the plan for future issuance. During 2018, an additional</w:t>
      </w:r>
      <w:r>
        <w:rPr>
          <w:sz w:val="20"/>
          <w:szCs w:val="20"/>
        </w:rPr>
        <w:t xml:space="preserve"> </w:t>
      </w:r>
      <w:r>
        <w:rPr>
          <w:sz w:val="20"/>
          <w:szCs w:val="20"/>
        </w:rPr>
        <w:t>200,00</w:t>
      </w:r>
      <w:r>
        <w:rPr>
          <w:sz w:val="20"/>
          <w:szCs w:val="20"/>
        </w:rPr>
        <w:t>0</w:t>
      </w:r>
      <w:r>
        <w:rPr>
          <w:sz w:val="20"/>
          <w:szCs w:val="20"/>
        </w:rPr>
        <w:t xml:space="preserve"> shares of Serie</w:t>
      </w:r>
      <w:r>
        <w:rPr>
          <w:sz w:val="20"/>
          <w:szCs w:val="20"/>
        </w:rPr>
        <w:t>s A Preferred Stock was added to the plan for future issuance. During 2020, an additional</w:t>
      </w:r>
      <w:r>
        <w:rPr>
          <w:sz w:val="20"/>
          <w:szCs w:val="20"/>
        </w:rPr>
        <w:t xml:space="preserve"> </w:t>
      </w:r>
      <w:r>
        <w:rPr>
          <w:sz w:val="20"/>
          <w:szCs w:val="20"/>
        </w:rPr>
        <w:t>2,000,00</w:t>
      </w:r>
      <w:r>
        <w:rPr>
          <w:sz w:val="20"/>
          <w:szCs w:val="20"/>
        </w:rPr>
        <w:t>0</w:t>
      </w:r>
      <w:r>
        <w:rPr>
          <w:sz w:val="20"/>
          <w:szCs w:val="20"/>
        </w:rPr>
        <w:t xml:space="preserve"> shares of common stock and an additional</w:t>
      </w:r>
      <w:r>
        <w:rPr>
          <w:sz w:val="20"/>
          <w:szCs w:val="20"/>
        </w:rPr>
        <w:t xml:space="preserve"> </w:t>
      </w:r>
      <w:r>
        <w:rPr>
          <w:sz w:val="20"/>
          <w:szCs w:val="20"/>
        </w:rPr>
        <w:t>300,00</w:t>
      </w:r>
      <w:r>
        <w:rPr>
          <w:sz w:val="20"/>
          <w:szCs w:val="20"/>
        </w:rPr>
        <w:t>0</w:t>
      </w:r>
      <w:r>
        <w:rPr>
          <w:sz w:val="20"/>
          <w:szCs w:val="20"/>
        </w:rPr>
        <w:t xml:space="preserve"> shares of Series A Preferred Stock were added to the 2014 Plan for future issuance. The 2014 Plan was amend</w:t>
      </w:r>
      <w:r>
        <w:rPr>
          <w:sz w:val="20"/>
          <w:szCs w:val="20"/>
        </w:rPr>
        <w:t>ed and restated on April 14, 2017 (the “Amended and Restated Equity Incentive Plan”). As of December 31, 2021,</w:t>
      </w:r>
      <w:r>
        <w:rPr>
          <w:sz w:val="20"/>
          <w:szCs w:val="20"/>
        </w:rPr>
        <w:t xml:space="preserve"> </w:t>
      </w:r>
      <w:r>
        <w:rPr>
          <w:sz w:val="20"/>
          <w:szCs w:val="20"/>
        </w:rPr>
        <w:t>1,191,38</w:t>
      </w:r>
      <w:r>
        <w:rPr>
          <w:sz w:val="20"/>
          <w:szCs w:val="20"/>
        </w:rPr>
        <w:t>3</w:t>
      </w:r>
      <w:r>
        <w:rPr>
          <w:sz w:val="20"/>
          <w:szCs w:val="20"/>
        </w:rPr>
        <w:t xml:space="preserve"> shares of common stock and</w:t>
      </w:r>
      <w:r>
        <w:rPr>
          <w:sz w:val="20"/>
          <w:szCs w:val="20"/>
        </w:rPr>
        <w:t xml:space="preserve"> </w:t>
      </w:r>
      <w:r>
        <w:rPr>
          <w:sz w:val="20"/>
          <w:szCs w:val="20"/>
        </w:rPr>
        <w:t>320,06</w:t>
      </w:r>
      <w:r>
        <w:rPr>
          <w:sz w:val="20"/>
          <w:szCs w:val="20"/>
        </w:rPr>
        <w:t>5</w:t>
      </w:r>
      <w:r>
        <w:rPr>
          <w:sz w:val="20"/>
          <w:szCs w:val="20"/>
        </w:rPr>
        <w:t xml:space="preserve"> shares of Series A Preferred Stock are available for grant. Permissible awards include incentive sto</w:t>
      </w:r>
      <w:r>
        <w:rPr>
          <w:sz w:val="20"/>
          <w:szCs w:val="20"/>
        </w:rPr>
        <w:t>ck options, non-statutory stock options, stock appreciation rights, restricted stock, RSUs, performance stock and cash-settled awards and other stock-based awards in the discretion of the Compensation Committee of the Board of Directors including unrestric</w:t>
      </w:r>
      <w:r>
        <w:rPr>
          <w:sz w:val="20"/>
          <w:szCs w:val="20"/>
        </w:rPr>
        <w:t>ted stock grants.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equity based RSUs contain a provision in which the units shall immediately vest and become converted into common shares at the rate of one common share per RSU, immediately after a change in control, as defined in the award agreemen</w:t>
      </w:r>
      <w:r>
        <w:rPr>
          <w:sz w:val="20"/>
          <w:szCs w:val="20"/>
        </w:rPr>
        <w:t>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sz w:val="20"/>
          <w:szCs w:val="20"/>
        </w:rPr>
      </w:pPr>
      <w:r>
        <w:rPr>
          <w:b/>
          <w:bCs/>
          <w:i/>
          <w:iCs/>
          <w:sz w:val="20"/>
          <w:szCs w:val="20"/>
          <w:u w:val="single"/>
        </w:rPr>
        <w:t>Common stock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During 2020,</w:t>
      </w:r>
      <w:r>
        <w:rPr>
          <w:sz w:val="20"/>
          <w:szCs w:val="20"/>
        </w:rPr>
        <w:t xml:space="preserve"> </w:t>
      </w:r>
      <w:r>
        <w:rPr>
          <w:sz w:val="20"/>
          <w:szCs w:val="20"/>
        </w:rPr>
        <w:t>788,95</w:t>
      </w:r>
      <w:r>
        <w:rPr>
          <w:sz w:val="20"/>
          <w:szCs w:val="20"/>
        </w:rPr>
        <w:t>5</w:t>
      </w:r>
      <w:r>
        <w:rPr>
          <w:sz w:val="20"/>
          <w:szCs w:val="20"/>
        </w:rPr>
        <w:t xml:space="preserve"> RSUs of common stock were granted to employees and independent contractors to vest at different dates during the years 2020 and 2021. Included therein were</w:t>
      </w:r>
      <w:r>
        <w:rPr>
          <w:sz w:val="20"/>
          <w:szCs w:val="20"/>
        </w:rPr>
        <w:t xml:space="preserve"> </w:t>
      </w:r>
      <w:r>
        <w:rPr>
          <w:sz w:val="20"/>
          <w:szCs w:val="20"/>
        </w:rPr>
        <w:t>32,00</w:t>
      </w:r>
      <w:r>
        <w:rPr>
          <w:sz w:val="20"/>
          <w:szCs w:val="20"/>
        </w:rPr>
        <w:t>0</w:t>
      </w:r>
      <w:r>
        <w:rPr>
          <w:sz w:val="20"/>
          <w:szCs w:val="20"/>
        </w:rPr>
        <w:t xml:space="preserve"> RSUs of common stock granted over two years equally </w:t>
      </w:r>
      <w:r>
        <w:rPr>
          <w:sz w:val="20"/>
          <w:szCs w:val="20"/>
        </w:rPr>
        <w:t>to the four outside members of the Board of Directors with</w:t>
      </w:r>
      <w:r>
        <w:rPr>
          <w:sz w:val="20"/>
          <w:szCs w:val="20"/>
        </w:rPr>
        <w:t xml:space="preserve"> </w:t>
      </w:r>
      <w:r>
        <w:rPr>
          <w:sz w:val="20"/>
          <w:szCs w:val="20"/>
        </w:rPr>
        <w:t>2</w:t>
      </w:r>
      <w:r>
        <w:rPr>
          <w:sz w:val="20"/>
          <w:szCs w:val="20"/>
        </w:rPr>
        <w:t>5</w:t>
      </w:r>
      <w:r>
        <w:rPr>
          <w:sz w:val="20"/>
          <w:szCs w:val="20"/>
        </w:rPr>
        <w:t>% of the shares vesting every six months.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During 2021,</w:t>
      </w:r>
      <w:r>
        <w:rPr>
          <w:sz w:val="20"/>
          <w:szCs w:val="20"/>
        </w:rPr>
        <w:t xml:space="preserve"> </w:t>
      </w:r>
      <w:r>
        <w:rPr>
          <w:sz w:val="20"/>
          <w:szCs w:val="20"/>
        </w:rPr>
        <w:t>628,36</w:t>
      </w:r>
      <w:r>
        <w:rPr>
          <w:sz w:val="20"/>
          <w:szCs w:val="20"/>
        </w:rPr>
        <w:t>1</w:t>
      </w:r>
      <w:r>
        <w:rPr>
          <w:sz w:val="20"/>
          <w:szCs w:val="20"/>
        </w:rPr>
        <w:t xml:space="preserve"> </w:t>
      </w:r>
      <w:r>
        <w:rPr>
          <w:sz w:val="20"/>
          <w:szCs w:val="20"/>
        </w:rPr>
        <w:t>RSUs of common stock were granted to employees and independent contractors to vest at different dates during the years 2021, 2022 and 2023. Included therein were</w:t>
      </w:r>
      <w:r>
        <w:rPr>
          <w:sz w:val="20"/>
          <w:szCs w:val="20"/>
        </w:rPr>
        <w:t xml:space="preserve"> </w:t>
      </w:r>
      <w:r>
        <w:rPr>
          <w:sz w:val="20"/>
          <w:szCs w:val="20"/>
        </w:rPr>
        <w:t>44,00</w:t>
      </w:r>
      <w:r>
        <w:rPr>
          <w:sz w:val="20"/>
          <w:szCs w:val="20"/>
        </w:rPr>
        <w:t>0</w:t>
      </w:r>
      <w:r>
        <w:rPr>
          <w:sz w:val="20"/>
          <w:szCs w:val="20"/>
        </w:rPr>
        <w:t xml:space="preserve"> RSUs of common stock granted over two years equally to the four outside members of the </w:t>
      </w:r>
      <w:r>
        <w:rPr>
          <w:sz w:val="20"/>
          <w:szCs w:val="20"/>
        </w:rPr>
        <w:t>Board of Directors with</w:t>
      </w:r>
      <w:r>
        <w:rPr>
          <w:sz w:val="20"/>
          <w:szCs w:val="20"/>
        </w:rPr>
        <w:t xml:space="preserve"> </w:t>
      </w:r>
      <w:r>
        <w:rPr>
          <w:sz w:val="20"/>
          <w:szCs w:val="20"/>
        </w:rPr>
        <w:t>2</w:t>
      </w:r>
      <w:r>
        <w:rPr>
          <w:sz w:val="20"/>
          <w:szCs w:val="20"/>
        </w:rPr>
        <w:t>5</w:t>
      </w:r>
      <w:r>
        <w:rPr>
          <w:sz w:val="20"/>
          <w:szCs w:val="20"/>
        </w:rPr>
        <w:t>% of the shares vesting every six months.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74731317"/>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following table summarizes the RSU and restricted stock transactions related to the common and Preferred Stock under the Amended and Restated Incentive Plan for the years</w:t>
      </w:r>
      <w:r>
        <w:rPr>
          <w:sz w:val="20"/>
          <w:szCs w:val="20"/>
        </w:rPr>
        <w:t xml:space="preserve"> ended December 31, 2021 and 2020:</w:t>
      </w:r>
    </w:p>
    <w:p w:rsidR="00000000" w:rsidRDefault="00B30BA7">
      <w:pPr>
        <w:pStyle w:val="a3"/>
        <w:spacing w:before="0" w:beforeAutospacing="0" w:after="0" w:afterAutospacing="0"/>
        <w:jc w:val="both"/>
        <w:rPr>
          <w:sz w:val="20"/>
          <w:szCs w:val="20"/>
        </w:rPr>
      </w:pPr>
      <w:r>
        <w:rPr>
          <w:sz w:val="20"/>
          <w:szCs w:val="20"/>
        </w:rPr>
        <w:t> </w:t>
      </w:r>
      <w:r>
        <w:rPr>
          <w:vanish/>
          <w:sz w:val="20"/>
          <w:szCs w:val="20"/>
        </w:rPr>
        <w:t>DISCLOSURE OF SHARE-BASED COMPENSATION ARRANGEMENTS BY SHARE-BASED PAYMENT AWAR</w:t>
      </w:r>
      <w:r>
        <w:rPr>
          <w:vanish/>
          <w:sz w:val="20"/>
          <w:szCs w:val="20"/>
        </w:rPr>
        <w:t>D</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Common Stock</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Preferred Stock</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Outstanding and unvested shares at January 1, 2021</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382,435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44,000</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628,361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50,010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(491,025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(60,010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Forfeited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(101,732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Outstanding and unvested shares at December 31, 2021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418,039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34,000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Outstanding </w:t>
            </w:r>
            <w:r>
              <w:rPr>
                <w:rFonts w:eastAsia="Times New Roman"/>
                <w:sz w:val="20"/>
                <w:szCs w:val="20"/>
              </w:rPr>
              <w:t>and unvested shares at January 1, 2020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451,084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788,955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63,579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(752,375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(63,579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Forfeited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(105,229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Outstanding </w:t>
            </w:r>
            <w:r>
              <w:rPr>
                <w:rFonts w:eastAsia="Times New Roman"/>
                <w:sz w:val="20"/>
                <w:szCs w:val="20"/>
              </w:rPr>
              <w:t>and unvested shares at December 31, 2020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382,435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color w:val="FF0000"/>
          <w:sz w:val="20"/>
          <w:szCs w:val="20"/>
        </w:rPr>
      </w:pPr>
      <w:r>
        <w:rPr>
          <w:color w:val="FF0000"/>
          <w:sz w:val="20"/>
          <w:szCs w:val="20"/>
        </w:rPr>
        <w:t> </w:t>
      </w:r>
    </w:p>
    <w:p w:rsidR="00000000" w:rsidRDefault="00B30BA7">
      <w:pPr>
        <w:pStyle w:val="a3"/>
        <w:spacing w:before="0" w:beforeAutospacing="0" w:after="0" w:afterAutospacing="0"/>
        <w:jc w:val="both"/>
        <w:rPr>
          <w:sz w:val="20"/>
          <w:szCs w:val="20"/>
        </w:rPr>
      </w:pPr>
      <w:r>
        <w:rPr>
          <w:sz w:val="20"/>
          <w:szCs w:val="20"/>
        </w:rPr>
        <w:t xml:space="preserve">As of December 31, 2021, and 2020, there was approximately </w:t>
      </w:r>
      <w:r>
        <w:rPr>
          <w:sz w:val="20"/>
          <w:szCs w:val="20"/>
        </w:rPr>
        <w:t>$</w:t>
      </w:r>
      <w:r>
        <w:rPr>
          <w:sz w:val="20"/>
          <w:szCs w:val="20"/>
        </w:rPr>
        <w:t>3.</w:t>
      </w:r>
      <w:r>
        <w:rPr>
          <w:sz w:val="20"/>
          <w:szCs w:val="20"/>
        </w:rPr>
        <w:t>7</w:t>
      </w:r>
      <w:r>
        <w:rPr>
          <w:sz w:val="20"/>
          <w:szCs w:val="20"/>
        </w:rPr>
        <w:t xml:space="preserve"> million and </w:t>
      </w:r>
      <w:r>
        <w:rPr>
          <w:sz w:val="20"/>
          <w:szCs w:val="20"/>
        </w:rPr>
        <w:t>$</w:t>
      </w:r>
      <w:r>
        <w:rPr>
          <w:sz w:val="20"/>
          <w:szCs w:val="20"/>
        </w:rPr>
        <w:t>2.</w:t>
      </w:r>
      <w:r>
        <w:rPr>
          <w:sz w:val="20"/>
          <w:szCs w:val="20"/>
        </w:rPr>
        <w:t>5</w:t>
      </w:r>
      <w:r>
        <w:rPr>
          <w:sz w:val="20"/>
          <w:szCs w:val="20"/>
        </w:rPr>
        <w:t xml:space="preserve"> </w:t>
      </w:r>
      <w:r>
        <w:rPr>
          <w:sz w:val="20"/>
          <w:szCs w:val="20"/>
        </w:rPr>
        <w:t>million, respectively, of total unrecognized compensation cost related to the common stock RSUs classified as equity that will be expensed through 2024. There was no unrecognized compensation cost related to the Preferred Stock RSUs.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Of the total outstan</w:t>
      </w:r>
      <w:r>
        <w:rPr>
          <w:sz w:val="20"/>
          <w:szCs w:val="20"/>
        </w:rPr>
        <w:t>ding and unvested common stock RSUs at December 31, 2021,</w:t>
      </w:r>
      <w:r>
        <w:rPr>
          <w:sz w:val="20"/>
          <w:szCs w:val="20"/>
        </w:rPr>
        <w:t xml:space="preserve"> </w:t>
      </w:r>
      <w:r>
        <w:rPr>
          <w:sz w:val="20"/>
          <w:szCs w:val="20"/>
        </w:rPr>
        <w:t>331,03</w:t>
      </w:r>
      <w:r>
        <w:rPr>
          <w:sz w:val="20"/>
          <w:szCs w:val="20"/>
        </w:rPr>
        <w:t>9</w:t>
      </w:r>
      <w:r>
        <w:rPr>
          <w:sz w:val="20"/>
          <w:szCs w:val="20"/>
        </w:rPr>
        <w:t xml:space="preserve"> RSUs are classified as equity and</w:t>
      </w:r>
      <w:r>
        <w:rPr>
          <w:sz w:val="20"/>
          <w:szCs w:val="20"/>
        </w:rPr>
        <w:t xml:space="preserve"> </w:t>
      </w:r>
      <w:r>
        <w:rPr>
          <w:sz w:val="20"/>
          <w:szCs w:val="20"/>
        </w:rPr>
        <w:t>87,00</w:t>
      </w:r>
      <w:r>
        <w:rPr>
          <w:sz w:val="20"/>
          <w:szCs w:val="20"/>
        </w:rPr>
        <w:t>0</w:t>
      </w:r>
      <w:r>
        <w:rPr>
          <w:sz w:val="20"/>
          <w:szCs w:val="20"/>
        </w:rPr>
        <w:t xml:space="preserve"> RSUs are classified as a liability. All of the Preferred Stock RSUs are classified as equity.</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following table summarizes the share activity dur</w:t>
      </w:r>
      <w:r>
        <w:rPr>
          <w:sz w:val="20"/>
          <w:szCs w:val="20"/>
        </w:rPr>
        <w:t>ing the years ended December 31, 2021 and 2020 and the amount of common and preferred shares available for grant at December 31, 2021 and 2020:</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SCHEDULE OF SHARE-BASED COMPENSATION, RESTRICTED STOCK UNITS AWARD ACTIVIT</w:t>
      </w:r>
      <w:r>
        <w:rPr>
          <w:vanish/>
          <w:sz w:val="20"/>
          <w:szCs w:val="20"/>
        </w:rPr>
        <w:t>Y</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Common Stock</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Preferred Stock</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Shares available for grant at January 1, 2021</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1,718,012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370,075</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RSUs granted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(628,361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(50,010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RSUs </w:t>
            </w:r>
            <w:r>
              <w:rPr>
                <w:rFonts w:eastAsia="Times New Roman"/>
                <w:sz w:val="20"/>
                <w:szCs w:val="20"/>
              </w:rPr>
              <w:t>forfeited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101,732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Shares available for grant at December 31, 2021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1,191,383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320,065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Shares available for grant at January 1, 2020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401,738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133,654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Additional </w:t>
            </w:r>
            <w:r>
              <w:rPr>
                <w:rFonts w:eastAsia="Times New Roman"/>
                <w:sz w:val="20"/>
                <w:szCs w:val="20"/>
              </w:rPr>
              <w:t>shares available for grant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2,000,000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300,000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RSUs granted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(788,955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(63,579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RSUs forfeited</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105,229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Shares available for grant at December 31, 2020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1,718,012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370,075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color w:val="FF0000"/>
          <w:sz w:val="20"/>
          <w:szCs w:val="20"/>
        </w:rPr>
      </w:pPr>
      <w:r>
        <w:rPr>
          <w:color w:val="FF0000"/>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 xml:space="preserve">liability for the cash-settled awards and accrued payroll taxes on equity awards was approximately </w:t>
      </w:r>
      <w:r>
        <w:rPr>
          <w:sz w:val="20"/>
          <w:szCs w:val="20"/>
        </w:rPr>
        <w:t>$</w:t>
      </w:r>
      <w:r>
        <w:rPr>
          <w:sz w:val="20"/>
          <w:szCs w:val="20"/>
        </w:rPr>
        <w:t>1</w:t>
      </w:r>
      <w:r>
        <w:rPr>
          <w:sz w:val="20"/>
          <w:szCs w:val="20"/>
        </w:rPr>
        <w:t xml:space="preserve">.0 million and </w:t>
      </w:r>
      <w:r>
        <w:rPr>
          <w:sz w:val="20"/>
          <w:szCs w:val="20"/>
        </w:rPr>
        <w:t>$</w:t>
      </w:r>
      <w:r>
        <w:rPr>
          <w:sz w:val="20"/>
          <w:szCs w:val="20"/>
        </w:rPr>
        <w:t>976,00</w:t>
      </w:r>
      <w:r>
        <w:rPr>
          <w:sz w:val="20"/>
          <w:szCs w:val="20"/>
        </w:rPr>
        <w:t>0</w:t>
      </w:r>
      <w:r>
        <w:rPr>
          <w:sz w:val="20"/>
          <w:szCs w:val="20"/>
        </w:rPr>
        <w:t xml:space="preserve"> at December 31, 2021 and 2020, respectively, and is included in accrued compensation in the consolidated balance sheets. During the</w:t>
      </w:r>
      <w:r>
        <w:rPr>
          <w:sz w:val="20"/>
          <w:szCs w:val="20"/>
        </w:rPr>
        <w:t xml:space="preserve"> years ended December 31, 2021 and 2020, approximately </w:t>
      </w:r>
      <w:r>
        <w:rPr>
          <w:sz w:val="20"/>
          <w:szCs w:val="20"/>
        </w:rPr>
        <w:t>$</w:t>
      </w:r>
      <w:r>
        <w:rPr>
          <w:sz w:val="20"/>
          <w:szCs w:val="20"/>
        </w:rPr>
        <w:t>97,00</w:t>
      </w:r>
      <w:r>
        <w:rPr>
          <w:sz w:val="20"/>
          <w:szCs w:val="20"/>
        </w:rPr>
        <w:t>0</w:t>
      </w:r>
      <w:r>
        <w:rPr>
          <w:sz w:val="20"/>
          <w:szCs w:val="20"/>
        </w:rPr>
        <w:t xml:space="preserve"> and </w:t>
      </w:r>
      <w:r>
        <w:rPr>
          <w:sz w:val="20"/>
          <w:szCs w:val="20"/>
        </w:rPr>
        <w:t>$</w:t>
      </w:r>
      <w:r>
        <w:rPr>
          <w:sz w:val="20"/>
          <w:szCs w:val="20"/>
        </w:rPr>
        <w:t>61,00</w:t>
      </w:r>
      <w:r>
        <w:rPr>
          <w:sz w:val="20"/>
          <w:szCs w:val="20"/>
        </w:rPr>
        <w:t>0</w:t>
      </w:r>
      <w:r>
        <w:rPr>
          <w:sz w:val="20"/>
          <w:szCs w:val="20"/>
        </w:rPr>
        <w:t>, respectively, was paid in connection with the cash-settled awards.</w:t>
      </w:r>
    </w:p>
    <w:p w:rsidR="00000000" w:rsidRDefault="00B30BA7">
      <w:pPr>
        <w:pStyle w:val="a3"/>
        <w:spacing w:before="0" w:beforeAutospacing="0" w:after="0" w:afterAutospacing="0"/>
        <w:jc w:val="both"/>
        <w:rPr>
          <w:color w:val="FF0000"/>
          <w:sz w:val="20"/>
          <w:szCs w:val="20"/>
        </w:rPr>
      </w:pPr>
      <w:r>
        <w:rPr>
          <w:color w:val="FF0000"/>
          <w:sz w:val="20"/>
          <w:szCs w:val="20"/>
        </w:rPr>
        <w:t> </w:t>
      </w:r>
    </w:p>
    <w:p w:rsidR="00000000" w:rsidRDefault="00B30BA7">
      <w:pPr>
        <w:pStyle w:val="a3"/>
        <w:spacing w:before="0" w:beforeAutospacing="0" w:after="0" w:afterAutospacing="0"/>
        <w:rPr>
          <w:sz w:val="20"/>
          <w:szCs w:val="20"/>
        </w:rPr>
      </w:pPr>
      <w:r>
        <w:rPr>
          <w:b/>
          <w:bCs/>
          <w:i/>
          <w:iCs/>
          <w:sz w:val="20"/>
          <w:szCs w:val="20"/>
          <w:u w:val="single"/>
        </w:rPr>
        <w:t>Series A Preferred Stock</w:t>
      </w:r>
    </w:p>
    <w:p w:rsidR="00000000" w:rsidRDefault="00B30BA7">
      <w:pPr>
        <w:pStyle w:val="a3"/>
        <w:spacing w:before="0" w:beforeAutospacing="0" w:after="0" w:afterAutospacing="0"/>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In 2021 and 2020, the Compensation Committee approved executive bonuses to be paid i</w:t>
      </w:r>
      <w:r>
        <w:rPr>
          <w:sz w:val="20"/>
          <w:szCs w:val="20"/>
        </w:rPr>
        <w:t>n</w:t>
      </w:r>
      <w:r>
        <w:rPr>
          <w:sz w:val="20"/>
          <w:szCs w:val="20"/>
        </w:rPr>
        <w:t xml:space="preserve"> </w:t>
      </w:r>
      <w:r>
        <w:rPr>
          <w:sz w:val="20"/>
          <w:szCs w:val="20"/>
        </w:rPr>
        <w:t>34,00</w:t>
      </w:r>
      <w:r>
        <w:rPr>
          <w:sz w:val="20"/>
          <w:szCs w:val="20"/>
        </w:rPr>
        <w:t>0</w:t>
      </w:r>
      <w:r>
        <w:rPr>
          <w:sz w:val="20"/>
          <w:szCs w:val="20"/>
        </w:rPr>
        <w:t xml:space="preserve"> shares and</w:t>
      </w:r>
      <w:r>
        <w:rPr>
          <w:sz w:val="20"/>
          <w:szCs w:val="20"/>
        </w:rPr>
        <w:t xml:space="preserve"> </w:t>
      </w:r>
      <w:r>
        <w:rPr>
          <w:sz w:val="20"/>
          <w:szCs w:val="20"/>
        </w:rPr>
        <w:t>44,00</w:t>
      </w:r>
      <w:r>
        <w:rPr>
          <w:sz w:val="20"/>
          <w:szCs w:val="20"/>
        </w:rPr>
        <w:t>0</w:t>
      </w:r>
      <w:r>
        <w:rPr>
          <w:sz w:val="20"/>
          <w:szCs w:val="20"/>
        </w:rPr>
        <w:t xml:space="preserve"> of Series A Preferred Stock, respectively, with the final number of shares and the amount based on specified performance criteria being achieved during 2021 and 2020. In 2021 and 2020,</w:t>
      </w:r>
      <w:r>
        <w:rPr>
          <w:sz w:val="20"/>
          <w:szCs w:val="20"/>
        </w:rPr>
        <w:t xml:space="preserve"> </w:t>
      </w:r>
      <w:r>
        <w:rPr>
          <w:sz w:val="20"/>
          <w:szCs w:val="20"/>
        </w:rPr>
        <w:t>16,01</w:t>
      </w:r>
      <w:r>
        <w:rPr>
          <w:sz w:val="20"/>
          <w:szCs w:val="20"/>
        </w:rPr>
        <w:t>0</w:t>
      </w:r>
      <w:r>
        <w:rPr>
          <w:sz w:val="20"/>
          <w:szCs w:val="20"/>
        </w:rPr>
        <w:t xml:space="preserve"> and</w:t>
      </w:r>
      <w:r>
        <w:rPr>
          <w:sz w:val="20"/>
          <w:szCs w:val="20"/>
        </w:rPr>
        <w:t xml:space="preserve"> </w:t>
      </w:r>
      <w:r>
        <w:rPr>
          <w:sz w:val="20"/>
          <w:szCs w:val="20"/>
        </w:rPr>
        <w:t>19,57</w:t>
      </w:r>
      <w:r>
        <w:rPr>
          <w:sz w:val="20"/>
          <w:szCs w:val="20"/>
        </w:rPr>
        <w:t>9</w:t>
      </w:r>
      <w:r>
        <w:rPr>
          <w:sz w:val="20"/>
          <w:szCs w:val="20"/>
        </w:rPr>
        <w:t xml:space="preserve"> shares of Series A Preferr</w:t>
      </w:r>
      <w:r>
        <w:rPr>
          <w:sz w:val="20"/>
          <w:szCs w:val="20"/>
        </w:rPr>
        <w:t xml:space="preserve">ed Stock were granted as performance bonuses and in lieu of sales commissions, respectively. Stock-based compensation expense recorded during 2021 and 2020 for these awards was approximately </w:t>
      </w:r>
      <w:r>
        <w:rPr>
          <w:sz w:val="20"/>
          <w:szCs w:val="20"/>
        </w:rPr>
        <w:t>$</w:t>
      </w:r>
      <w:r>
        <w:rPr>
          <w:sz w:val="20"/>
          <w:szCs w:val="20"/>
        </w:rPr>
        <w:t>1.</w:t>
      </w:r>
      <w:r>
        <w:rPr>
          <w:sz w:val="20"/>
          <w:szCs w:val="20"/>
        </w:rPr>
        <w:t>5</w:t>
      </w:r>
      <w:r>
        <w:rPr>
          <w:sz w:val="20"/>
          <w:szCs w:val="20"/>
        </w:rPr>
        <w:t xml:space="preserve"> million and </w:t>
      </w:r>
      <w:r>
        <w:rPr>
          <w:sz w:val="20"/>
          <w:szCs w:val="20"/>
        </w:rPr>
        <w:t>$</w:t>
      </w:r>
      <w:r>
        <w:rPr>
          <w:sz w:val="20"/>
          <w:szCs w:val="20"/>
        </w:rPr>
        <w:t>1.</w:t>
      </w:r>
      <w:r>
        <w:rPr>
          <w:sz w:val="20"/>
          <w:szCs w:val="20"/>
        </w:rPr>
        <w:t>6</w:t>
      </w:r>
      <w:r>
        <w:rPr>
          <w:sz w:val="20"/>
          <w:szCs w:val="20"/>
        </w:rPr>
        <w:t xml:space="preserve"> million, respectively, based on the fair va</w:t>
      </w:r>
      <w:r>
        <w:rPr>
          <w:sz w:val="20"/>
          <w:szCs w:val="20"/>
        </w:rPr>
        <w:t>lue of the Series A Preferred Shares on the grant date. During February 2022 and January 2021, the Compensation Committee determined that the financial objectives were attained and all of the performance bonus shares were issued.</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sz w:val="20"/>
          <w:szCs w:val="20"/>
        </w:rPr>
      </w:pPr>
      <w:r>
        <w:rPr>
          <w:b/>
          <w:bCs/>
          <w:i/>
          <w:iCs/>
          <w:sz w:val="20"/>
          <w:szCs w:val="20"/>
          <w:u w:val="single"/>
        </w:rPr>
        <w:t>Stock-based compensation</w:t>
      </w:r>
      <w:r>
        <w:rPr>
          <w:b/>
          <w:bCs/>
          <w:i/>
          <w:iCs/>
          <w:sz w:val="20"/>
          <w:szCs w:val="20"/>
          <w:u w:val="single"/>
        </w:rPr>
        <w:t xml:space="preserve"> expense</w:t>
      </w:r>
    </w:p>
    <w:p w:rsidR="00000000" w:rsidRDefault="00B30BA7">
      <w:pPr>
        <w:pStyle w:val="a3"/>
        <w:spacing w:before="0" w:beforeAutospacing="0" w:after="0" w:afterAutospacing="0"/>
        <w:rPr>
          <w:sz w:val="20"/>
          <w:szCs w:val="20"/>
        </w:rPr>
      </w:pPr>
      <w:r>
        <w:rPr>
          <w:b/>
          <w:bCs/>
          <w:i/>
          <w:iCs/>
          <w:sz w:val="20"/>
          <w:szCs w:val="20"/>
        </w:rPr>
        <w:t> </w:t>
      </w:r>
    </w:p>
    <w:p w:rsidR="00000000" w:rsidRDefault="00B30BA7">
      <w:pPr>
        <w:pStyle w:val="a3"/>
        <w:spacing w:before="0" w:beforeAutospacing="0" w:after="0" w:afterAutospacing="0"/>
        <w:jc w:val="both"/>
        <w:rPr>
          <w:sz w:val="20"/>
          <w:szCs w:val="20"/>
        </w:rPr>
      </w:pPr>
      <w:r>
        <w:rPr>
          <w:sz w:val="20"/>
          <w:szCs w:val="20"/>
        </w:rPr>
        <w:t>The Company recognizes compensation expense on a straight-line basis over the total requisite service period for the entire award. For stock awards classified as equity the market price of our common stock or Series A Preferred Stock on the date</w:t>
      </w:r>
      <w:r>
        <w:rPr>
          <w:sz w:val="20"/>
          <w:szCs w:val="20"/>
        </w:rPr>
        <w:t xml:space="preserve"> of grant is used in recording the fair value of the award. For stock awards classified as a liability, the earned amount is marked to market based on the end of period common stock price. The weighted average grant date fair value of the common stock pric</w:t>
      </w:r>
      <w:r>
        <w:rPr>
          <w:sz w:val="20"/>
          <w:szCs w:val="20"/>
        </w:rPr>
        <w:t xml:space="preserve">e in connection with the RSUs classified as equity was </w:t>
      </w:r>
      <w:r>
        <w:rPr>
          <w:sz w:val="20"/>
          <w:szCs w:val="20"/>
        </w:rPr>
        <w:t>$</w:t>
      </w:r>
      <w:r>
        <w:rPr>
          <w:sz w:val="20"/>
          <w:szCs w:val="20"/>
        </w:rPr>
        <w:t>9.1</w:t>
      </w:r>
      <w:r>
        <w:rPr>
          <w:sz w:val="20"/>
          <w:szCs w:val="20"/>
        </w:rPr>
        <w:t>6</w:t>
      </w:r>
      <w:r>
        <w:rPr>
          <w:sz w:val="20"/>
          <w:szCs w:val="20"/>
        </w:rPr>
        <w:t xml:space="preserve"> and </w:t>
      </w:r>
      <w:r>
        <w:rPr>
          <w:sz w:val="20"/>
          <w:szCs w:val="20"/>
        </w:rPr>
        <w:t>$</w:t>
      </w:r>
      <w:r>
        <w:rPr>
          <w:sz w:val="20"/>
          <w:szCs w:val="20"/>
        </w:rPr>
        <w:t>6.2</w:t>
      </w:r>
      <w:r>
        <w:rPr>
          <w:sz w:val="20"/>
          <w:szCs w:val="20"/>
        </w:rPr>
        <w:t>0</w:t>
      </w:r>
      <w:r>
        <w:rPr>
          <w:sz w:val="20"/>
          <w:szCs w:val="20"/>
        </w:rPr>
        <w:t xml:space="preserve"> for the years ended December 31, 2021 and 2020, respectively. The weighted average grant date fair value of the Series A Preferred Stock in connection with the RSUs was </w:t>
      </w:r>
      <w:r>
        <w:rPr>
          <w:sz w:val="20"/>
          <w:szCs w:val="20"/>
        </w:rPr>
        <w:t>$</w:t>
      </w:r>
      <w:r>
        <w:rPr>
          <w:sz w:val="20"/>
          <w:szCs w:val="20"/>
        </w:rPr>
        <w:t>28.5</w:t>
      </w:r>
      <w:r>
        <w:rPr>
          <w:sz w:val="20"/>
          <w:szCs w:val="20"/>
        </w:rPr>
        <w:t>2</w:t>
      </w:r>
      <w:r>
        <w:rPr>
          <w:sz w:val="20"/>
          <w:szCs w:val="20"/>
        </w:rPr>
        <w:t xml:space="preserve"> and </w:t>
      </w:r>
      <w:r>
        <w:rPr>
          <w:sz w:val="20"/>
          <w:szCs w:val="20"/>
        </w:rPr>
        <w:t>$</w:t>
      </w:r>
      <w:r>
        <w:rPr>
          <w:sz w:val="20"/>
          <w:szCs w:val="20"/>
        </w:rPr>
        <w:t>27.0</w:t>
      </w:r>
      <w:r>
        <w:rPr>
          <w:sz w:val="20"/>
          <w:szCs w:val="20"/>
        </w:rPr>
        <w:t>6</w:t>
      </w:r>
      <w:r>
        <w:rPr>
          <w:sz w:val="20"/>
          <w:szCs w:val="20"/>
        </w:rPr>
        <w:t xml:space="preserve"> for the years ended December 31, 2021 and 2020, respectively. The following table summarizes the components of stock-based compensation expense for the years ended December 31, 2021 and 2020:</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SCHEDULE OF EMPLOYEE SERVICE SHARE-BASED COMPENSATION, ALLOCA</w:t>
      </w:r>
      <w:r>
        <w:rPr>
          <w:vanish/>
          <w:sz w:val="20"/>
          <w:szCs w:val="20"/>
        </w:rPr>
        <w:t>TION OF RECOGNIZED PERIOD COST</w:t>
      </w:r>
      <w:r>
        <w:rPr>
          <w:vanish/>
          <w:sz w:val="20"/>
          <w:szCs w:val="20"/>
        </w:rPr>
        <w:t>S</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tc>
          <w:tcPr>
            <w:tcW w:w="0" w:type="auto"/>
            <w:vAlign w:val="bottom"/>
            <w:hideMark/>
          </w:tcPr>
          <w:p w:rsidR="00000000" w:rsidRDefault="00B30BA7">
            <w:pPr>
              <w:rPr>
                <w:rFonts w:eastAsia="Times New Roman"/>
                <w:b/>
                <w:bCs/>
                <w:sz w:val="20"/>
                <w:szCs w:val="20"/>
              </w:rPr>
            </w:pPr>
            <w:r>
              <w:rPr>
                <w:rFonts w:eastAsia="Times New Roman"/>
                <w:b/>
                <w:bCs/>
                <w:sz w:val="20"/>
                <w:szCs w:val="20"/>
              </w:rPr>
              <w:t>Stock-based compensation included in the</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b/>
                <w:bCs/>
                <w:sz w:val="20"/>
                <w:szCs w:val="20"/>
              </w:rPr>
            </w:pPr>
            <w:r>
              <w:rPr>
                <w:rFonts w:eastAsia="Times New Roman"/>
                <w:b/>
                <w:bCs/>
                <w:sz w:val="20"/>
                <w:szCs w:val="20"/>
              </w:rPr>
              <w:t>consolidated statements of operations:</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1,142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1,094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3,302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3,599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268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729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684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1,080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Total stock-based compensation expense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5,396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6,502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32126254"/>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16.</w:t>
      </w:r>
      <w:r>
        <w:rPr>
          <w:b/>
          <w:bCs/>
          <w:caps/>
          <w:sz w:val="20"/>
          <w:szCs w:val="20"/>
        </w:rPr>
        <w:t xml:space="preserve"> </w:t>
      </w:r>
      <w:r>
        <w:rPr>
          <w:b/>
          <w:bCs/>
          <w:caps/>
          <w:sz w:val="20"/>
          <w:szCs w:val="20"/>
        </w:rPr>
        <w:t>INCOME TAXE</w:t>
      </w:r>
      <w:r>
        <w:rPr>
          <w:b/>
          <w:bCs/>
          <w:caps/>
          <w:sz w:val="20"/>
          <w:szCs w:val="20"/>
        </w:rPr>
        <w: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For </w:t>
      </w:r>
      <w:r>
        <w:rPr>
          <w:sz w:val="20"/>
          <w:szCs w:val="20"/>
        </w:rPr>
        <w:t>the years ended December 31, 2021 and 2020, the Company estimated its income tax provision based upon the annual pre-tax income or loss. Although the Company reported GAAP earnings in 2021, it incurred losses historically and there is uncertainty regarding</w:t>
      </w:r>
      <w:r>
        <w:rPr>
          <w:sz w:val="20"/>
          <w:szCs w:val="20"/>
        </w:rPr>
        <w:t xml:space="preserve"> future US taxable income, which makes realization of a deferred tax asset difficult to support in accordance with ASC 740. Accordingly, a valuation allowance has been recorded against all federal and state deferred tax assets as of December 31, 2021 and D</w:t>
      </w:r>
      <w:r>
        <w:rPr>
          <w:sz w:val="20"/>
          <w:szCs w:val="20"/>
        </w:rPr>
        <w:t>ecember 31, 2020, with the exception of a net deferred tax liability relating to the amortization of intangibles for tax purposes.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As of December 31, 2017, the accumulated undistributed earnings and profits (“E&amp;P”) of our foreign affiliates became taxabl</w:t>
      </w:r>
      <w:r>
        <w:rPr>
          <w:sz w:val="20"/>
          <w:szCs w:val="20"/>
        </w:rPr>
        <w:t>e in the U.S. under Section 965. This accumulated foreign E&amp;P was absorbed against our U.S. net operating losses and, hence, no transition tax was paid. From January 1, 2018 forward, the annual adjusted earnings and profits of our foreign affiliates pass t</w:t>
      </w:r>
      <w:r>
        <w:rPr>
          <w:sz w:val="20"/>
          <w:szCs w:val="20"/>
        </w:rPr>
        <w:t>hrough to the U.S. as federal and state taxable income under the Global Intangible Low-Taxed Income (“GILTI”) regime - passed as part of the 2017 Tax Cuts &amp; Jobs Act. For the tax years ended December 31, 2021 and 2020, the net GILTI from our foreign affili</w:t>
      </w:r>
      <w:r>
        <w:rPr>
          <w:sz w:val="20"/>
          <w:szCs w:val="20"/>
        </w:rPr>
        <w:t>ates was absorbed against our current year U.S. consolidated loss. For state tax purposes, the Company’s foreign earnings may be taxable depending on each individual state’s legislative stance on the recent tax reform legislation. The activity in the defer</w:t>
      </w:r>
      <w:r>
        <w:rPr>
          <w:sz w:val="20"/>
          <w:szCs w:val="20"/>
        </w:rPr>
        <w:t>red tax valuation allowance was as follows for the years ended December 31, 2021 and 2020:</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vanish/>
          <w:sz w:val="20"/>
          <w:szCs w:val="20"/>
        </w:rPr>
        <w:t>SCHEDULE OF DEFERRED TAX VALUATION ALLOWANC</w:t>
      </w:r>
      <w:r>
        <w:rPr>
          <w:vanish/>
          <w:sz w:val="20"/>
          <w:szCs w:val="20"/>
        </w:rPr>
        <w:t>E</w:t>
      </w:r>
    </w:p>
    <w:tbl>
      <w:tblPr>
        <w:tblW w:w="4000" w:type="pct"/>
        <w:tblCellMar>
          <w:left w:w="0" w:type="dxa"/>
          <w:right w:w="0" w:type="dxa"/>
        </w:tblCellMar>
        <w:tblLook w:val="04A0" w:firstRow="1" w:lastRow="0" w:firstColumn="1" w:lastColumn="0" w:noHBand="0" w:noVBand="1"/>
      </w:tblPr>
      <w:tblGrid>
        <w:gridCol w:w="3975"/>
        <w:gridCol w:w="122"/>
        <w:gridCol w:w="100"/>
        <w:gridCol w:w="1052"/>
        <w:gridCol w:w="67"/>
        <w:gridCol w:w="122"/>
        <w:gridCol w:w="100"/>
        <w:gridCol w:w="1052"/>
        <w:gridCol w:w="55"/>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Beginning balance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89,994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7,154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Impact of acquisitions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77,034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(Benefit) provision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(2,726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5,674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Adjustments/true-ups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(540</w:t>
            </w:r>
          </w:p>
        </w:tc>
        <w:tc>
          <w:tcPr>
            <w:tcW w:w="0" w:type="auto"/>
            <w:shd w:val="clear" w:color="auto" w:fill="FFFFFF"/>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Ending balance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86,728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89,994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color w:val="FF0000"/>
          <w:sz w:val="20"/>
          <w:szCs w:val="20"/>
        </w:rPr>
      </w:pPr>
      <w:r>
        <w:rPr>
          <w:color w:val="FF0000"/>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adjustments/true-ups for 2021 represents adjustments to the basis of the intangible assets from the 2020 acquisitions and the effect of the net operating loss carryback and other adjustments.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income (loss) before tax for financial reporting purposes </w:t>
      </w:r>
      <w:r>
        <w:rPr>
          <w:sz w:val="20"/>
          <w:szCs w:val="20"/>
        </w:rPr>
        <w:t>during the years ended December 31, 2021 and 2020 consisted of the following:</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vanish/>
          <w:sz w:val="20"/>
          <w:szCs w:val="20"/>
        </w:rPr>
        <w:t>SCHEDULE OF INCOME BEFORE INCOME TAX, DOMESTIC AND FOREIG</w:t>
      </w:r>
      <w:r>
        <w:rPr>
          <w:vanish/>
          <w:sz w:val="20"/>
          <w:szCs w:val="20"/>
        </w:rPr>
        <w:t>N</w:t>
      </w:r>
    </w:p>
    <w:tbl>
      <w:tblPr>
        <w:tblW w:w="4000" w:type="pct"/>
        <w:tblCellMar>
          <w:left w:w="0" w:type="dxa"/>
          <w:right w:w="0" w:type="dxa"/>
        </w:tblCellMar>
        <w:tblLook w:val="04A0" w:firstRow="1" w:lastRow="0" w:firstColumn="1" w:lastColumn="0" w:noHBand="0" w:noVBand="1"/>
      </w:tblPr>
      <w:tblGrid>
        <w:gridCol w:w="3975"/>
        <w:gridCol w:w="122"/>
        <w:gridCol w:w="100"/>
        <w:gridCol w:w="1052"/>
        <w:gridCol w:w="55"/>
        <w:gridCol w:w="122"/>
        <w:gridCol w:w="100"/>
        <w:gridCol w:w="1052"/>
        <w:gridCol w:w="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United States</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1,048</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(10,230</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Foreign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1,945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1,520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2,993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(8,710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pacing w:before="0" w:beforeAutospacing="0" w:after="0" w:afterAutospacing="0"/>
        <w:jc w:val="both"/>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09679188"/>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color w:val="FF0000"/>
          <w:sz w:val="20"/>
          <w:szCs w:val="20"/>
        </w:rPr>
      </w:pPr>
      <w:r>
        <w:rPr>
          <w:color w:val="FF0000"/>
          <w:sz w:val="20"/>
          <w:szCs w:val="20"/>
        </w:rPr>
        <w:t> </w:t>
      </w:r>
    </w:p>
    <w:p w:rsidR="00000000" w:rsidRDefault="00B30BA7">
      <w:pPr>
        <w:pStyle w:val="a3"/>
        <w:spacing w:before="0" w:beforeAutospacing="0" w:after="0" w:afterAutospacing="0"/>
        <w:jc w:val="both"/>
        <w:rPr>
          <w:sz w:val="20"/>
          <w:szCs w:val="20"/>
        </w:rPr>
      </w:pPr>
      <w:r>
        <w:rPr>
          <w:sz w:val="20"/>
          <w:szCs w:val="20"/>
        </w:rPr>
        <w:t xml:space="preserve">The </w:t>
      </w:r>
      <w:r>
        <w:rPr>
          <w:sz w:val="20"/>
          <w:szCs w:val="20"/>
        </w:rPr>
        <w:t>provision (benefit) for income taxes for the years ended December 31, 2021 and 2020 consisted of the following:</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vanish/>
          <w:sz w:val="20"/>
          <w:szCs w:val="20"/>
        </w:rPr>
        <w:t>SCHEDULE OF COMPONENTS OF INCOME TAX EXPENSE (BENEFIT</w:t>
      </w:r>
      <w:r>
        <w:rPr>
          <w:vanish/>
          <w:sz w:val="20"/>
          <w:szCs w:val="20"/>
        </w:rPr>
        <w:t>)</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xml:space="preserve">($ </w:t>
            </w:r>
            <w:r>
              <w:rPr>
                <w:rFonts w:eastAsia="Times New Roman"/>
                <w:sz w:val="20"/>
                <w:szCs w:val="20"/>
              </w:rPr>
              <w:t>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Current: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Federal</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(285</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State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148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182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Foreign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(132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187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Deferred:</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Federal</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190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(116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State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289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Total income tax provision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103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color w:val="FF0000"/>
          <w:sz w:val="20"/>
          <w:szCs w:val="20"/>
        </w:rPr>
      </w:pPr>
      <w:r>
        <w:rPr>
          <w:color w:val="FF0000"/>
          <w:sz w:val="20"/>
          <w:szCs w:val="20"/>
        </w:rPr>
        <w:t> </w:t>
      </w:r>
    </w:p>
    <w:p w:rsidR="00000000" w:rsidRDefault="00B30BA7">
      <w:pPr>
        <w:pStyle w:val="a3"/>
        <w:spacing w:before="0" w:beforeAutospacing="0" w:after="0" w:afterAutospacing="0"/>
        <w:jc w:val="both"/>
        <w:rPr>
          <w:sz w:val="20"/>
          <w:szCs w:val="20"/>
        </w:rPr>
      </w:pPr>
      <w:r>
        <w:rPr>
          <w:sz w:val="20"/>
          <w:szCs w:val="20"/>
        </w:rPr>
        <w:t>The components of the Company’s deferred income taxes as of December 31, 2021 and 2020 are as follows:</w:t>
      </w:r>
    </w:p>
    <w:p w:rsidR="00000000" w:rsidRDefault="00B30BA7">
      <w:pPr>
        <w:pStyle w:val="a3"/>
        <w:spacing w:before="0" w:beforeAutospacing="0" w:after="0" w:afterAutospacing="0"/>
        <w:jc w:val="both"/>
        <w:rPr>
          <w:sz w:val="20"/>
          <w:szCs w:val="20"/>
        </w:rPr>
      </w:pPr>
      <w:r>
        <w:rPr>
          <w:sz w:val="20"/>
          <w:szCs w:val="20"/>
        </w:rPr>
        <w:t> </w:t>
      </w:r>
      <w:r>
        <w:rPr>
          <w:vanish/>
          <w:sz w:val="20"/>
          <w:szCs w:val="20"/>
        </w:rPr>
        <w:t>SCHEDULE OF DEFERRED TAX ASSETS AND LIABILITIE</w:t>
      </w:r>
      <w:r>
        <w:rPr>
          <w:vanish/>
          <w:sz w:val="20"/>
          <w:szCs w:val="20"/>
        </w:rPr>
        <w:t>S</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B30BA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Deferred tax assets: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Allowance for doubtful accounts</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138</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134</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49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Property and intangible assets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2,422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4,436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State </w:t>
            </w:r>
            <w:r>
              <w:rPr>
                <w:rFonts w:eastAsia="Times New Roman"/>
                <w:sz w:val="20"/>
                <w:szCs w:val="20"/>
              </w:rPr>
              <w:t>net operating loss (“NOL”) carryforwards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20,466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23,048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Federal net operating loss (“NOL”) carryforwards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57,602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56,890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Section 163(j) interest limitation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2,413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2,186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714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325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ASC </w:t>
            </w:r>
            <w:r>
              <w:rPr>
                <w:rFonts w:eastAsia="Times New Roman"/>
                <w:sz w:val="20"/>
                <w:szCs w:val="20"/>
              </w:rPr>
              <w:t>606 - Section 481(A) adjustment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ASC 842 - ROU asset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(996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(1,994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Prepaid commissions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(213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(820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Cumulative balance translation adjustment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469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Section 267 limitation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291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Deferred payroll taxes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155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300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Credit carryovers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2,498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3,112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ASC 842 - Lease liability</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1,398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2,803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272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Other</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56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Valuation allowance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(86,728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(89,994</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Total deferred tax assets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765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718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Deferred tax liabilities: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Goodwill amortization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(1,214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(878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Net deferred tax liability</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(449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(160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pacing w:before="0" w:beforeAutospacing="0" w:after="0" w:afterAutospacing="0"/>
        <w:jc w:val="both"/>
        <w:rPr>
          <w:color w:val="FF0000"/>
          <w:sz w:val="20"/>
          <w:szCs w:val="20"/>
        </w:rPr>
      </w:pPr>
      <w:r>
        <w:rPr>
          <w:color w:val="FF0000"/>
          <w:sz w:val="20"/>
          <w:szCs w:val="20"/>
        </w:rPr>
        <w:t> </w:t>
      </w:r>
    </w:p>
    <w:p w:rsidR="00000000" w:rsidRDefault="00B30BA7">
      <w:pPr>
        <w:pStyle w:val="a3"/>
        <w:spacing w:before="0" w:beforeAutospacing="0" w:after="0" w:afterAutospacing="0"/>
        <w:jc w:val="both"/>
        <w:rPr>
          <w:sz w:val="20"/>
          <w:szCs w:val="20"/>
        </w:rPr>
      </w:pPr>
      <w:r>
        <w:rPr>
          <w:sz w:val="20"/>
          <w:szCs w:val="20"/>
        </w:rPr>
        <w:t xml:space="preserve">Deferred </w:t>
      </w:r>
      <w:r>
        <w:rPr>
          <w:sz w:val="20"/>
          <w:szCs w:val="20"/>
        </w:rPr>
        <w:t xml:space="preserve">income tax balances reflect the effects of temporary differences between the carrying amounts of assets and liabilities and their tax bases, as well as from net operating loss carryforwards. Deferred income tax assets represent amounts available to reduce </w:t>
      </w:r>
      <w:r>
        <w:rPr>
          <w:sz w:val="20"/>
          <w:szCs w:val="20"/>
        </w:rPr>
        <w:t>income taxes payable on taxable income in future years.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Company has recorded goodwill as a result of its acquisitions. Goodwill is generally not amortized for financial reporting purposes. For tax purposes, goodwill from asset acquisitions is tax ded</w:t>
      </w:r>
      <w:r>
        <w:rPr>
          <w:sz w:val="20"/>
          <w:szCs w:val="20"/>
        </w:rPr>
        <w:t>uctible and amortized over</w:t>
      </w:r>
      <w:r>
        <w:rPr>
          <w:sz w:val="20"/>
          <w:szCs w:val="20"/>
        </w:rPr>
        <w:t xml:space="preserve"> </w:t>
      </w:r>
      <w:r>
        <w:rPr>
          <w:sz w:val="20"/>
          <w:szCs w:val="20"/>
        </w:rPr>
        <w:t>1</w:t>
      </w:r>
      <w:r>
        <w:rPr>
          <w:sz w:val="20"/>
          <w:szCs w:val="20"/>
        </w:rPr>
        <w:t>5</w:t>
      </w:r>
      <w:r>
        <w:rPr>
          <w:sz w:val="20"/>
          <w:szCs w:val="20"/>
        </w:rPr>
        <w:t xml:space="preserve"> years. As such, deferred income tax expense and a deferred tax liability arise as a result of the tax-deductibility of this indefinitely lived asset (also known as a naked credit). The resulting deferred tax liability, which i</w:t>
      </w:r>
      <w:r>
        <w:rPr>
          <w:sz w:val="20"/>
          <w:szCs w:val="20"/>
        </w:rPr>
        <w:t>s expected to continue to increase over the amortization period, will have an indefinite life. As a result of the Company incurring tax losses for 2021 and 2020 which have an indefinite life under the recent tax reform legislation, the federal deferred tax</w:t>
      </w:r>
      <w:r>
        <w:rPr>
          <w:sz w:val="20"/>
          <w:szCs w:val="20"/>
        </w:rPr>
        <w:t xml:space="preserve"> liability resulting from the amortization of goodwill was offset against these indefinite federal operating net loss deferred tax assets to the extent allowable. The remaining deferred tax liability could remain on the Company’s consolidated balance sheet</w:t>
      </w:r>
      <w:r>
        <w:rPr>
          <w:sz w:val="20"/>
          <w:szCs w:val="20"/>
        </w:rPr>
        <w:t xml:space="preserve"> indefinitely unless there is an impairment of goodwill (for financial reporting purposes) or a portion of the business is sold.</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97322185"/>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Due </w:t>
      </w:r>
      <w:r>
        <w:rPr>
          <w:sz w:val="20"/>
          <w:szCs w:val="20"/>
        </w:rPr>
        <w:t>to the fact that the aforementioned deferred tax liability could have an indefinite life, it is not netted against the Company’s deferred tax assets when determining the required valuation allowance in accordance with ASC 740 guidelines. Doing so would res</w:t>
      </w:r>
      <w:r>
        <w:rPr>
          <w:sz w:val="20"/>
          <w:szCs w:val="20"/>
        </w:rPr>
        <w:t>ult in the understatement of the valuation allowance and related deferred income tax expense.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A reconciliation of the federal statutory income tax rate </w:t>
      </w:r>
      <w:r>
        <w:rPr>
          <w:sz w:val="20"/>
          <w:szCs w:val="20"/>
        </w:rPr>
        <w:t>(</w:t>
      </w:r>
      <w:r>
        <w:rPr>
          <w:sz w:val="20"/>
          <w:szCs w:val="20"/>
        </w:rPr>
        <w:t>2</w:t>
      </w:r>
      <w:r>
        <w:rPr>
          <w:sz w:val="20"/>
          <w:szCs w:val="20"/>
        </w:rPr>
        <w:t>1</w:t>
      </w:r>
      <w:r>
        <w:rPr>
          <w:sz w:val="20"/>
          <w:szCs w:val="20"/>
        </w:rPr>
        <w:t>%) for 2021 and 2020 to the Company’s effective income tax rate (determined in dollars) for the yea</w:t>
      </w:r>
      <w:r>
        <w:rPr>
          <w:sz w:val="20"/>
          <w:szCs w:val="20"/>
        </w:rPr>
        <w:t>rs ended December 31, 2021 and 2020 is as follows:</w:t>
      </w:r>
    </w:p>
    <w:p w:rsidR="00000000" w:rsidRDefault="00B30BA7">
      <w:pPr>
        <w:pStyle w:val="a3"/>
        <w:spacing w:before="0" w:beforeAutospacing="0" w:after="0" w:afterAutospacing="0"/>
        <w:jc w:val="both"/>
        <w:rPr>
          <w:sz w:val="20"/>
          <w:szCs w:val="20"/>
        </w:rPr>
      </w:pPr>
      <w:r>
        <w:rPr>
          <w:vanish/>
          <w:sz w:val="20"/>
          <w:szCs w:val="20"/>
        </w:rPr>
        <w:t>SCHEDULE OF EFFECTIVE INCOME TAX RATE RECONCILIATIO</w:t>
      </w:r>
      <w:r>
        <w:rPr>
          <w:vanish/>
          <w:sz w:val="20"/>
          <w:szCs w:val="20"/>
        </w:rPr>
        <w:t>N</w:t>
      </w:r>
    </w:p>
    <w:tbl>
      <w:tblPr>
        <w:tblW w:w="4000" w:type="pct"/>
        <w:tblCellMar>
          <w:left w:w="0" w:type="dxa"/>
          <w:right w:w="0" w:type="dxa"/>
        </w:tblCellMar>
        <w:tblLook w:val="04A0" w:firstRow="1" w:lastRow="0" w:firstColumn="1" w:lastColumn="0" w:noHBand="0" w:noVBand="1"/>
      </w:tblPr>
      <w:tblGrid>
        <w:gridCol w:w="3963"/>
        <w:gridCol w:w="109"/>
        <w:gridCol w:w="100"/>
        <w:gridCol w:w="1039"/>
        <w:gridCol w:w="117"/>
        <w:gridCol w:w="110"/>
        <w:gridCol w:w="100"/>
        <w:gridCol w:w="1040"/>
        <w:gridCol w:w="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Federal </w:t>
            </w:r>
            <w:r>
              <w:rPr>
                <w:rFonts w:eastAsia="Times New Roman"/>
                <w:sz w:val="20"/>
                <w:szCs w:val="20"/>
              </w:rPr>
              <w:t>provision (benefit) at statutory rate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629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(1,739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Increase (decrease) in income taxes resulting from:</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State tax expense, net of federal benefit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178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138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Non-deductible items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Impact </w:t>
            </w:r>
            <w:r>
              <w:rPr>
                <w:rFonts w:eastAsia="Times New Roman"/>
                <w:sz w:val="20"/>
                <w:szCs w:val="20"/>
              </w:rPr>
              <w:t>of foreign operations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(561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(348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Subpart F GILTI inclusion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317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246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(399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(580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jc w:val="right"/>
              <w:rPr>
                <w:rFonts w:eastAsia="Times New Roman"/>
                <w:sz w:val="20"/>
                <w:szCs w:val="20"/>
              </w:rPr>
            </w:pP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(210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NOL carryback</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(230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R&amp;D credit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r>
              <w:rPr>
                <w:rFonts w:eastAsia="Times New Roman"/>
                <w:sz w:val="20"/>
                <w:szCs w:val="20"/>
              </w:rPr>
              <w:t>614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Deferred true-up</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550</w:t>
            </w:r>
          </w:p>
        </w:tc>
        <w:tc>
          <w:tcPr>
            <w:tcW w:w="0" w:type="auto"/>
            <w:shd w:val="clear" w:color="auto" w:fill="CCEEFF"/>
            <w:vAlign w:val="bottom"/>
            <w:hideMark/>
          </w:tcPr>
          <w:p w:rsidR="00000000" w:rsidRDefault="00B30BA7">
            <w:pPr>
              <w:jc w:val="right"/>
              <w:rPr>
                <w:rFonts w:eastAsia="Times New Roman"/>
                <w:sz w:val="20"/>
                <w:szCs w:val="20"/>
              </w:rPr>
            </w:pP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(71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Valuation allowance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(412</w:t>
            </w:r>
          </w:p>
        </w:tc>
        <w:tc>
          <w:tcPr>
            <w:tcW w:w="0" w:type="auto"/>
            <w:shd w:val="clear" w:color="auto" w:fill="FFFFFF"/>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3,232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Total income tax provision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157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103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rPr>
          <w:color w:val="FF0000"/>
          <w:sz w:val="20"/>
          <w:szCs w:val="20"/>
        </w:rPr>
      </w:pPr>
      <w:r>
        <w:rPr>
          <w:color w:val="FF0000"/>
          <w:sz w:val="20"/>
          <w:szCs w:val="20"/>
        </w:rPr>
        <w:t> </w:t>
      </w:r>
    </w:p>
    <w:p w:rsidR="00000000" w:rsidRDefault="00B30BA7">
      <w:pPr>
        <w:pStyle w:val="a3"/>
        <w:spacing w:before="0" w:beforeAutospacing="0" w:after="0" w:afterAutospacing="0"/>
        <w:jc w:val="both"/>
        <w:rPr>
          <w:sz w:val="20"/>
          <w:szCs w:val="20"/>
        </w:rPr>
      </w:pPr>
      <w:r>
        <w:rPr>
          <w:sz w:val="20"/>
          <w:szCs w:val="20"/>
        </w:rPr>
        <w:t xml:space="preserve">At </w:t>
      </w:r>
      <w:r>
        <w:rPr>
          <w:sz w:val="20"/>
          <w:szCs w:val="20"/>
        </w:rPr>
        <w:t>December 31, 2021 and 2020, the Company did not record any uncertain tax positions based on the technical merits. Therefore, a tabular roll forward was excluded and there has been no accrued interest and penalties. The Company is subject to taxation in the</w:t>
      </w:r>
      <w:r>
        <w:rPr>
          <w:sz w:val="20"/>
          <w:szCs w:val="20"/>
        </w:rPr>
        <w:t xml:space="preserve"> United States, various states, Pakistan and Sri Lanka. As of December 31, 2021, tax years 2018 through 2020 remain open to examination in the United States by major taxing jurisdictions in which the Company is subject to tax. The Pakistan Federal Board of</w:t>
      </w:r>
      <w:r>
        <w:rPr>
          <w:sz w:val="20"/>
          <w:szCs w:val="20"/>
        </w:rPr>
        <w:t xml:space="preserve"> Revenue allows a tax credit against earnings from IT activities, which precludes the Pakistan subsidiary from being subject to income taxes. It is the Company’s policy that any assessed penalties and interest on uncertain tax positions would be charged to</w:t>
      </w:r>
      <w:r>
        <w:rPr>
          <w:sz w:val="20"/>
          <w:szCs w:val="20"/>
        </w:rPr>
        <w:t xml:space="preserve"> income tax expense.</w:t>
      </w:r>
    </w:p>
    <w:p w:rsidR="00000000" w:rsidRDefault="00B30BA7">
      <w:pPr>
        <w:pStyle w:val="a3"/>
        <w:spacing w:before="0" w:beforeAutospacing="0" w:after="0" w:afterAutospacing="0"/>
        <w:ind w:left="45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Pakistan tax credit does not have a significant impact on the Company’s effective tax rate as all of its earnings in Pakistan have </w:t>
      </w:r>
      <w:r>
        <w:rPr>
          <w:sz w:val="20"/>
          <w:szCs w:val="20"/>
        </w:rPr>
        <w:t>been fully included in the U.S. federal tax rate of</w:t>
      </w:r>
      <w:r>
        <w:rPr>
          <w:sz w:val="20"/>
          <w:szCs w:val="20"/>
        </w:rPr>
        <w:t xml:space="preserve"> </w:t>
      </w:r>
      <w:r>
        <w:rPr>
          <w:sz w:val="20"/>
          <w:szCs w:val="20"/>
        </w:rPr>
        <w:t>2</w:t>
      </w:r>
      <w:r>
        <w:rPr>
          <w:sz w:val="20"/>
          <w:szCs w:val="20"/>
        </w:rPr>
        <w:t>1</w:t>
      </w:r>
      <w:r>
        <w:rPr>
          <w:sz w:val="20"/>
          <w:szCs w:val="20"/>
        </w:rPr>
        <w:t>% for 2021 and 2020. The Pakistan statutory corporate tax rate is</w:t>
      </w:r>
      <w:r>
        <w:rPr>
          <w:sz w:val="20"/>
          <w:szCs w:val="20"/>
        </w:rPr>
        <w:t xml:space="preserve"> </w:t>
      </w:r>
      <w:r>
        <w:rPr>
          <w:sz w:val="20"/>
          <w:szCs w:val="20"/>
        </w:rPr>
        <w:t>2</w:t>
      </w:r>
      <w:r>
        <w:rPr>
          <w:sz w:val="20"/>
          <w:szCs w:val="20"/>
        </w:rPr>
        <w:t>9</w:t>
      </w:r>
      <w:r>
        <w:rPr>
          <w:sz w:val="20"/>
          <w:szCs w:val="20"/>
        </w:rPr>
        <w:t>% before consideration of the aforementioned tax credit.</w:t>
      </w:r>
    </w:p>
    <w:p w:rsidR="00000000" w:rsidRDefault="00B30BA7">
      <w:pPr>
        <w:pStyle w:val="a3"/>
        <w:spacing w:before="0" w:beforeAutospacing="0" w:after="0" w:afterAutospacing="0"/>
        <w:ind w:left="475"/>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As of December 31, 2021, the Company has a total federal NOL carry forward </w:t>
      </w:r>
      <w:r>
        <w:rPr>
          <w:sz w:val="20"/>
          <w:szCs w:val="20"/>
        </w:rPr>
        <w:t xml:space="preserve">of approximately </w:t>
      </w:r>
      <w:r>
        <w:rPr>
          <w:sz w:val="20"/>
          <w:szCs w:val="20"/>
        </w:rPr>
        <w:t>$</w:t>
      </w:r>
      <w:r>
        <w:rPr>
          <w:sz w:val="20"/>
          <w:szCs w:val="20"/>
        </w:rPr>
        <w:t>274.</w:t>
      </w:r>
      <w:r>
        <w:rPr>
          <w:sz w:val="20"/>
          <w:szCs w:val="20"/>
        </w:rPr>
        <w:t>5</w:t>
      </w:r>
      <w:r>
        <w:rPr>
          <w:sz w:val="20"/>
          <w:szCs w:val="20"/>
        </w:rPr>
        <w:t xml:space="preserve"> million of which approximately </w:t>
      </w:r>
      <w:r>
        <w:rPr>
          <w:sz w:val="20"/>
          <w:szCs w:val="20"/>
        </w:rPr>
        <w:t>$</w:t>
      </w:r>
      <w:r>
        <w:rPr>
          <w:sz w:val="20"/>
          <w:szCs w:val="20"/>
        </w:rPr>
        <w:t>198.</w:t>
      </w:r>
      <w:r>
        <w:rPr>
          <w:sz w:val="20"/>
          <w:szCs w:val="20"/>
        </w:rPr>
        <w:t>8</w:t>
      </w:r>
      <w:r>
        <w:rPr>
          <w:sz w:val="20"/>
          <w:szCs w:val="20"/>
        </w:rPr>
        <w:t xml:space="preserve"> million will</w:t>
      </w:r>
      <w:r>
        <w:rPr>
          <w:sz w:val="20"/>
          <w:szCs w:val="20"/>
        </w:rPr>
        <w:t xml:space="preserve"> </w:t>
      </w:r>
      <w:r>
        <w:rPr>
          <w:sz w:val="20"/>
          <w:szCs w:val="20"/>
        </w:rPr>
        <w:t>expire between 2034 and 203</w:t>
      </w:r>
      <w:r>
        <w:rPr>
          <w:sz w:val="20"/>
          <w:szCs w:val="20"/>
        </w:rPr>
        <w:t>7</w:t>
      </w:r>
      <w:r>
        <w:rPr>
          <w:sz w:val="20"/>
          <w:szCs w:val="20"/>
        </w:rPr>
        <w:t xml:space="preserve">, and the balance of approximately </w:t>
      </w:r>
      <w:r>
        <w:rPr>
          <w:sz w:val="20"/>
          <w:szCs w:val="20"/>
        </w:rPr>
        <w:t>$</w:t>
      </w:r>
      <w:r>
        <w:rPr>
          <w:sz w:val="20"/>
          <w:szCs w:val="20"/>
        </w:rPr>
        <w:t>75.</w:t>
      </w:r>
      <w:r>
        <w:rPr>
          <w:sz w:val="20"/>
          <w:szCs w:val="20"/>
        </w:rPr>
        <w:t>7</w:t>
      </w:r>
      <w:r>
        <w:rPr>
          <w:sz w:val="20"/>
          <w:szCs w:val="20"/>
        </w:rPr>
        <w:t xml:space="preserve"> million has an indefinite life. Out of the total federal NOL carry forward, approximately </w:t>
      </w:r>
      <w:r>
        <w:rPr>
          <w:sz w:val="20"/>
          <w:szCs w:val="20"/>
        </w:rPr>
        <w:t>$</w:t>
      </w:r>
      <w:r>
        <w:rPr>
          <w:sz w:val="20"/>
          <w:szCs w:val="20"/>
        </w:rPr>
        <w:t>237.</w:t>
      </w:r>
      <w:r>
        <w:rPr>
          <w:sz w:val="20"/>
          <w:szCs w:val="20"/>
        </w:rPr>
        <w:t>6</w:t>
      </w:r>
      <w:r>
        <w:rPr>
          <w:sz w:val="20"/>
          <w:szCs w:val="20"/>
        </w:rPr>
        <w:t xml:space="preserve"> million is from</w:t>
      </w:r>
      <w:r>
        <w:rPr>
          <w:sz w:val="20"/>
          <w:szCs w:val="20"/>
        </w:rPr>
        <w:t xml:space="preserve"> the CareCloud and Meridian acquisitions and is subject to the federal Section 382 NOL annual usage limitations. The Company has state NOL carry forwards of approximately </w:t>
      </w:r>
      <w:r>
        <w:rPr>
          <w:sz w:val="20"/>
          <w:szCs w:val="20"/>
        </w:rPr>
        <w:t>$</w:t>
      </w:r>
      <w:r>
        <w:rPr>
          <w:sz w:val="20"/>
          <w:szCs w:val="20"/>
        </w:rPr>
        <w:t>212.</w:t>
      </w:r>
      <w:r>
        <w:rPr>
          <w:sz w:val="20"/>
          <w:szCs w:val="20"/>
        </w:rPr>
        <w:t>1</w:t>
      </w:r>
      <w:r>
        <w:rPr>
          <w:sz w:val="20"/>
          <w:szCs w:val="20"/>
        </w:rPr>
        <w:t xml:space="preserve"> million, of which </w:t>
      </w:r>
      <w:r>
        <w:rPr>
          <w:sz w:val="20"/>
          <w:szCs w:val="20"/>
        </w:rPr>
        <w:t>$</w:t>
      </w:r>
      <w:r>
        <w:rPr>
          <w:sz w:val="20"/>
          <w:szCs w:val="20"/>
        </w:rPr>
        <w:t>86.</w:t>
      </w:r>
      <w:r>
        <w:rPr>
          <w:sz w:val="20"/>
          <w:szCs w:val="20"/>
        </w:rPr>
        <w:t>5</w:t>
      </w:r>
      <w:r>
        <w:rPr>
          <w:sz w:val="20"/>
          <w:szCs w:val="20"/>
        </w:rPr>
        <w:t xml:space="preserve"> million relates to the State of New Jersey. These NOLs</w:t>
      </w:r>
      <w:r>
        <w:rPr>
          <w:sz w:val="20"/>
          <w:szCs w:val="20"/>
        </w:rPr>
        <w:t xml:space="preserve"> </w:t>
      </w:r>
      <w:r>
        <w:rPr>
          <w:sz w:val="20"/>
          <w:szCs w:val="20"/>
        </w:rPr>
        <w:t>expire between 2034 and 2040</w:t>
      </w:r>
      <w:r>
        <w:rPr>
          <w:sz w:val="20"/>
          <w:szCs w:val="20"/>
        </w:rPr>
        <w: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The Company has a full valuation allowance on its deferred tax assets in the U.S. which results in there being no U.S. deferred tax assets or liabilities recorded on the consolidated balance sheets, other than the deferred </w:t>
      </w:r>
      <w:r>
        <w:rPr>
          <w:sz w:val="20"/>
          <w:szCs w:val="20"/>
        </w:rPr>
        <w:t>tax liability related to the amortization of goodwill.</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Appropriations Act was signed into law on December 27, 2020 and contains many tax-related provisions. Some of the more notable provisions are</w:t>
      </w:r>
      <w:r>
        <w:rPr>
          <w:sz w:val="20"/>
          <w:szCs w:val="20"/>
        </w:rPr>
        <w:t xml:space="preserve"> </w:t>
      </w:r>
      <w:r>
        <w:rPr>
          <w:sz w:val="20"/>
          <w:szCs w:val="20"/>
        </w:rPr>
        <w:t>(1) clarifying the tax treatment of expenses paid wit</w:t>
      </w:r>
      <w:r>
        <w:rPr>
          <w:sz w:val="20"/>
          <w:szCs w:val="20"/>
        </w:rPr>
        <w:t>h Paycheck Protection Program (PPP) loan proceeds, (2) temporarily providing for a 100% deduction of business meal expenses, (3) modifying the Employee Retention Tax Credit previously enacted under the Coronavirus Aid, Relief, and Economic Security Act (CA</w:t>
      </w:r>
      <w:r>
        <w:rPr>
          <w:sz w:val="20"/>
          <w:szCs w:val="20"/>
        </w:rPr>
        <w:t>RES Act), (4) extending the repayment period of certain deferred payroll taxes, and (5) extending the tax credits available to employers under the Families First Coronavirus Response Act (FFCRA) and Section 45S of the Internal Revenue Code of 1986, as amen</w:t>
      </w:r>
      <w:r>
        <w:rPr>
          <w:sz w:val="20"/>
          <w:szCs w:val="20"/>
        </w:rPr>
        <w:t>ded (the Code) for employer-paid family and medical leave</w:t>
      </w:r>
      <w:r>
        <w:rPr>
          <w:sz w:val="20"/>
          <w:szCs w:val="20"/>
        </w:rPr>
        <w:t>.</w:t>
      </w:r>
      <w:r>
        <w:rPr>
          <w:sz w:val="20"/>
          <w:szCs w:val="20"/>
        </w:rPr>
        <w:t xml:space="preserve"> The Company believes these new provisions will not have a significant impact on the consolidated financial statements.</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13412645"/>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rPr>
          <w:b/>
          <w:bCs/>
          <w:caps/>
          <w:sz w:val="20"/>
          <w:szCs w:val="20"/>
        </w:rPr>
      </w:pPr>
      <w:r>
        <w:rPr>
          <w:b/>
          <w:bCs/>
          <w:caps/>
          <w:sz w:val="20"/>
          <w:szCs w:val="20"/>
        </w:rPr>
        <w:t>17.</w:t>
      </w:r>
      <w:r>
        <w:rPr>
          <w:b/>
          <w:bCs/>
          <w:caps/>
          <w:sz w:val="20"/>
          <w:szCs w:val="20"/>
        </w:rPr>
        <w:t xml:space="preserve"> </w:t>
      </w:r>
      <w:r>
        <w:rPr>
          <w:b/>
          <w:bCs/>
          <w:caps/>
          <w:sz w:val="20"/>
          <w:szCs w:val="20"/>
        </w:rPr>
        <w:t>OTHER (EXPENSE) INCOME – NE</w:t>
      </w:r>
      <w:r>
        <w:rPr>
          <w:b/>
          <w:bCs/>
          <w:caps/>
          <w:sz w:val="20"/>
          <w:szCs w:val="20"/>
        </w:rPr>
        <w:t>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Other (expense) income - net </w:t>
      </w:r>
      <w:r>
        <w:rPr>
          <w:sz w:val="20"/>
          <w:szCs w:val="20"/>
        </w:rPr>
        <w:t>for the years ended December 31, 2021 and 2020 consisted of the following:</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vanish/>
          <w:sz w:val="20"/>
          <w:szCs w:val="20"/>
        </w:rPr>
        <w:t>SCHEDULE OF OTHER (EXPENSE) INCOME - NE</w:t>
      </w:r>
      <w:r>
        <w:rPr>
          <w:vanish/>
          <w:sz w:val="20"/>
          <w:szCs w:val="20"/>
        </w:rPr>
        <w:t>T</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19"/>
        <w:gridCol w:w="101"/>
        <w:gridCol w:w="1050"/>
        <w:gridCol w:w="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B30BA7">
            <w:pPr>
              <w:rPr>
                <w:rFonts w:eastAsia="Times New Roman"/>
                <w:sz w:val="20"/>
                <w:szCs w:val="20"/>
              </w:rPr>
            </w:pPr>
            <w:r>
              <w:rPr>
                <w:rFonts w:eastAsia="Times New Roman"/>
                <w:sz w:val="20"/>
                <w:szCs w:val="20"/>
              </w:rPr>
              <w:t>Foreign exchange gains</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16</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Other expense</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(96</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sz w:val="20"/>
          <w:szCs w:val="20"/>
        </w:rPr>
        <w:t xml:space="preserve">Foreign </w:t>
      </w:r>
      <w:r>
        <w:rPr>
          <w:sz w:val="20"/>
          <w:szCs w:val="20"/>
        </w:rPr>
        <w:t>currency transaction gains and losses primarily result from transactions in foreign currencies other than the functional currency. These transaction gains and losses are recorded in the consolidated statements of operations related to the recurring measure</w:t>
      </w:r>
      <w:r>
        <w:rPr>
          <w:sz w:val="20"/>
          <w:szCs w:val="20"/>
        </w:rPr>
        <w:t>ment and settlement of such transactions.</w:t>
      </w:r>
    </w:p>
    <w:p w:rsidR="00000000" w:rsidRDefault="00B30BA7">
      <w:pPr>
        <w:pStyle w:val="a3"/>
        <w:shd w:val="clear" w:color="auto" w:fill="FFFFFF"/>
        <w:spacing w:before="0" w:beforeAutospacing="0" w:after="0" w:afterAutospacing="0"/>
        <w:jc w:val="both"/>
        <w:rPr>
          <w:color w:val="FF0000"/>
          <w:sz w:val="20"/>
          <w:szCs w:val="20"/>
        </w:rPr>
      </w:pPr>
      <w:r>
        <w:rPr>
          <w:color w:val="FF0000"/>
          <w:sz w:val="20"/>
          <w:szCs w:val="20"/>
        </w:rPr>
        <w:t> </w:t>
      </w:r>
    </w:p>
    <w:p w:rsidR="00000000" w:rsidRDefault="00B30BA7">
      <w:pPr>
        <w:pStyle w:val="a3"/>
        <w:spacing w:before="0" w:beforeAutospacing="0" w:after="0" w:afterAutospacing="0"/>
        <w:rPr>
          <w:b/>
          <w:bCs/>
          <w:caps/>
          <w:sz w:val="20"/>
          <w:szCs w:val="20"/>
        </w:rPr>
      </w:pPr>
      <w:r>
        <w:rPr>
          <w:b/>
          <w:bCs/>
          <w:caps/>
          <w:sz w:val="20"/>
          <w:szCs w:val="20"/>
        </w:rPr>
        <w:t>18.</w:t>
      </w:r>
      <w:r>
        <w:rPr>
          <w:b/>
          <w:bCs/>
          <w:caps/>
          <w:sz w:val="20"/>
          <w:szCs w:val="20"/>
        </w:rPr>
        <w:t xml:space="preserve"> </w:t>
      </w:r>
      <w:r>
        <w:rPr>
          <w:b/>
          <w:bCs/>
          <w:caps/>
          <w:sz w:val="20"/>
          <w:szCs w:val="20"/>
        </w:rPr>
        <w:t>SEGMENT REPORTIN</w:t>
      </w:r>
      <w:r>
        <w:rPr>
          <w:b/>
          <w:bCs/>
          <w:caps/>
          <w:sz w:val="20"/>
          <w:szCs w:val="20"/>
        </w:rPr>
        <w:t>G</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Both our Chief Executive Officer and Executive Chairman serve as the CODM, organize the Company, manage resource allocations and measure performance among</w:t>
      </w:r>
      <w:r>
        <w:rPr>
          <w:sz w:val="20"/>
          <w:szCs w:val="20"/>
        </w:rPr>
        <w:t xml:space="preserve"> </w:t>
      </w:r>
      <w:r>
        <w:rPr>
          <w:sz w:val="20"/>
          <w:szCs w:val="20"/>
        </w:rPr>
        <w:t>tw</w:t>
      </w:r>
      <w:r>
        <w:rPr>
          <w:sz w:val="20"/>
          <w:szCs w:val="20"/>
        </w:rPr>
        <w:t>o</w:t>
      </w:r>
      <w:r>
        <w:rPr>
          <w:sz w:val="20"/>
          <w:szCs w:val="20"/>
        </w:rPr>
        <w:t xml:space="preserve"> operating and reportable segm</w:t>
      </w:r>
      <w:r>
        <w:rPr>
          <w:sz w:val="20"/>
          <w:szCs w:val="20"/>
        </w:rPr>
        <w:t>ents: (i) Healthcare IT and (ii) Practice Management.</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Healthcare IT segment includes revenue cycle management and other services. The Practice Management segment includes the management of three medical practices. Each segment is considered a reporti</w:t>
      </w:r>
      <w:r>
        <w:rPr>
          <w:sz w:val="20"/>
          <w:szCs w:val="20"/>
        </w:rPr>
        <w:t>ng unit. The CODM evaluates financial performance of the business units on the basis of revenue and direct operating costs excluding unallocated amounts, which are mainly corporate overhead costs. Our CODM does not evaluate operating segments using asset o</w:t>
      </w:r>
      <w:r>
        <w:rPr>
          <w:sz w:val="20"/>
          <w:szCs w:val="20"/>
        </w:rPr>
        <w:t xml:space="preserve">r liability information. The accounting policies of the segments are the same as those disclosed in the summary of significant accounting policies. The following tables present revenues, operating expenses and operating income (loss) by reportable segment </w:t>
      </w:r>
      <w:r>
        <w:rPr>
          <w:sz w:val="20"/>
          <w:szCs w:val="20"/>
        </w:rPr>
        <w:t>for the years ended December 31, 2021 and 2020:</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hd w:val="clear" w:color="auto" w:fill="FFFFFF"/>
        <w:spacing w:before="0" w:beforeAutospacing="0" w:after="0" w:afterAutospacing="0"/>
        <w:jc w:val="both"/>
        <w:rPr>
          <w:sz w:val="20"/>
          <w:szCs w:val="20"/>
        </w:rPr>
      </w:pPr>
      <w:r>
        <w:rPr>
          <w:vanish/>
          <w:sz w:val="20"/>
          <w:szCs w:val="20"/>
        </w:rPr>
        <w:t>SCHEDULE OF REVENUES, OPERATING EXPENSES AND OPERATING INCOME (LOSS) BY REPORTABLE SEGMEN</w:t>
      </w:r>
      <w:r>
        <w:rPr>
          <w:vanish/>
          <w:sz w:val="20"/>
          <w:szCs w:val="20"/>
        </w:rPr>
        <w:t>T</w:t>
      </w:r>
    </w:p>
    <w:tbl>
      <w:tblPr>
        <w:tblW w:w="5000" w:type="pct"/>
        <w:tblCellMar>
          <w:left w:w="0" w:type="dxa"/>
          <w:right w:w="0" w:type="dxa"/>
        </w:tblCellMar>
        <w:tblLook w:val="04A0" w:firstRow="1" w:lastRow="0" w:firstColumn="1" w:lastColumn="0" w:noHBand="0" w:noVBand="1"/>
      </w:tblPr>
      <w:tblGrid>
        <w:gridCol w:w="3612"/>
        <w:gridCol w:w="123"/>
        <w:gridCol w:w="101"/>
        <w:gridCol w:w="859"/>
        <w:gridCol w:w="67"/>
        <w:gridCol w:w="100"/>
        <w:gridCol w:w="102"/>
        <w:gridCol w:w="1020"/>
        <w:gridCol w:w="50"/>
        <w:gridCol w:w="117"/>
        <w:gridCol w:w="100"/>
        <w:gridCol w:w="930"/>
        <w:gridCol w:w="67"/>
        <w:gridCol w:w="101"/>
        <w:gridCol w:w="100"/>
        <w:gridCol w:w="790"/>
        <w:gridCol w:w="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B30BA7">
            <w:pPr>
              <w:jc w:val="center"/>
              <w:rPr>
                <w:rFonts w:eastAsia="Times New Roman"/>
                <w:b/>
                <w:bCs/>
                <w:sz w:val="20"/>
                <w:szCs w:val="20"/>
              </w:rPr>
            </w:pPr>
            <w:r>
              <w:rPr>
                <w:rFonts w:eastAsia="Times New Roman"/>
                <w:b/>
                <w:bCs/>
                <w:sz w:val="20"/>
                <w:szCs w:val="20"/>
              </w:rPr>
              <w:t>Year Ended December 31, 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pStyle w:val="a3"/>
              <w:spacing w:before="0" w:beforeAutospacing="0" w:after="0" w:afterAutospacing="0"/>
              <w:jc w:val="center"/>
              <w:rPr>
                <w:b/>
                <w:bCs/>
                <w:sz w:val="20"/>
                <w:szCs w:val="20"/>
              </w:rPr>
            </w:pPr>
            <w:r>
              <w:rPr>
                <w:b/>
                <w:bCs/>
                <w:sz w:val="20"/>
                <w:szCs w:val="20"/>
              </w:rPr>
              <w:t>Medical</w:t>
            </w:r>
          </w:p>
          <w:p w:rsidR="00000000" w:rsidRDefault="00B30BA7">
            <w:pPr>
              <w:pStyle w:val="a3"/>
              <w:spacing w:before="0" w:beforeAutospacing="0" w:after="0" w:afterAutospacing="0"/>
              <w:jc w:val="center"/>
              <w:rPr>
                <w:b/>
                <w:bCs/>
                <w:sz w:val="20"/>
                <w:szCs w:val="20"/>
              </w:rPr>
            </w:pPr>
            <w:r>
              <w:rPr>
                <w:b/>
                <w:bCs/>
                <w:sz w:val="20"/>
                <w:szCs w:val="20"/>
              </w:rPr>
              <w:t>Practice Management</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pStyle w:val="a3"/>
              <w:spacing w:before="0" w:beforeAutospacing="0" w:after="0" w:afterAutospacing="0"/>
              <w:jc w:val="center"/>
              <w:rPr>
                <w:b/>
                <w:bCs/>
                <w:sz w:val="20"/>
                <w:szCs w:val="20"/>
              </w:rPr>
            </w:pPr>
            <w:r>
              <w:rPr>
                <w:b/>
                <w:bCs/>
                <w:sz w:val="20"/>
                <w:szCs w:val="20"/>
              </w:rPr>
              <w:t>Unallocated Corporate</w:t>
            </w:r>
          </w:p>
          <w:p w:rsidR="00000000" w:rsidRDefault="00B30BA7">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B30BA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127,080</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12,519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139,599</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76,981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9,937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86,918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8,755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8,786</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13,910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2,080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8,283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24,273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4,408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4,408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Change </w:t>
            </w:r>
            <w:r>
              <w:rPr>
                <w:rFonts w:eastAsia="Times New Roman"/>
                <w:sz w:val="20"/>
                <w:szCs w:val="20"/>
              </w:rPr>
              <w:t>in contingent consideration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11,854</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341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12,195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 xml:space="preserve">Loss </w:t>
            </w:r>
            <w:r>
              <w:rPr>
                <w:rFonts w:eastAsia="Times New Roman"/>
                <w:sz w:val="20"/>
                <w:szCs w:val="20"/>
              </w:rPr>
              <w:t>on lease termination, 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2,005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115,398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12,389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8,283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136,070</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Operating income (loss)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11,682</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130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(8,283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3,529</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0685813"/>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hd w:val="clear" w:color="auto" w:fill="FFFFFF"/>
        <w:spacing w:before="0" w:beforeAutospacing="0" w:after="0" w:afterAutospacing="0"/>
        <w:jc w:val="both"/>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3612"/>
        <w:gridCol w:w="123"/>
        <w:gridCol w:w="101"/>
        <w:gridCol w:w="859"/>
        <w:gridCol w:w="67"/>
        <w:gridCol w:w="100"/>
        <w:gridCol w:w="102"/>
        <w:gridCol w:w="1020"/>
        <w:gridCol w:w="50"/>
        <w:gridCol w:w="117"/>
        <w:gridCol w:w="100"/>
        <w:gridCol w:w="930"/>
        <w:gridCol w:w="67"/>
        <w:gridCol w:w="101"/>
        <w:gridCol w:w="100"/>
        <w:gridCol w:w="790"/>
        <w:gridCol w:w="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B30BA7">
            <w:pPr>
              <w:jc w:val="center"/>
              <w:rPr>
                <w:rFonts w:eastAsia="Times New Roman"/>
                <w:b/>
                <w:bCs/>
                <w:sz w:val="20"/>
                <w:szCs w:val="20"/>
              </w:rPr>
            </w:pPr>
            <w:r>
              <w:rPr>
                <w:rFonts w:eastAsia="Times New Roman"/>
                <w:b/>
                <w:bCs/>
                <w:sz w:val="20"/>
                <w:szCs w:val="20"/>
              </w:rPr>
              <w:t>Year Ended December 31, 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pStyle w:val="a3"/>
              <w:spacing w:before="0" w:beforeAutospacing="0" w:after="0" w:afterAutospacing="0"/>
              <w:jc w:val="center"/>
              <w:rPr>
                <w:b/>
                <w:bCs/>
                <w:sz w:val="20"/>
                <w:szCs w:val="20"/>
              </w:rPr>
            </w:pPr>
            <w:r>
              <w:rPr>
                <w:b/>
                <w:bCs/>
                <w:sz w:val="20"/>
                <w:szCs w:val="20"/>
              </w:rPr>
              <w:t>Medical</w:t>
            </w:r>
          </w:p>
          <w:p w:rsidR="00000000" w:rsidRDefault="00B30BA7">
            <w:pPr>
              <w:pStyle w:val="a3"/>
              <w:spacing w:before="0" w:beforeAutospacing="0" w:after="0" w:afterAutospacing="0"/>
              <w:jc w:val="center"/>
              <w:rPr>
                <w:b/>
                <w:bCs/>
                <w:sz w:val="20"/>
                <w:szCs w:val="20"/>
              </w:rPr>
            </w:pPr>
            <w:r>
              <w:rPr>
                <w:b/>
                <w:bCs/>
                <w:sz w:val="20"/>
                <w:szCs w:val="20"/>
              </w:rPr>
              <w:t>Practice Management</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pStyle w:val="a3"/>
              <w:spacing w:before="0" w:beforeAutospacing="0" w:after="0" w:afterAutospacing="0"/>
              <w:jc w:val="center"/>
              <w:rPr>
                <w:b/>
                <w:bCs/>
                <w:sz w:val="20"/>
                <w:szCs w:val="20"/>
              </w:rPr>
            </w:pPr>
            <w:r>
              <w:rPr>
                <w:b/>
                <w:bCs/>
                <w:sz w:val="20"/>
                <w:szCs w:val="20"/>
              </w:rPr>
              <w:t xml:space="preserve">Unallocated Corporate </w:t>
            </w:r>
          </w:p>
          <w:p w:rsidR="00000000" w:rsidRDefault="00B30BA7">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B30BA7">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93,324</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11,798</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30BA7">
            <w:pPr>
              <w:jc w:val="right"/>
              <w:rPr>
                <w:rFonts w:eastAsia="Times New Roman"/>
                <w:sz w:val="20"/>
                <w:szCs w:val="20"/>
              </w:rPr>
            </w:pPr>
            <w:r>
              <w:rPr>
                <w:rFonts w:eastAsia="Times New Roman"/>
                <w:sz w:val="20"/>
                <w:szCs w:val="20"/>
              </w:rPr>
              <w:t>105,122</w:t>
            </w:r>
          </w:p>
        </w:tc>
        <w:tc>
          <w:tcPr>
            <w:tcW w:w="50" w:type="pct"/>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55,653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9,168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64,821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6,549</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6,582</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14,578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1,978</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6,255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22,811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9,311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9,311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9,587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318</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jc w:val="right"/>
              <w:rPr>
                <w:rFonts w:eastAsia="Times New Roman"/>
                <w:sz w:val="20"/>
                <w:szCs w:val="20"/>
              </w:rPr>
            </w:pPr>
            <w:r>
              <w:rPr>
                <w:rFonts w:eastAsia="Times New Roman"/>
                <w:sz w:val="20"/>
                <w:szCs w:val="20"/>
              </w:rPr>
              <w:t>9,905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Impairment and unoccupied lease charges</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30BA7">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95,641</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11,497</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6,255</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113,393</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Operating (loss) income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(2,317</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301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(6,255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(8,271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bl>
    <w:p w:rsidR="00000000" w:rsidRDefault="00B30BA7">
      <w:pPr>
        <w:pStyle w:val="a3"/>
        <w:shd w:val="clear" w:color="auto" w:fill="FFFFFF"/>
        <w:spacing w:before="0" w:beforeAutospacing="0" w:after="0" w:afterAutospacing="0"/>
        <w:jc w:val="both"/>
        <w:rPr>
          <w:color w:val="FF0000"/>
          <w:sz w:val="20"/>
          <w:szCs w:val="20"/>
        </w:rPr>
      </w:pPr>
      <w:r>
        <w:rPr>
          <w:color w:val="FF0000"/>
          <w:sz w:val="20"/>
          <w:szCs w:val="20"/>
        </w:rPr>
        <w:t> </w:t>
      </w:r>
    </w:p>
    <w:p w:rsidR="00000000" w:rsidRDefault="00B30BA7">
      <w:pPr>
        <w:pStyle w:val="a3"/>
        <w:spacing w:before="0" w:beforeAutospacing="0" w:after="0" w:afterAutospacing="0"/>
        <w:rPr>
          <w:b/>
          <w:bCs/>
          <w:caps/>
          <w:sz w:val="20"/>
          <w:szCs w:val="20"/>
        </w:rPr>
      </w:pPr>
      <w:r>
        <w:rPr>
          <w:b/>
          <w:bCs/>
          <w:caps/>
          <w:sz w:val="20"/>
          <w:szCs w:val="20"/>
        </w:rPr>
        <w:t>19.</w:t>
      </w:r>
      <w:r>
        <w:rPr>
          <w:b/>
          <w:bCs/>
          <w:caps/>
          <w:sz w:val="20"/>
          <w:szCs w:val="20"/>
        </w:rPr>
        <w:t xml:space="preserve"> </w:t>
      </w:r>
      <w:r>
        <w:rPr>
          <w:b/>
          <w:bCs/>
          <w:caps/>
          <w:sz w:val="20"/>
          <w:szCs w:val="20"/>
        </w:rPr>
        <w:t>FAIR VALUE OF FINANCIAL INSTRUMENT</w:t>
      </w:r>
      <w:r>
        <w:rPr>
          <w:b/>
          <w:bCs/>
          <w:caps/>
          <w:sz w:val="20"/>
          <w:szCs w:val="20"/>
        </w:rPr>
        <w: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Fair value measurements are based upon observable and unobservable inputs. Observable inputs reflect market data obtained from independent sources, while unobservable inputs reflect our view of market participant assum</w:t>
      </w:r>
      <w:r>
        <w:rPr>
          <w:sz w:val="20"/>
          <w:szCs w:val="20"/>
        </w:rPr>
        <w:t xml:space="preserve">ptions in the absence of observable market information. We utilize valuation techniques that maximize the use of observable inputs and minimize the use of unobservable inputs. The fair values of assets and liabilities required to be measured at fair value </w:t>
      </w:r>
      <w:r>
        <w:rPr>
          <w:sz w:val="20"/>
          <w:szCs w:val="20"/>
        </w:rPr>
        <w:t>are categorized based upon the level of judgement associated with the inputs used to measure their value in one of the following three categories: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Level 1: Inputs are unadjusted quoted prices in active markets for identical assets or liabilities. We held</w:t>
      </w:r>
      <w:r>
        <w:rPr>
          <w:sz w:val="20"/>
          <w:szCs w:val="20"/>
        </w:rPr>
        <w:t xml:space="preserve"> no Level 1 financial instruments at December 31, 2021 or December 31, 2020.</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Level </w:t>
      </w:r>
      <w:r>
        <w:rPr>
          <w:sz w:val="20"/>
          <w:szCs w:val="20"/>
        </w:rPr>
        <w:t>2: Quoted prices for similar instruments in active markets with inputs that are observable, either directly or indirectly. Our Level 2 financial instruments include notes payable which are carried at cost and approximate fair value since the interest rates</w:t>
      </w:r>
      <w:r>
        <w:rPr>
          <w:sz w:val="20"/>
          <w:szCs w:val="20"/>
        </w:rPr>
        <w:t xml:space="preserve"> being charged approximate market rates.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Level 3: Unobservable inputs are significant to the fair value of the asset or liability, and include situations where there is little, if any, market activity for the asset or liability. Our Level 3 instruments i</w:t>
      </w:r>
      <w:r>
        <w:rPr>
          <w:sz w:val="20"/>
          <w:szCs w:val="20"/>
        </w:rPr>
        <w:t>nclude the fair value of contingent consideration related to completed acquisitions. The fair value at December 31, 2021 is based on discounted cash flow analysis reflecting the likelihood of achieving specified performance measure or events and captures t</w:t>
      </w:r>
      <w:r>
        <w:rPr>
          <w:sz w:val="20"/>
          <w:szCs w:val="20"/>
        </w:rPr>
        <w:t>he contractual nature of the contingencies, the passage of time and the associated discount rate. As of December 31, 2021, the contingent consideration is valued using a Monte Carlo simulation model.</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The following table provides a reconciliation of the b</w:t>
      </w:r>
      <w:r>
        <w:rPr>
          <w:sz w:val="20"/>
          <w:szCs w:val="20"/>
        </w:rPr>
        <w:t>eginning and ending balances for the contingent consideration measured at fair value using significant unobservable inputs (Level 3):</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vanish/>
          <w:sz w:val="20"/>
          <w:szCs w:val="20"/>
        </w:rPr>
        <w:t>SCHEDULE OF FAIR VALUE, LIABILITIES MEASURED ON RECURRING BASIS, UNOBSERVABLE INPUT RECONCILIATIO</w:t>
      </w:r>
      <w:r>
        <w:rPr>
          <w:vanish/>
          <w:sz w:val="20"/>
          <w:szCs w:val="20"/>
        </w:rPr>
        <w:t>N</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B30BA7">
            <w:pPr>
              <w:jc w:val="center"/>
              <w:rPr>
                <w:rFonts w:eastAsia="Times New Roman"/>
                <w:b/>
                <w:bCs/>
                <w:sz w:val="20"/>
                <w:szCs w:val="20"/>
              </w:rPr>
            </w:pPr>
            <w:r>
              <w:rPr>
                <w:rFonts w:eastAsia="Times New Roman"/>
                <w:b/>
                <w:bCs/>
                <w:sz w:val="20"/>
                <w:szCs w:val="20"/>
              </w:rPr>
              <w:t>Fair Value Measur</w:t>
            </w:r>
            <w:r>
              <w:rPr>
                <w:rFonts w:eastAsia="Times New Roman"/>
                <w:b/>
                <w:bCs/>
                <w:sz w:val="20"/>
                <w:szCs w:val="20"/>
              </w:rPr>
              <w:t>ement at Reporting Date Using Significant Unobservable Inputs, Level 3</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Year Ended December 31,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30BA7">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B30BA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c>
          <w:tcPr>
            <w:tcW w:w="0" w:type="auto"/>
            <w:gridSpan w:val="6"/>
            <w:vAlign w:val="bottom"/>
            <w:hideMark/>
          </w:tcPr>
          <w:p w:rsidR="00000000" w:rsidRDefault="00B30BA7">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Balance - January 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cente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cente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B30BA7">
            <w:pPr>
              <w:rPr>
                <w:rFonts w:eastAsia="Times New Roman"/>
                <w:sz w:val="20"/>
                <w:szCs w:val="20"/>
              </w:rPr>
            </w:pPr>
            <w:r>
              <w:rPr>
                <w:rFonts w:eastAsia="Times New Roman"/>
                <w:sz w:val="20"/>
                <w:szCs w:val="20"/>
              </w:rPr>
              <w:t>Acquisitions</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5,605</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B30BA7">
            <w:pPr>
              <w:jc w:val="right"/>
              <w:rPr>
                <w:rFonts w:eastAsia="Times New Roman"/>
                <w:sz w:val="20"/>
                <w:szCs w:val="20"/>
              </w:rPr>
            </w:pPr>
            <w:r>
              <w:rPr>
                <w:rFonts w:eastAsia="Times New Roman"/>
                <w:sz w:val="20"/>
                <w:szCs w:val="20"/>
              </w:rPr>
              <w:t>1,000</w:t>
            </w:r>
          </w:p>
        </w:tc>
        <w:tc>
          <w:tcPr>
            <w:tcW w:w="50" w:type="pct"/>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xml:space="preserve">Change </w:t>
            </w:r>
            <w:r>
              <w:rPr>
                <w:rFonts w:eastAsia="Times New Roman"/>
                <w:sz w:val="20"/>
                <w:szCs w:val="20"/>
              </w:rPr>
              <w:t>in fair value</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(2,515</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Payments</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30BA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Balance - December 31,</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3,090</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30BA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30BA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9008350"/>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30BA7">
            <w:pPr>
              <w:rPr>
                <w:rFonts w:eastAsia="Times New Roman"/>
                <w:sz w:val="20"/>
                <w:szCs w:val="20"/>
              </w:rPr>
            </w:pPr>
            <w:r>
              <w:rPr>
                <w:rFonts w:eastAsia="Times New Roman"/>
                <w:sz w:val="20"/>
                <w:szCs w:val="20"/>
              </w:rPr>
              <w:t> </w:t>
            </w:r>
          </w:p>
        </w:tc>
      </w:tr>
    </w:tbl>
    <w:p w:rsidR="00000000" w:rsidRDefault="00B30BA7">
      <w:pPr>
        <w:pStyle w:val="a3"/>
        <w:spacing w:before="0" w:beforeAutospacing="0" w:after="0" w:afterAutospacing="0"/>
        <w:jc w:val="both"/>
        <w:rPr>
          <w:color w:val="FF0000"/>
          <w:sz w:val="20"/>
          <w:szCs w:val="20"/>
        </w:rPr>
      </w:pPr>
      <w:r>
        <w:rPr>
          <w:color w:val="FF0000"/>
          <w:sz w:val="20"/>
          <w:szCs w:val="20"/>
        </w:rPr>
        <w:t> </w:t>
      </w:r>
    </w:p>
    <w:p w:rsidR="00000000" w:rsidRDefault="00B30BA7">
      <w:pPr>
        <w:pStyle w:val="a3"/>
        <w:spacing w:before="0" w:beforeAutospacing="0" w:after="0" w:afterAutospacing="0"/>
        <w:rPr>
          <w:b/>
          <w:bCs/>
          <w:caps/>
          <w:sz w:val="20"/>
          <w:szCs w:val="20"/>
        </w:rPr>
      </w:pPr>
      <w:r>
        <w:rPr>
          <w:b/>
          <w:bCs/>
          <w:caps/>
          <w:sz w:val="20"/>
          <w:szCs w:val="20"/>
        </w:rPr>
        <w:t>20.</w:t>
      </w:r>
      <w:r>
        <w:rPr>
          <w:b/>
          <w:bCs/>
          <w:caps/>
          <w:sz w:val="20"/>
          <w:szCs w:val="20"/>
        </w:rPr>
        <w:t xml:space="preserve"> </w:t>
      </w:r>
      <w:r>
        <w:rPr>
          <w:b/>
          <w:bCs/>
          <w:caps/>
          <w:sz w:val="20"/>
          <w:szCs w:val="20"/>
        </w:rPr>
        <w:t>SUBSEQUENT EVENT</w:t>
      </w:r>
      <w:r>
        <w:rPr>
          <w:b/>
          <w:bCs/>
          <w:caps/>
          <w:sz w:val="20"/>
          <w:szCs w:val="20"/>
        </w:rPr>
        <w:t>S</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 xml:space="preserve">During </w:t>
      </w:r>
      <w:r>
        <w:rPr>
          <w:sz w:val="20"/>
          <w:szCs w:val="20"/>
        </w:rPr>
        <w:t>January and early February 2022, the Company issued</w:t>
      </w:r>
      <w:r>
        <w:rPr>
          <w:sz w:val="20"/>
          <w:szCs w:val="20"/>
        </w:rPr>
        <w:t xml:space="preserve"> </w:t>
      </w:r>
      <w:r>
        <w:rPr>
          <w:sz w:val="20"/>
          <w:szCs w:val="20"/>
        </w:rPr>
        <w:t>1,100,810</w:t>
      </w:r>
      <w:r>
        <w:rPr>
          <w:sz w:val="20"/>
          <w:szCs w:val="20"/>
        </w:rPr>
        <w:t xml:space="preserve"> </w:t>
      </w:r>
      <w:r>
        <w:rPr>
          <w:sz w:val="20"/>
          <w:szCs w:val="20"/>
        </w:rPr>
        <w:t>shares of</w:t>
      </w:r>
      <w:r>
        <w:rPr>
          <w:sz w:val="20"/>
          <w:szCs w:val="20"/>
        </w:rPr>
        <w:t xml:space="preserve"> </w:t>
      </w:r>
      <w:r>
        <w:rPr>
          <w:sz w:val="20"/>
          <w:szCs w:val="20"/>
        </w:rPr>
        <w:t>8.7</w:t>
      </w:r>
      <w:r>
        <w:rPr>
          <w:sz w:val="20"/>
          <w:szCs w:val="20"/>
        </w:rPr>
        <w:t>5</w:t>
      </w:r>
      <w:r>
        <w:rPr>
          <w:sz w:val="20"/>
          <w:szCs w:val="20"/>
        </w:rPr>
        <w:t xml:space="preserve">% Series B Cumulative Redeemable Perpetual Preferred Stock (“Series B Preferred Stock”) raising net proceeds after expenses of approximately </w:t>
      </w:r>
      <w:r>
        <w:rPr>
          <w:sz w:val="20"/>
          <w:szCs w:val="20"/>
        </w:rPr>
        <w:t>$</w:t>
      </w:r>
      <w:r>
        <w:rPr>
          <w:sz w:val="20"/>
          <w:szCs w:val="20"/>
        </w:rPr>
        <w:t>25.5</w:t>
      </w:r>
      <w:r>
        <w:rPr>
          <w:sz w:val="20"/>
          <w:szCs w:val="20"/>
        </w:rPr>
        <w:t xml:space="preserve"> </w:t>
      </w:r>
      <w:r>
        <w:rPr>
          <w:sz w:val="20"/>
          <w:szCs w:val="20"/>
        </w:rPr>
        <w:t>million. The Series B Preferred S</w:t>
      </w:r>
      <w:r>
        <w:rPr>
          <w:sz w:val="20"/>
          <w:szCs w:val="20"/>
        </w:rPr>
        <w:t xml:space="preserve">tock is listed on the Nasdaq Global Market under the symbol “MTBCO.” </w:t>
      </w:r>
      <w:r>
        <w:rPr>
          <w:color w:val="000000"/>
          <w:sz w:val="20"/>
          <w:szCs w:val="20"/>
        </w:rPr>
        <w:t xml:space="preserve">Dividends on the Series B Preferred Stock of approximately </w:t>
      </w:r>
      <w:r>
        <w:rPr>
          <w:color w:val="000000"/>
          <w:sz w:val="20"/>
          <w:szCs w:val="20"/>
        </w:rPr>
        <w:t>$</w:t>
      </w:r>
      <w:r>
        <w:rPr>
          <w:color w:val="000000"/>
          <w:sz w:val="20"/>
          <w:szCs w:val="20"/>
        </w:rPr>
        <w:t>2.19</w:t>
      </w:r>
      <w:r>
        <w:rPr>
          <w:color w:val="000000"/>
          <w:sz w:val="20"/>
          <w:szCs w:val="20"/>
        </w:rPr>
        <w:t xml:space="preserve"> </w:t>
      </w:r>
      <w:r>
        <w:rPr>
          <w:color w:val="000000"/>
          <w:sz w:val="20"/>
          <w:szCs w:val="20"/>
        </w:rPr>
        <w:t>annually per share are cumulative from the date of issue and are payable each month when, as and if declared by the Compan</w:t>
      </w:r>
      <w:r>
        <w:rPr>
          <w:color w:val="000000"/>
          <w:sz w:val="20"/>
          <w:szCs w:val="20"/>
        </w:rPr>
        <w:t xml:space="preserve">y’s Board of </w:t>
      </w:r>
      <w:r>
        <w:rPr>
          <w:sz w:val="20"/>
          <w:szCs w:val="20"/>
        </w:rPr>
        <w:t>Directors. During February 2022, the Board of Directors declared the monthly dividend on the Series B Preferred Stock for February 2022.</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Commencing on February 15, 2024 and prior to February 15, 2025, we may redeem, at our option, the Series</w:t>
      </w:r>
      <w:r>
        <w:rPr>
          <w:sz w:val="20"/>
          <w:szCs w:val="20"/>
        </w:rPr>
        <w:t xml:space="preserve"> B Preferred Stock, in whole or in part, at a cash redemption price of </w:t>
      </w:r>
      <w:r>
        <w:rPr>
          <w:sz w:val="20"/>
          <w:szCs w:val="20"/>
        </w:rPr>
        <w:t>$</w:t>
      </w:r>
      <w:r>
        <w:rPr>
          <w:sz w:val="20"/>
          <w:szCs w:val="20"/>
        </w:rPr>
        <w:t>25.7</w:t>
      </w:r>
      <w:r>
        <w:rPr>
          <w:sz w:val="20"/>
          <w:szCs w:val="20"/>
        </w:rPr>
        <w:t>5</w:t>
      </w:r>
      <w:r>
        <w:rPr>
          <w:sz w:val="20"/>
          <w:szCs w:val="20"/>
        </w:rPr>
        <w:t xml:space="preserve"> per share, plus all accrued and unpaid dividends to, but not including, the redemption date. On or after February 15, 2025 and prior to February 15, 2026, we may redeem, at our o</w:t>
      </w:r>
      <w:r>
        <w:rPr>
          <w:sz w:val="20"/>
          <w:szCs w:val="20"/>
        </w:rPr>
        <w:t xml:space="preserve">ption, the Series B Preferred Stock, in whole or in part, at a cash redemption price of </w:t>
      </w:r>
      <w:r>
        <w:rPr>
          <w:sz w:val="20"/>
          <w:szCs w:val="20"/>
        </w:rPr>
        <w:t>$</w:t>
      </w:r>
      <w:r>
        <w:rPr>
          <w:sz w:val="20"/>
          <w:szCs w:val="20"/>
        </w:rPr>
        <w:t>25.5</w:t>
      </w:r>
      <w:r>
        <w:rPr>
          <w:sz w:val="20"/>
          <w:szCs w:val="20"/>
        </w:rPr>
        <w:t>0</w:t>
      </w:r>
      <w:r>
        <w:rPr>
          <w:sz w:val="20"/>
          <w:szCs w:val="20"/>
        </w:rPr>
        <w:t xml:space="preserve"> per share, plus all accrued and unpaid dividends to, but not including, the redemption date. On or after February 15, 2026 and prior to February 15, 2027, we may</w:t>
      </w:r>
      <w:r>
        <w:rPr>
          <w:sz w:val="20"/>
          <w:szCs w:val="20"/>
        </w:rPr>
        <w:t xml:space="preserve"> redeem, at our option, the Series B Preferred Stock, in whole or in part, at a cash redemption price of </w:t>
      </w:r>
      <w:r>
        <w:rPr>
          <w:sz w:val="20"/>
          <w:szCs w:val="20"/>
        </w:rPr>
        <w:t>$</w:t>
      </w:r>
      <w:r>
        <w:rPr>
          <w:sz w:val="20"/>
          <w:szCs w:val="20"/>
        </w:rPr>
        <w:t>25.2</w:t>
      </w:r>
      <w:r>
        <w:rPr>
          <w:sz w:val="20"/>
          <w:szCs w:val="20"/>
        </w:rPr>
        <w:t>5</w:t>
      </w:r>
      <w:r>
        <w:rPr>
          <w:sz w:val="20"/>
          <w:szCs w:val="20"/>
        </w:rPr>
        <w:t xml:space="preserve"> per share, plus all accrued and unpaid dividends to, but not including, the redemption date. On or after February 15, 2027, we may redeem, at ou</w:t>
      </w:r>
      <w:r>
        <w:rPr>
          <w:sz w:val="20"/>
          <w:szCs w:val="20"/>
        </w:rPr>
        <w:t xml:space="preserve">r option, the Series B Preferred Stock, in whole or in part, at a cash redemption price of </w:t>
      </w:r>
      <w:r>
        <w:rPr>
          <w:sz w:val="20"/>
          <w:szCs w:val="20"/>
        </w:rPr>
        <w:t>$</w:t>
      </w:r>
      <w:r>
        <w:rPr>
          <w:sz w:val="20"/>
          <w:szCs w:val="20"/>
        </w:rPr>
        <w:t>25.0</w:t>
      </w:r>
      <w:r>
        <w:rPr>
          <w:sz w:val="20"/>
          <w:szCs w:val="20"/>
        </w:rPr>
        <w:t>0</w:t>
      </w:r>
      <w:r>
        <w:rPr>
          <w:sz w:val="20"/>
          <w:szCs w:val="20"/>
        </w:rPr>
        <w:t xml:space="preserve"> per share, plus all accrued and unpaid dividends to, but not including, the redemption date.</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During January 2022, our agreement with SVB was modified to all</w:t>
      </w:r>
      <w:r>
        <w:rPr>
          <w:sz w:val="20"/>
          <w:szCs w:val="20"/>
        </w:rPr>
        <w:t>ow for the payment of dividends on the Company’s Series B Preferred Stock, to use a portion of the offering to redeem a portion of the Series A Preferred Stock that is outstanding and to allow for the potential exchange of shares of Series A Preferred Stoc</w:t>
      </w:r>
      <w:r>
        <w:rPr>
          <w:sz w:val="20"/>
          <w:szCs w:val="20"/>
        </w:rPr>
        <w:t>k for Series B Preferred Stock.</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During February 2022, the Company entered into an “at-the-market” facility. The underwriter receives</w:t>
      </w:r>
      <w:r>
        <w:rPr>
          <w:sz w:val="20"/>
          <w:szCs w:val="20"/>
        </w:rPr>
        <w:t xml:space="preserve"> </w:t>
      </w:r>
      <w:r>
        <w:rPr>
          <w:sz w:val="20"/>
          <w:szCs w:val="20"/>
        </w:rPr>
        <w:t>3</w:t>
      </w:r>
      <w:r>
        <w:rPr>
          <w:sz w:val="20"/>
          <w:szCs w:val="20"/>
        </w:rPr>
        <w:t>% of the gross proceeds. Through March 11, the Company sold</w:t>
      </w:r>
      <w:r>
        <w:rPr>
          <w:sz w:val="20"/>
          <w:szCs w:val="20"/>
        </w:rPr>
        <w:t xml:space="preserve"> </w:t>
      </w:r>
      <w:r>
        <w:rPr>
          <w:sz w:val="20"/>
          <w:szCs w:val="20"/>
        </w:rPr>
        <w:t>49,56</w:t>
      </w:r>
      <w:r>
        <w:rPr>
          <w:sz w:val="20"/>
          <w:szCs w:val="20"/>
        </w:rPr>
        <w:t>2</w:t>
      </w:r>
      <w:r>
        <w:rPr>
          <w:sz w:val="20"/>
          <w:szCs w:val="20"/>
        </w:rPr>
        <w:t xml:space="preserve"> </w:t>
      </w:r>
      <w:r>
        <w:rPr>
          <w:sz w:val="20"/>
          <w:szCs w:val="20"/>
        </w:rPr>
        <w:t xml:space="preserve">shares of Series B Preferred Stock under this facility and received net proceeds of approximately </w:t>
      </w:r>
      <w:r>
        <w:rPr>
          <w:sz w:val="20"/>
          <w:szCs w:val="20"/>
        </w:rPr>
        <w:t>$</w:t>
      </w:r>
      <w:r>
        <w:rPr>
          <w:sz w:val="20"/>
          <w:szCs w:val="20"/>
        </w:rPr>
        <w:t>1.</w:t>
      </w:r>
      <w:r>
        <w:rPr>
          <w:sz w:val="20"/>
          <w:szCs w:val="20"/>
        </w:rPr>
        <w:t>2</w:t>
      </w:r>
      <w:r>
        <w:rPr>
          <w:sz w:val="20"/>
          <w:szCs w:val="20"/>
        </w:rPr>
        <w:t xml:space="preserve"> million.</w:t>
      </w:r>
    </w:p>
    <w:p w:rsidR="00000000" w:rsidRDefault="00B30BA7">
      <w:pPr>
        <w:pStyle w:val="a3"/>
        <w:spacing w:before="0" w:beforeAutospacing="0" w:after="0" w:afterAutospacing="0"/>
        <w:jc w:val="both"/>
        <w:rPr>
          <w:sz w:val="20"/>
          <w:szCs w:val="20"/>
        </w:rPr>
      </w:pPr>
      <w:r>
        <w:rPr>
          <w:sz w:val="20"/>
          <w:szCs w:val="20"/>
        </w:rPr>
        <w:t> </w:t>
      </w:r>
    </w:p>
    <w:p w:rsidR="00000000" w:rsidRDefault="00B30BA7">
      <w:pPr>
        <w:pStyle w:val="a3"/>
        <w:spacing w:before="0" w:beforeAutospacing="0" w:after="0" w:afterAutospacing="0"/>
        <w:jc w:val="both"/>
        <w:rPr>
          <w:sz w:val="20"/>
          <w:szCs w:val="20"/>
        </w:rPr>
      </w:pPr>
      <w:r>
        <w:rPr>
          <w:sz w:val="20"/>
          <w:szCs w:val="20"/>
        </w:rPr>
        <w:t>Also, during February 2022, the Company began the process of redeeming its Series A Preferred Stock by issuing a notice of its intent to redee</w:t>
      </w:r>
      <w:r>
        <w:rPr>
          <w:sz w:val="20"/>
          <w:szCs w:val="20"/>
        </w:rPr>
        <w:t>m</w:t>
      </w:r>
      <w:r>
        <w:rPr>
          <w:sz w:val="20"/>
          <w:szCs w:val="20"/>
        </w:rPr>
        <w:t xml:space="preserve"> </w:t>
      </w:r>
      <w:r>
        <w:rPr>
          <w:sz w:val="20"/>
          <w:szCs w:val="20"/>
        </w:rPr>
        <w:t>800,000</w:t>
      </w:r>
      <w:r>
        <w:rPr>
          <w:sz w:val="20"/>
          <w:szCs w:val="20"/>
        </w:rPr>
        <w:t xml:space="preserve"> </w:t>
      </w:r>
      <w:r>
        <w:rPr>
          <w:sz w:val="20"/>
          <w:szCs w:val="20"/>
        </w:rPr>
        <w:t xml:space="preserve">shares of Series A Preferred Stock for </w:t>
      </w:r>
      <w:r>
        <w:rPr>
          <w:sz w:val="20"/>
          <w:szCs w:val="20"/>
        </w:rPr>
        <w:t>$</w:t>
      </w:r>
      <w:r>
        <w:rPr>
          <w:sz w:val="20"/>
          <w:szCs w:val="20"/>
        </w:rPr>
        <w:t>25.00</w:t>
      </w:r>
      <w:r>
        <w:rPr>
          <w:sz w:val="20"/>
          <w:szCs w:val="20"/>
        </w:rPr>
        <w:t xml:space="preserve"> </w:t>
      </w:r>
      <w:r>
        <w:rPr>
          <w:sz w:val="20"/>
          <w:szCs w:val="20"/>
        </w:rPr>
        <w:t>per share, plus all accrued and unpaid dividends to, but not including, the redemption date on March 18, 2022.</w:t>
      </w:r>
    </w:p>
    <w:p w:rsidR="00000000" w:rsidRDefault="00B30BA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07587248"/>
        </w:trPr>
        <w:tc>
          <w:tcPr>
            <w:tcW w:w="5000" w:type="pct"/>
            <w:hideMark/>
          </w:tcPr>
          <w:p w:rsidR="00000000" w:rsidRDefault="00B30BA7">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r>
              <w:rPr>
                <w:rFonts w:eastAsia="Times New Roman"/>
                <w:sz w:val="20"/>
                <w:szCs w:val="20"/>
              </w:rPr>
              <w:t>0</w:t>
            </w:r>
          </w:p>
        </w:tc>
      </w:tr>
    </w:tbl>
    <w:p w:rsidR="00B30BA7" w:rsidRDefault="00B30BA7">
      <w:pPr>
        <w:pStyle w:val="a3"/>
        <w:spacing w:before="0" w:beforeAutospacing="0" w:after="0" w:afterAutospacing="0"/>
        <w:rPr>
          <w:sz w:val="20"/>
          <w:szCs w:val="20"/>
        </w:rPr>
      </w:pPr>
      <w:r>
        <w:rPr>
          <w:sz w:val="20"/>
          <w:szCs w:val="20"/>
        </w:rPr>
        <w:t> </w:t>
      </w:r>
    </w:p>
    <w:sectPr w:rsidR="00B30BA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30BA7"/>
    <w:rsid w:val="00B30BA7"/>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1q4"/>
  <w:attachedSchema w:val="http://www.xbrl.org/2006/ref"/>
  <w:attachedSchema w:val="http://fasb.org/us-gaap/2021-01-31"/>
  <w:attachedSchema w:val="http://fasb.org/us-roles/2021-01-31"/>
  <w:attachedSchema w:val="http://www.xbrl.org/dtr/type/2020-01-21"/>
  <w:attachedSchema w:val="http://xbrl.sec.gov/country/2021"/>
  <w:attachedSchema w:val="http://xbrl.sec.gov/stpr/2021"/>
  <w:attachedSchema w:val="http://fasb.org/srt/2021-01-31"/>
  <w:attachedSchema w:val="http://carecloud.com/2021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46">
      <w:marLeft w:val="0"/>
      <w:marRight w:val="0"/>
      <w:marTop w:val="0"/>
      <w:marBottom w:val="120"/>
      <w:divBdr>
        <w:top w:val="none" w:sz="0" w:space="0" w:color="auto"/>
        <w:left w:val="none" w:sz="0" w:space="0" w:color="auto"/>
        <w:bottom w:val="single" w:sz="12" w:space="0" w:color="000000"/>
        <w:right w:val="none" w:sz="0" w:space="0" w:color="auto"/>
      </w:divBdr>
    </w:div>
    <w:div w:id="56169093">
      <w:marLeft w:val="0"/>
      <w:marRight w:val="0"/>
      <w:marTop w:val="0"/>
      <w:marBottom w:val="120"/>
      <w:divBdr>
        <w:top w:val="none" w:sz="0" w:space="0" w:color="auto"/>
        <w:left w:val="none" w:sz="0" w:space="0" w:color="auto"/>
        <w:bottom w:val="single" w:sz="12" w:space="0" w:color="000000"/>
        <w:right w:val="none" w:sz="0" w:space="0" w:color="auto"/>
      </w:divBdr>
    </w:div>
    <w:div w:id="58137617">
      <w:marLeft w:val="0"/>
      <w:marRight w:val="0"/>
      <w:marTop w:val="0"/>
      <w:marBottom w:val="0"/>
      <w:divBdr>
        <w:top w:val="none" w:sz="0" w:space="0" w:color="auto"/>
        <w:left w:val="none" w:sz="0" w:space="0" w:color="auto"/>
        <w:bottom w:val="none" w:sz="0" w:space="0" w:color="auto"/>
        <w:right w:val="none" w:sz="0" w:space="0" w:color="auto"/>
      </w:divBdr>
      <w:divsChild>
        <w:div w:id="618296418">
          <w:marLeft w:val="0"/>
          <w:marRight w:val="0"/>
          <w:marTop w:val="0"/>
          <w:marBottom w:val="0"/>
          <w:divBdr>
            <w:top w:val="single" w:sz="12" w:space="0" w:color="000000"/>
            <w:left w:val="none" w:sz="0" w:space="0" w:color="auto"/>
            <w:bottom w:val="single" w:sz="36" w:space="0" w:color="000000"/>
            <w:right w:val="none" w:sz="0" w:space="0" w:color="auto"/>
          </w:divBdr>
        </w:div>
      </w:divsChild>
    </w:div>
    <w:div w:id="106389677">
      <w:marLeft w:val="0"/>
      <w:marRight w:val="0"/>
      <w:marTop w:val="0"/>
      <w:marBottom w:val="120"/>
      <w:divBdr>
        <w:top w:val="none" w:sz="0" w:space="0" w:color="auto"/>
        <w:left w:val="none" w:sz="0" w:space="0" w:color="auto"/>
        <w:bottom w:val="single" w:sz="12" w:space="0" w:color="000000"/>
        <w:right w:val="none" w:sz="0" w:space="0" w:color="auto"/>
      </w:divBdr>
    </w:div>
    <w:div w:id="109008350">
      <w:marLeft w:val="0"/>
      <w:marRight w:val="0"/>
      <w:marTop w:val="0"/>
      <w:marBottom w:val="120"/>
      <w:divBdr>
        <w:top w:val="none" w:sz="0" w:space="0" w:color="auto"/>
        <w:left w:val="none" w:sz="0" w:space="0" w:color="auto"/>
        <w:bottom w:val="single" w:sz="12" w:space="0" w:color="000000"/>
        <w:right w:val="none" w:sz="0" w:space="0" w:color="auto"/>
      </w:divBdr>
    </w:div>
    <w:div w:id="130633457">
      <w:marLeft w:val="0"/>
      <w:marRight w:val="0"/>
      <w:marTop w:val="0"/>
      <w:marBottom w:val="120"/>
      <w:divBdr>
        <w:top w:val="none" w:sz="0" w:space="0" w:color="auto"/>
        <w:left w:val="none" w:sz="0" w:space="0" w:color="auto"/>
        <w:bottom w:val="single" w:sz="12" w:space="0" w:color="000000"/>
        <w:right w:val="none" w:sz="0" w:space="0" w:color="auto"/>
      </w:divBdr>
    </w:div>
    <w:div w:id="138039318">
      <w:marLeft w:val="0"/>
      <w:marRight w:val="0"/>
      <w:marTop w:val="0"/>
      <w:marBottom w:val="120"/>
      <w:divBdr>
        <w:top w:val="none" w:sz="0" w:space="0" w:color="auto"/>
        <w:left w:val="none" w:sz="0" w:space="0" w:color="auto"/>
        <w:bottom w:val="single" w:sz="12" w:space="0" w:color="000000"/>
        <w:right w:val="none" w:sz="0" w:space="0" w:color="auto"/>
      </w:divBdr>
    </w:div>
    <w:div w:id="170685813">
      <w:marLeft w:val="0"/>
      <w:marRight w:val="0"/>
      <w:marTop w:val="0"/>
      <w:marBottom w:val="120"/>
      <w:divBdr>
        <w:top w:val="none" w:sz="0" w:space="0" w:color="auto"/>
        <w:left w:val="none" w:sz="0" w:space="0" w:color="auto"/>
        <w:bottom w:val="single" w:sz="12" w:space="0" w:color="000000"/>
        <w:right w:val="none" w:sz="0" w:space="0" w:color="auto"/>
      </w:divBdr>
    </w:div>
    <w:div w:id="212695167">
      <w:marLeft w:val="0"/>
      <w:marRight w:val="0"/>
      <w:marTop w:val="0"/>
      <w:marBottom w:val="120"/>
      <w:divBdr>
        <w:top w:val="none" w:sz="0" w:space="0" w:color="auto"/>
        <w:left w:val="none" w:sz="0" w:space="0" w:color="auto"/>
        <w:bottom w:val="single" w:sz="12" w:space="0" w:color="000000"/>
        <w:right w:val="none" w:sz="0" w:space="0" w:color="auto"/>
      </w:divBdr>
    </w:div>
    <w:div w:id="219947981">
      <w:marLeft w:val="0"/>
      <w:marRight w:val="0"/>
      <w:marTop w:val="0"/>
      <w:marBottom w:val="120"/>
      <w:divBdr>
        <w:top w:val="none" w:sz="0" w:space="0" w:color="auto"/>
        <w:left w:val="none" w:sz="0" w:space="0" w:color="auto"/>
        <w:bottom w:val="single" w:sz="12" w:space="0" w:color="000000"/>
        <w:right w:val="none" w:sz="0" w:space="0" w:color="auto"/>
      </w:divBdr>
    </w:div>
    <w:div w:id="231282468">
      <w:marLeft w:val="0"/>
      <w:marRight w:val="0"/>
      <w:marTop w:val="0"/>
      <w:marBottom w:val="120"/>
      <w:divBdr>
        <w:top w:val="none" w:sz="0" w:space="0" w:color="auto"/>
        <w:left w:val="none" w:sz="0" w:space="0" w:color="auto"/>
        <w:bottom w:val="single" w:sz="12" w:space="0" w:color="000000"/>
        <w:right w:val="none" w:sz="0" w:space="0" w:color="auto"/>
      </w:divBdr>
    </w:div>
    <w:div w:id="233781969">
      <w:marLeft w:val="0"/>
      <w:marRight w:val="0"/>
      <w:marTop w:val="0"/>
      <w:marBottom w:val="120"/>
      <w:divBdr>
        <w:top w:val="none" w:sz="0" w:space="0" w:color="auto"/>
        <w:left w:val="none" w:sz="0" w:space="0" w:color="auto"/>
        <w:bottom w:val="single" w:sz="12" w:space="0" w:color="000000"/>
        <w:right w:val="none" w:sz="0" w:space="0" w:color="auto"/>
      </w:divBdr>
    </w:div>
    <w:div w:id="243345169">
      <w:marLeft w:val="0"/>
      <w:marRight w:val="0"/>
      <w:marTop w:val="0"/>
      <w:marBottom w:val="120"/>
      <w:divBdr>
        <w:top w:val="none" w:sz="0" w:space="0" w:color="auto"/>
        <w:left w:val="none" w:sz="0" w:space="0" w:color="auto"/>
        <w:bottom w:val="single" w:sz="12" w:space="0" w:color="000000"/>
        <w:right w:val="none" w:sz="0" w:space="0" w:color="auto"/>
      </w:divBdr>
    </w:div>
    <w:div w:id="247273961">
      <w:marLeft w:val="0"/>
      <w:marRight w:val="0"/>
      <w:marTop w:val="0"/>
      <w:marBottom w:val="120"/>
      <w:divBdr>
        <w:top w:val="none" w:sz="0" w:space="0" w:color="auto"/>
        <w:left w:val="none" w:sz="0" w:space="0" w:color="auto"/>
        <w:bottom w:val="single" w:sz="12" w:space="0" w:color="000000"/>
        <w:right w:val="none" w:sz="0" w:space="0" w:color="auto"/>
      </w:divBdr>
    </w:div>
    <w:div w:id="277688200">
      <w:marLeft w:val="0"/>
      <w:marRight w:val="0"/>
      <w:marTop w:val="0"/>
      <w:marBottom w:val="0"/>
      <w:divBdr>
        <w:top w:val="none" w:sz="0" w:space="0" w:color="auto"/>
        <w:left w:val="none" w:sz="0" w:space="0" w:color="auto"/>
        <w:bottom w:val="none" w:sz="0" w:space="0" w:color="auto"/>
        <w:right w:val="none" w:sz="0" w:space="0" w:color="auto"/>
      </w:divBdr>
    </w:div>
    <w:div w:id="281495217">
      <w:marLeft w:val="0"/>
      <w:marRight w:val="0"/>
      <w:marTop w:val="0"/>
      <w:marBottom w:val="120"/>
      <w:divBdr>
        <w:top w:val="none" w:sz="0" w:space="0" w:color="auto"/>
        <w:left w:val="none" w:sz="0" w:space="0" w:color="auto"/>
        <w:bottom w:val="single" w:sz="12" w:space="0" w:color="000000"/>
        <w:right w:val="none" w:sz="0" w:space="0" w:color="auto"/>
      </w:divBdr>
    </w:div>
    <w:div w:id="306907441">
      <w:marLeft w:val="0"/>
      <w:marRight w:val="0"/>
      <w:marTop w:val="0"/>
      <w:marBottom w:val="120"/>
      <w:divBdr>
        <w:top w:val="none" w:sz="0" w:space="0" w:color="auto"/>
        <w:left w:val="none" w:sz="0" w:space="0" w:color="auto"/>
        <w:bottom w:val="single" w:sz="12" w:space="0" w:color="000000"/>
        <w:right w:val="none" w:sz="0" w:space="0" w:color="auto"/>
      </w:divBdr>
    </w:div>
    <w:div w:id="313412645">
      <w:marLeft w:val="0"/>
      <w:marRight w:val="0"/>
      <w:marTop w:val="0"/>
      <w:marBottom w:val="120"/>
      <w:divBdr>
        <w:top w:val="none" w:sz="0" w:space="0" w:color="auto"/>
        <w:left w:val="none" w:sz="0" w:space="0" w:color="auto"/>
        <w:bottom w:val="single" w:sz="12" w:space="0" w:color="000000"/>
        <w:right w:val="none" w:sz="0" w:space="0" w:color="auto"/>
      </w:divBdr>
    </w:div>
    <w:div w:id="323631353">
      <w:marLeft w:val="0"/>
      <w:marRight w:val="0"/>
      <w:marTop w:val="0"/>
      <w:marBottom w:val="120"/>
      <w:divBdr>
        <w:top w:val="none" w:sz="0" w:space="0" w:color="auto"/>
        <w:left w:val="none" w:sz="0" w:space="0" w:color="auto"/>
        <w:bottom w:val="single" w:sz="12" w:space="0" w:color="000000"/>
        <w:right w:val="none" w:sz="0" w:space="0" w:color="auto"/>
      </w:divBdr>
    </w:div>
    <w:div w:id="350500054">
      <w:marLeft w:val="0"/>
      <w:marRight w:val="0"/>
      <w:marTop w:val="0"/>
      <w:marBottom w:val="120"/>
      <w:divBdr>
        <w:top w:val="none" w:sz="0" w:space="0" w:color="auto"/>
        <w:left w:val="none" w:sz="0" w:space="0" w:color="auto"/>
        <w:bottom w:val="single" w:sz="12" w:space="0" w:color="000000"/>
        <w:right w:val="none" w:sz="0" w:space="0" w:color="auto"/>
      </w:divBdr>
    </w:div>
    <w:div w:id="353115601">
      <w:marLeft w:val="0"/>
      <w:marRight w:val="0"/>
      <w:marTop w:val="0"/>
      <w:marBottom w:val="120"/>
      <w:divBdr>
        <w:top w:val="none" w:sz="0" w:space="0" w:color="auto"/>
        <w:left w:val="none" w:sz="0" w:space="0" w:color="auto"/>
        <w:bottom w:val="single" w:sz="12" w:space="0" w:color="000000"/>
        <w:right w:val="none" w:sz="0" w:space="0" w:color="auto"/>
      </w:divBdr>
    </w:div>
    <w:div w:id="359472210">
      <w:marLeft w:val="0"/>
      <w:marRight w:val="0"/>
      <w:marTop w:val="0"/>
      <w:marBottom w:val="120"/>
      <w:divBdr>
        <w:top w:val="none" w:sz="0" w:space="0" w:color="auto"/>
        <w:left w:val="none" w:sz="0" w:space="0" w:color="auto"/>
        <w:bottom w:val="single" w:sz="12" w:space="0" w:color="000000"/>
        <w:right w:val="none" w:sz="0" w:space="0" w:color="auto"/>
      </w:divBdr>
    </w:div>
    <w:div w:id="366756288">
      <w:marLeft w:val="0"/>
      <w:marRight w:val="0"/>
      <w:marTop w:val="0"/>
      <w:marBottom w:val="120"/>
      <w:divBdr>
        <w:top w:val="none" w:sz="0" w:space="0" w:color="auto"/>
        <w:left w:val="none" w:sz="0" w:space="0" w:color="auto"/>
        <w:bottom w:val="single" w:sz="12" w:space="0" w:color="000000"/>
        <w:right w:val="none" w:sz="0" w:space="0" w:color="auto"/>
      </w:divBdr>
    </w:div>
    <w:div w:id="390076363">
      <w:marLeft w:val="0"/>
      <w:marRight w:val="0"/>
      <w:marTop w:val="0"/>
      <w:marBottom w:val="120"/>
      <w:divBdr>
        <w:top w:val="none" w:sz="0" w:space="0" w:color="auto"/>
        <w:left w:val="none" w:sz="0" w:space="0" w:color="auto"/>
        <w:bottom w:val="single" w:sz="12" w:space="0" w:color="000000"/>
        <w:right w:val="none" w:sz="0" w:space="0" w:color="auto"/>
      </w:divBdr>
    </w:div>
    <w:div w:id="404493301">
      <w:marLeft w:val="0"/>
      <w:marRight w:val="0"/>
      <w:marTop w:val="0"/>
      <w:marBottom w:val="120"/>
      <w:divBdr>
        <w:top w:val="none" w:sz="0" w:space="0" w:color="auto"/>
        <w:left w:val="none" w:sz="0" w:space="0" w:color="auto"/>
        <w:bottom w:val="single" w:sz="12" w:space="0" w:color="000000"/>
        <w:right w:val="none" w:sz="0" w:space="0" w:color="auto"/>
      </w:divBdr>
    </w:div>
    <w:div w:id="448595102">
      <w:marLeft w:val="0"/>
      <w:marRight w:val="0"/>
      <w:marTop w:val="0"/>
      <w:marBottom w:val="120"/>
      <w:divBdr>
        <w:top w:val="none" w:sz="0" w:space="0" w:color="auto"/>
        <w:left w:val="none" w:sz="0" w:space="0" w:color="auto"/>
        <w:bottom w:val="single" w:sz="12" w:space="0" w:color="000000"/>
        <w:right w:val="none" w:sz="0" w:space="0" w:color="auto"/>
      </w:divBdr>
    </w:div>
    <w:div w:id="472335675">
      <w:marLeft w:val="0"/>
      <w:marRight w:val="0"/>
      <w:marTop w:val="0"/>
      <w:marBottom w:val="120"/>
      <w:divBdr>
        <w:top w:val="none" w:sz="0" w:space="0" w:color="auto"/>
        <w:left w:val="none" w:sz="0" w:space="0" w:color="auto"/>
        <w:bottom w:val="single" w:sz="12" w:space="0" w:color="000000"/>
        <w:right w:val="none" w:sz="0" w:space="0" w:color="auto"/>
      </w:divBdr>
    </w:div>
    <w:div w:id="482697149">
      <w:marLeft w:val="0"/>
      <w:marRight w:val="0"/>
      <w:marTop w:val="0"/>
      <w:marBottom w:val="120"/>
      <w:divBdr>
        <w:top w:val="none" w:sz="0" w:space="0" w:color="auto"/>
        <w:left w:val="none" w:sz="0" w:space="0" w:color="auto"/>
        <w:bottom w:val="single" w:sz="12" w:space="0" w:color="000000"/>
        <w:right w:val="none" w:sz="0" w:space="0" w:color="auto"/>
      </w:divBdr>
    </w:div>
    <w:div w:id="482701581">
      <w:marLeft w:val="0"/>
      <w:marRight w:val="0"/>
      <w:marTop w:val="0"/>
      <w:marBottom w:val="120"/>
      <w:divBdr>
        <w:top w:val="none" w:sz="0" w:space="0" w:color="auto"/>
        <w:left w:val="none" w:sz="0" w:space="0" w:color="auto"/>
        <w:bottom w:val="single" w:sz="12" w:space="0" w:color="000000"/>
        <w:right w:val="none" w:sz="0" w:space="0" w:color="auto"/>
      </w:divBdr>
    </w:div>
    <w:div w:id="486942967">
      <w:marLeft w:val="0"/>
      <w:marRight w:val="0"/>
      <w:marTop w:val="0"/>
      <w:marBottom w:val="120"/>
      <w:divBdr>
        <w:top w:val="none" w:sz="0" w:space="0" w:color="auto"/>
        <w:left w:val="none" w:sz="0" w:space="0" w:color="auto"/>
        <w:bottom w:val="single" w:sz="12" w:space="0" w:color="000000"/>
        <w:right w:val="none" w:sz="0" w:space="0" w:color="auto"/>
      </w:divBdr>
    </w:div>
    <w:div w:id="488907101">
      <w:marLeft w:val="0"/>
      <w:marRight w:val="0"/>
      <w:marTop w:val="0"/>
      <w:marBottom w:val="120"/>
      <w:divBdr>
        <w:top w:val="none" w:sz="0" w:space="0" w:color="auto"/>
        <w:left w:val="none" w:sz="0" w:space="0" w:color="auto"/>
        <w:bottom w:val="single" w:sz="12" w:space="0" w:color="000000"/>
        <w:right w:val="none" w:sz="0" w:space="0" w:color="auto"/>
      </w:divBdr>
    </w:div>
    <w:div w:id="489905653">
      <w:marLeft w:val="0"/>
      <w:marRight w:val="0"/>
      <w:marTop w:val="0"/>
      <w:marBottom w:val="120"/>
      <w:divBdr>
        <w:top w:val="none" w:sz="0" w:space="0" w:color="auto"/>
        <w:left w:val="none" w:sz="0" w:space="0" w:color="auto"/>
        <w:bottom w:val="single" w:sz="12" w:space="0" w:color="000000"/>
        <w:right w:val="none" w:sz="0" w:space="0" w:color="auto"/>
      </w:divBdr>
    </w:div>
    <w:div w:id="509679188">
      <w:marLeft w:val="0"/>
      <w:marRight w:val="0"/>
      <w:marTop w:val="0"/>
      <w:marBottom w:val="120"/>
      <w:divBdr>
        <w:top w:val="none" w:sz="0" w:space="0" w:color="auto"/>
        <w:left w:val="none" w:sz="0" w:space="0" w:color="auto"/>
        <w:bottom w:val="single" w:sz="12" w:space="0" w:color="000000"/>
        <w:right w:val="none" w:sz="0" w:space="0" w:color="auto"/>
      </w:divBdr>
    </w:div>
    <w:div w:id="541065305">
      <w:marLeft w:val="0"/>
      <w:marRight w:val="0"/>
      <w:marTop w:val="0"/>
      <w:marBottom w:val="120"/>
      <w:divBdr>
        <w:top w:val="none" w:sz="0" w:space="0" w:color="auto"/>
        <w:left w:val="none" w:sz="0" w:space="0" w:color="auto"/>
        <w:bottom w:val="single" w:sz="12" w:space="0" w:color="000000"/>
        <w:right w:val="none" w:sz="0" w:space="0" w:color="auto"/>
      </w:divBdr>
    </w:div>
    <w:div w:id="561332876">
      <w:marLeft w:val="0"/>
      <w:marRight w:val="0"/>
      <w:marTop w:val="0"/>
      <w:marBottom w:val="0"/>
      <w:divBdr>
        <w:top w:val="none" w:sz="0" w:space="0" w:color="auto"/>
        <w:left w:val="none" w:sz="0" w:space="0" w:color="auto"/>
        <w:bottom w:val="none" w:sz="0" w:space="0" w:color="auto"/>
        <w:right w:val="none" w:sz="0" w:space="0" w:color="auto"/>
      </w:divBdr>
      <w:divsChild>
        <w:div w:id="897396223">
          <w:marLeft w:val="0"/>
          <w:marRight w:val="0"/>
          <w:marTop w:val="0"/>
          <w:marBottom w:val="0"/>
          <w:divBdr>
            <w:top w:val="none" w:sz="0" w:space="0" w:color="auto"/>
            <w:left w:val="none" w:sz="0" w:space="0" w:color="auto"/>
            <w:bottom w:val="none" w:sz="0" w:space="0" w:color="auto"/>
            <w:right w:val="none" w:sz="0" w:space="0" w:color="auto"/>
          </w:divBdr>
        </w:div>
      </w:divsChild>
    </w:div>
    <w:div w:id="571935958">
      <w:marLeft w:val="0"/>
      <w:marRight w:val="0"/>
      <w:marTop w:val="0"/>
      <w:marBottom w:val="120"/>
      <w:divBdr>
        <w:top w:val="none" w:sz="0" w:space="0" w:color="auto"/>
        <w:left w:val="none" w:sz="0" w:space="0" w:color="auto"/>
        <w:bottom w:val="single" w:sz="12" w:space="0" w:color="000000"/>
        <w:right w:val="none" w:sz="0" w:space="0" w:color="auto"/>
      </w:divBdr>
    </w:div>
    <w:div w:id="623582100">
      <w:marLeft w:val="0"/>
      <w:marRight w:val="0"/>
      <w:marTop w:val="0"/>
      <w:marBottom w:val="120"/>
      <w:divBdr>
        <w:top w:val="none" w:sz="0" w:space="0" w:color="auto"/>
        <w:left w:val="none" w:sz="0" w:space="0" w:color="auto"/>
        <w:bottom w:val="single" w:sz="12" w:space="0" w:color="000000"/>
        <w:right w:val="none" w:sz="0" w:space="0" w:color="auto"/>
      </w:divBdr>
    </w:div>
    <w:div w:id="623584071">
      <w:marLeft w:val="0"/>
      <w:marRight w:val="0"/>
      <w:marTop w:val="0"/>
      <w:marBottom w:val="0"/>
      <w:divBdr>
        <w:top w:val="none" w:sz="0" w:space="0" w:color="auto"/>
        <w:left w:val="none" w:sz="0" w:space="0" w:color="auto"/>
        <w:bottom w:val="none" w:sz="0" w:space="0" w:color="auto"/>
        <w:right w:val="none" w:sz="0" w:space="0" w:color="auto"/>
      </w:divBdr>
      <w:divsChild>
        <w:div w:id="2124690516">
          <w:marLeft w:val="0"/>
          <w:marRight w:val="0"/>
          <w:marTop w:val="0"/>
          <w:marBottom w:val="0"/>
          <w:divBdr>
            <w:top w:val="single" w:sz="36" w:space="0" w:color="000000"/>
            <w:left w:val="none" w:sz="0" w:space="0" w:color="auto"/>
            <w:bottom w:val="single" w:sz="12" w:space="0" w:color="000000"/>
            <w:right w:val="none" w:sz="0" w:space="0" w:color="auto"/>
          </w:divBdr>
        </w:div>
      </w:divsChild>
    </w:div>
    <w:div w:id="626931208">
      <w:marLeft w:val="0"/>
      <w:marRight w:val="0"/>
      <w:marTop w:val="0"/>
      <w:marBottom w:val="120"/>
      <w:divBdr>
        <w:top w:val="none" w:sz="0" w:space="0" w:color="auto"/>
        <w:left w:val="none" w:sz="0" w:space="0" w:color="auto"/>
        <w:bottom w:val="single" w:sz="12" w:space="0" w:color="000000"/>
        <w:right w:val="none" w:sz="0" w:space="0" w:color="auto"/>
      </w:divBdr>
    </w:div>
    <w:div w:id="657344444">
      <w:marLeft w:val="0"/>
      <w:marRight w:val="0"/>
      <w:marTop w:val="0"/>
      <w:marBottom w:val="120"/>
      <w:divBdr>
        <w:top w:val="none" w:sz="0" w:space="0" w:color="auto"/>
        <w:left w:val="none" w:sz="0" w:space="0" w:color="auto"/>
        <w:bottom w:val="single" w:sz="12" w:space="0" w:color="000000"/>
        <w:right w:val="none" w:sz="0" w:space="0" w:color="auto"/>
      </w:divBdr>
    </w:div>
    <w:div w:id="671907220">
      <w:marLeft w:val="0"/>
      <w:marRight w:val="0"/>
      <w:marTop w:val="0"/>
      <w:marBottom w:val="120"/>
      <w:divBdr>
        <w:top w:val="none" w:sz="0" w:space="0" w:color="auto"/>
        <w:left w:val="none" w:sz="0" w:space="0" w:color="auto"/>
        <w:bottom w:val="single" w:sz="12" w:space="0" w:color="000000"/>
        <w:right w:val="none" w:sz="0" w:space="0" w:color="auto"/>
      </w:divBdr>
    </w:div>
    <w:div w:id="708065975">
      <w:marLeft w:val="0"/>
      <w:marRight w:val="0"/>
      <w:marTop w:val="0"/>
      <w:marBottom w:val="120"/>
      <w:divBdr>
        <w:top w:val="none" w:sz="0" w:space="0" w:color="auto"/>
        <w:left w:val="none" w:sz="0" w:space="0" w:color="auto"/>
        <w:bottom w:val="single" w:sz="12" w:space="0" w:color="000000"/>
        <w:right w:val="none" w:sz="0" w:space="0" w:color="auto"/>
      </w:divBdr>
    </w:div>
    <w:div w:id="724988868">
      <w:marLeft w:val="0"/>
      <w:marRight w:val="0"/>
      <w:marTop w:val="0"/>
      <w:marBottom w:val="120"/>
      <w:divBdr>
        <w:top w:val="none" w:sz="0" w:space="0" w:color="auto"/>
        <w:left w:val="none" w:sz="0" w:space="0" w:color="auto"/>
        <w:bottom w:val="single" w:sz="12" w:space="0" w:color="000000"/>
        <w:right w:val="none" w:sz="0" w:space="0" w:color="auto"/>
      </w:divBdr>
    </w:div>
    <w:div w:id="733352039">
      <w:marLeft w:val="0"/>
      <w:marRight w:val="0"/>
      <w:marTop w:val="0"/>
      <w:marBottom w:val="120"/>
      <w:divBdr>
        <w:top w:val="none" w:sz="0" w:space="0" w:color="auto"/>
        <w:left w:val="none" w:sz="0" w:space="0" w:color="auto"/>
        <w:bottom w:val="single" w:sz="12" w:space="0" w:color="000000"/>
        <w:right w:val="none" w:sz="0" w:space="0" w:color="auto"/>
      </w:divBdr>
    </w:div>
    <w:div w:id="767579425">
      <w:marLeft w:val="0"/>
      <w:marRight w:val="0"/>
      <w:marTop w:val="0"/>
      <w:marBottom w:val="0"/>
      <w:divBdr>
        <w:top w:val="none" w:sz="0" w:space="0" w:color="auto"/>
        <w:left w:val="none" w:sz="0" w:space="0" w:color="auto"/>
        <w:bottom w:val="none" w:sz="0" w:space="0" w:color="auto"/>
        <w:right w:val="none" w:sz="0" w:space="0" w:color="auto"/>
      </w:divBdr>
    </w:div>
    <w:div w:id="770050213">
      <w:marLeft w:val="0"/>
      <w:marRight w:val="0"/>
      <w:marTop w:val="0"/>
      <w:marBottom w:val="120"/>
      <w:divBdr>
        <w:top w:val="none" w:sz="0" w:space="0" w:color="auto"/>
        <w:left w:val="none" w:sz="0" w:space="0" w:color="auto"/>
        <w:bottom w:val="single" w:sz="12" w:space="0" w:color="000000"/>
        <w:right w:val="none" w:sz="0" w:space="0" w:color="auto"/>
      </w:divBdr>
    </w:div>
    <w:div w:id="795101543">
      <w:marLeft w:val="0"/>
      <w:marRight w:val="0"/>
      <w:marTop w:val="0"/>
      <w:marBottom w:val="120"/>
      <w:divBdr>
        <w:top w:val="none" w:sz="0" w:space="0" w:color="auto"/>
        <w:left w:val="none" w:sz="0" w:space="0" w:color="auto"/>
        <w:bottom w:val="single" w:sz="12" w:space="0" w:color="000000"/>
        <w:right w:val="none" w:sz="0" w:space="0" w:color="auto"/>
      </w:divBdr>
    </w:div>
    <w:div w:id="810053013">
      <w:marLeft w:val="0"/>
      <w:marRight w:val="0"/>
      <w:marTop w:val="0"/>
      <w:marBottom w:val="120"/>
      <w:divBdr>
        <w:top w:val="none" w:sz="0" w:space="0" w:color="auto"/>
        <w:left w:val="none" w:sz="0" w:space="0" w:color="auto"/>
        <w:bottom w:val="single" w:sz="12" w:space="0" w:color="000000"/>
        <w:right w:val="none" w:sz="0" w:space="0" w:color="auto"/>
      </w:divBdr>
    </w:div>
    <w:div w:id="857155940">
      <w:marLeft w:val="0"/>
      <w:marRight w:val="0"/>
      <w:marTop w:val="0"/>
      <w:marBottom w:val="120"/>
      <w:divBdr>
        <w:top w:val="none" w:sz="0" w:space="0" w:color="auto"/>
        <w:left w:val="none" w:sz="0" w:space="0" w:color="auto"/>
        <w:bottom w:val="single" w:sz="12" w:space="0" w:color="000000"/>
        <w:right w:val="none" w:sz="0" w:space="0" w:color="auto"/>
      </w:divBdr>
    </w:div>
    <w:div w:id="867987069">
      <w:marLeft w:val="0"/>
      <w:marRight w:val="0"/>
      <w:marTop w:val="0"/>
      <w:marBottom w:val="120"/>
      <w:divBdr>
        <w:top w:val="none" w:sz="0" w:space="0" w:color="auto"/>
        <w:left w:val="none" w:sz="0" w:space="0" w:color="auto"/>
        <w:bottom w:val="single" w:sz="12" w:space="0" w:color="000000"/>
        <w:right w:val="none" w:sz="0" w:space="0" w:color="auto"/>
      </w:divBdr>
    </w:div>
    <w:div w:id="874731317">
      <w:marLeft w:val="0"/>
      <w:marRight w:val="0"/>
      <w:marTop w:val="0"/>
      <w:marBottom w:val="120"/>
      <w:divBdr>
        <w:top w:val="none" w:sz="0" w:space="0" w:color="auto"/>
        <w:left w:val="none" w:sz="0" w:space="0" w:color="auto"/>
        <w:bottom w:val="single" w:sz="12" w:space="0" w:color="000000"/>
        <w:right w:val="none" w:sz="0" w:space="0" w:color="auto"/>
      </w:divBdr>
    </w:div>
    <w:div w:id="879709392">
      <w:marLeft w:val="0"/>
      <w:marRight w:val="0"/>
      <w:marTop w:val="0"/>
      <w:marBottom w:val="120"/>
      <w:divBdr>
        <w:top w:val="none" w:sz="0" w:space="0" w:color="auto"/>
        <w:left w:val="none" w:sz="0" w:space="0" w:color="auto"/>
        <w:bottom w:val="single" w:sz="12" w:space="0" w:color="000000"/>
        <w:right w:val="none" w:sz="0" w:space="0" w:color="auto"/>
      </w:divBdr>
    </w:div>
    <w:div w:id="907151151">
      <w:marLeft w:val="0"/>
      <w:marRight w:val="0"/>
      <w:marTop w:val="0"/>
      <w:marBottom w:val="120"/>
      <w:divBdr>
        <w:top w:val="none" w:sz="0" w:space="0" w:color="auto"/>
        <w:left w:val="none" w:sz="0" w:space="0" w:color="auto"/>
        <w:bottom w:val="single" w:sz="12" w:space="0" w:color="000000"/>
        <w:right w:val="none" w:sz="0" w:space="0" w:color="auto"/>
      </w:divBdr>
    </w:div>
    <w:div w:id="932126254">
      <w:marLeft w:val="0"/>
      <w:marRight w:val="0"/>
      <w:marTop w:val="0"/>
      <w:marBottom w:val="120"/>
      <w:divBdr>
        <w:top w:val="none" w:sz="0" w:space="0" w:color="auto"/>
        <w:left w:val="none" w:sz="0" w:space="0" w:color="auto"/>
        <w:bottom w:val="single" w:sz="12" w:space="0" w:color="000000"/>
        <w:right w:val="none" w:sz="0" w:space="0" w:color="auto"/>
      </w:divBdr>
    </w:div>
    <w:div w:id="1010059049">
      <w:marLeft w:val="0"/>
      <w:marRight w:val="0"/>
      <w:marTop w:val="0"/>
      <w:marBottom w:val="0"/>
      <w:divBdr>
        <w:top w:val="none" w:sz="0" w:space="0" w:color="auto"/>
        <w:left w:val="none" w:sz="0" w:space="0" w:color="auto"/>
        <w:bottom w:val="none" w:sz="0" w:space="0" w:color="auto"/>
        <w:right w:val="none" w:sz="0" w:space="0" w:color="auto"/>
      </w:divBdr>
    </w:div>
    <w:div w:id="1014262664">
      <w:marLeft w:val="0"/>
      <w:marRight w:val="0"/>
      <w:marTop w:val="0"/>
      <w:marBottom w:val="120"/>
      <w:divBdr>
        <w:top w:val="none" w:sz="0" w:space="0" w:color="auto"/>
        <w:left w:val="none" w:sz="0" w:space="0" w:color="auto"/>
        <w:bottom w:val="single" w:sz="12" w:space="0" w:color="000000"/>
        <w:right w:val="none" w:sz="0" w:space="0" w:color="auto"/>
      </w:divBdr>
    </w:div>
    <w:div w:id="1037663284">
      <w:marLeft w:val="0"/>
      <w:marRight w:val="0"/>
      <w:marTop w:val="0"/>
      <w:marBottom w:val="120"/>
      <w:divBdr>
        <w:top w:val="none" w:sz="0" w:space="0" w:color="auto"/>
        <w:left w:val="none" w:sz="0" w:space="0" w:color="auto"/>
        <w:bottom w:val="single" w:sz="12" w:space="0" w:color="000000"/>
        <w:right w:val="none" w:sz="0" w:space="0" w:color="auto"/>
      </w:divBdr>
    </w:div>
    <w:div w:id="1038045137">
      <w:marLeft w:val="0"/>
      <w:marRight w:val="0"/>
      <w:marTop w:val="0"/>
      <w:marBottom w:val="120"/>
      <w:divBdr>
        <w:top w:val="none" w:sz="0" w:space="0" w:color="auto"/>
        <w:left w:val="none" w:sz="0" w:space="0" w:color="auto"/>
        <w:bottom w:val="single" w:sz="12" w:space="0" w:color="000000"/>
        <w:right w:val="none" w:sz="0" w:space="0" w:color="auto"/>
      </w:divBdr>
    </w:div>
    <w:div w:id="1071347055">
      <w:marLeft w:val="0"/>
      <w:marRight w:val="0"/>
      <w:marTop w:val="0"/>
      <w:marBottom w:val="120"/>
      <w:divBdr>
        <w:top w:val="none" w:sz="0" w:space="0" w:color="auto"/>
        <w:left w:val="none" w:sz="0" w:space="0" w:color="auto"/>
        <w:bottom w:val="single" w:sz="12" w:space="0" w:color="000000"/>
        <w:right w:val="none" w:sz="0" w:space="0" w:color="auto"/>
      </w:divBdr>
    </w:div>
    <w:div w:id="1102186913">
      <w:marLeft w:val="0"/>
      <w:marRight w:val="0"/>
      <w:marTop w:val="0"/>
      <w:marBottom w:val="120"/>
      <w:divBdr>
        <w:top w:val="none" w:sz="0" w:space="0" w:color="auto"/>
        <w:left w:val="none" w:sz="0" w:space="0" w:color="auto"/>
        <w:bottom w:val="single" w:sz="12" w:space="0" w:color="000000"/>
        <w:right w:val="none" w:sz="0" w:space="0" w:color="auto"/>
      </w:divBdr>
    </w:div>
    <w:div w:id="1103845977">
      <w:marLeft w:val="0"/>
      <w:marRight w:val="0"/>
      <w:marTop w:val="0"/>
      <w:marBottom w:val="120"/>
      <w:divBdr>
        <w:top w:val="none" w:sz="0" w:space="0" w:color="auto"/>
        <w:left w:val="none" w:sz="0" w:space="0" w:color="auto"/>
        <w:bottom w:val="single" w:sz="12" w:space="0" w:color="000000"/>
        <w:right w:val="none" w:sz="0" w:space="0" w:color="auto"/>
      </w:divBdr>
    </w:div>
    <w:div w:id="1128553641">
      <w:marLeft w:val="0"/>
      <w:marRight w:val="0"/>
      <w:marTop w:val="0"/>
      <w:marBottom w:val="120"/>
      <w:divBdr>
        <w:top w:val="none" w:sz="0" w:space="0" w:color="auto"/>
        <w:left w:val="none" w:sz="0" w:space="0" w:color="auto"/>
        <w:bottom w:val="single" w:sz="12" w:space="0" w:color="000000"/>
        <w:right w:val="none" w:sz="0" w:space="0" w:color="auto"/>
      </w:divBdr>
    </w:div>
    <w:div w:id="1155560880">
      <w:marLeft w:val="0"/>
      <w:marRight w:val="0"/>
      <w:marTop w:val="0"/>
      <w:marBottom w:val="120"/>
      <w:divBdr>
        <w:top w:val="none" w:sz="0" w:space="0" w:color="auto"/>
        <w:left w:val="none" w:sz="0" w:space="0" w:color="auto"/>
        <w:bottom w:val="single" w:sz="12" w:space="0" w:color="000000"/>
        <w:right w:val="none" w:sz="0" w:space="0" w:color="auto"/>
      </w:divBdr>
    </w:div>
    <w:div w:id="1171221262">
      <w:marLeft w:val="0"/>
      <w:marRight w:val="0"/>
      <w:marTop w:val="0"/>
      <w:marBottom w:val="120"/>
      <w:divBdr>
        <w:top w:val="none" w:sz="0" w:space="0" w:color="auto"/>
        <w:left w:val="none" w:sz="0" w:space="0" w:color="auto"/>
        <w:bottom w:val="single" w:sz="12" w:space="0" w:color="000000"/>
        <w:right w:val="none" w:sz="0" w:space="0" w:color="auto"/>
      </w:divBdr>
    </w:div>
    <w:div w:id="1199121142">
      <w:marLeft w:val="0"/>
      <w:marRight w:val="0"/>
      <w:marTop w:val="0"/>
      <w:marBottom w:val="120"/>
      <w:divBdr>
        <w:top w:val="none" w:sz="0" w:space="0" w:color="auto"/>
        <w:left w:val="none" w:sz="0" w:space="0" w:color="auto"/>
        <w:bottom w:val="single" w:sz="12" w:space="0" w:color="000000"/>
        <w:right w:val="none" w:sz="0" w:space="0" w:color="auto"/>
      </w:divBdr>
    </w:div>
    <w:div w:id="1220748962">
      <w:marLeft w:val="0"/>
      <w:marRight w:val="0"/>
      <w:marTop w:val="0"/>
      <w:marBottom w:val="120"/>
      <w:divBdr>
        <w:top w:val="none" w:sz="0" w:space="0" w:color="auto"/>
        <w:left w:val="none" w:sz="0" w:space="0" w:color="auto"/>
        <w:bottom w:val="single" w:sz="12" w:space="0" w:color="000000"/>
        <w:right w:val="none" w:sz="0" w:space="0" w:color="auto"/>
      </w:divBdr>
    </w:div>
    <w:div w:id="1277371799">
      <w:marLeft w:val="0"/>
      <w:marRight w:val="0"/>
      <w:marTop w:val="0"/>
      <w:marBottom w:val="120"/>
      <w:divBdr>
        <w:top w:val="none" w:sz="0" w:space="0" w:color="auto"/>
        <w:left w:val="none" w:sz="0" w:space="0" w:color="auto"/>
        <w:bottom w:val="single" w:sz="12" w:space="0" w:color="000000"/>
        <w:right w:val="none" w:sz="0" w:space="0" w:color="auto"/>
      </w:divBdr>
    </w:div>
    <w:div w:id="1284194631">
      <w:marLeft w:val="0"/>
      <w:marRight w:val="0"/>
      <w:marTop w:val="0"/>
      <w:marBottom w:val="120"/>
      <w:divBdr>
        <w:top w:val="none" w:sz="0" w:space="0" w:color="auto"/>
        <w:left w:val="none" w:sz="0" w:space="0" w:color="auto"/>
        <w:bottom w:val="single" w:sz="12" w:space="0" w:color="000000"/>
        <w:right w:val="none" w:sz="0" w:space="0" w:color="auto"/>
      </w:divBdr>
    </w:div>
    <w:div w:id="1307587248">
      <w:marLeft w:val="0"/>
      <w:marRight w:val="0"/>
      <w:marTop w:val="0"/>
      <w:marBottom w:val="120"/>
      <w:divBdr>
        <w:top w:val="none" w:sz="0" w:space="0" w:color="auto"/>
        <w:left w:val="none" w:sz="0" w:space="0" w:color="auto"/>
        <w:bottom w:val="single" w:sz="12" w:space="0" w:color="000000"/>
        <w:right w:val="none" w:sz="0" w:space="0" w:color="auto"/>
      </w:divBdr>
    </w:div>
    <w:div w:id="1311255520">
      <w:marLeft w:val="0"/>
      <w:marRight w:val="0"/>
      <w:marTop w:val="0"/>
      <w:marBottom w:val="120"/>
      <w:divBdr>
        <w:top w:val="none" w:sz="0" w:space="0" w:color="auto"/>
        <w:left w:val="none" w:sz="0" w:space="0" w:color="auto"/>
        <w:bottom w:val="single" w:sz="12" w:space="0" w:color="000000"/>
        <w:right w:val="none" w:sz="0" w:space="0" w:color="auto"/>
      </w:divBdr>
    </w:div>
    <w:div w:id="1347907582">
      <w:marLeft w:val="0"/>
      <w:marRight w:val="0"/>
      <w:marTop w:val="0"/>
      <w:marBottom w:val="120"/>
      <w:divBdr>
        <w:top w:val="none" w:sz="0" w:space="0" w:color="auto"/>
        <w:left w:val="none" w:sz="0" w:space="0" w:color="auto"/>
        <w:bottom w:val="single" w:sz="12" w:space="0" w:color="000000"/>
        <w:right w:val="none" w:sz="0" w:space="0" w:color="auto"/>
      </w:divBdr>
    </w:div>
    <w:div w:id="1347946016">
      <w:marLeft w:val="0"/>
      <w:marRight w:val="0"/>
      <w:marTop w:val="0"/>
      <w:marBottom w:val="120"/>
      <w:divBdr>
        <w:top w:val="none" w:sz="0" w:space="0" w:color="auto"/>
        <w:left w:val="none" w:sz="0" w:space="0" w:color="auto"/>
        <w:bottom w:val="single" w:sz="12" w:space="0" w:color="000000"/>
        <w:right w:val="none" w:sz="0" w:space="0" w:color="auto"/>
      </w:divBdr>
    </w:div>
    <w:div w:id="1348554926">
      <w:marLeft w:val="0"/>
      <w:marRight w:val="0"/>
      <w:marTop w:val="0"/>
      <w:marBottom w:val="120"/>
      <w:divBdr>
        <w:top w:val="none" w:sz="0" w:space="0" w:color="auto"/>
        <w:left w:val="none" w:sz="0" w:space="0" w:color="auto"/>
        <w:bottom w:val="single" w:sz="12" w:space="0" w:color="000000"/>
        <w:right w:val="none" w:sz="0" w:space="0" w:color="auto"/>
      </w:divBdr>
    </w:div>
    <w:div w:id="1350176683">
      <w:marLeft w:val="0"/>
      <w:marRight w:val="0"/>
      <w:marTop w:val="0"/>
      <w:marBottom w:val="120"/>
      <w:divBdr>
        <w:top w:val="none" w:sz="0" w:space="0" w:color="auto"/>
        <w:left w:val="none" w:sz="0" w:space="0" w:color="auto"/>
        <w:bottom w:val="single" w:sz="12" w:space="0" w:color="000000"/>
        <w:right w:val="none" w:sz="0" w:space="0" w:color="auto"/>
      </w:divBdr>
    </w:div>
    <w:div w:id="1363751019">
      <w:marLeft w:val="0"/>
      <w:marRight w:val="0"/>
      <w:marTop w:val="0"/>
      <w:marBottom w:val="120"/>
      <w:divBdr>
        <w:top w:val="none" w:sz="0" w:space="0" w:color="auto"/>
        <w:left w:val="none" w:sz="0" w:space="0" w:color="auto"/>
        <w:bottom w:val="single" w:sz="12" w:space="0" w:color="000000"/>
        <w:right w:val="none" w:sz="0" w:space="0" w:color="auto"/>
      </w:divBdr>
    </w:div>
    <w:div w:id="1398357630">
      <w:marLeft w:val="0"/>
      <w:marRight w:val="0"/>
      <w:marTop w:val="0"/>
      <w:marBottom w:val="120"/>
      <w:divBdr>
        <w:top w:val="none" w:sz="0" w:space="0" w:color="auto"/>
        <w:left w:val="none" w:sz="0" w:space="0" w:color="auto"/>
        <w:bottom w:val="single" w:sz="12" w:space="0" w:color="000000"/>
        <w:right w:val="none" w:sz="0" w:space="0" w:color="auto"/>
      </w:divBdr>
    </w:div>
    <w:div w:id="1431120775">
      <w:marLeft w:val="0"/>
      <w:marRight w:val="0"/>
      <w:marTop w:val="0"/>
      <w:marBottom w:val="120"/>
      <w:divBdr>
        <w:top w:val="none" w:sz="0" w:space="0" w:color="auto"/>
        <w:left w:val="none" w:sz="0" w:space="0" w:color="auto"/>
        <w:bottom w:val="single" w:sz="12" w:space="0" w:color="000000"/>
        <w:right w:val="none" w:sz="0" w:space="0" w:color="auto"/>
      </w:divBdr>
    </w:div>
    <w:div w:id="1439250224">
      <w:marLeft w:val="0"/>
      <w:marRight w:val="0"/>
      <w:marTop w:val="0"/>
      <w:marBottom w:val="120"/>
      <w:divBdr>
        <w:top w:val="none" w:sz="0" w:space="0" w:color="auto"/>
        <w:left w:val="none" w:sz="0" w:space="0" w:color="auto"/>
        <w:bottom w:val="single" w:sz="12" w:space="0" w:color="000000"/>
        <w:right w:val="none" w:sz="0" w:space="0" w:color="auto"/>
      </w:divBdr>
    </w:div>
    <w:div w:id="1491363575">
      <w:marLeft w:val="0"/>
      <w:marRight w:val="0"/>
      <w:marTop w:val="0"/>
      <w:marBottom w:val="0"/>
      <w:divBdr>
        <w:top w:val="none" w:sz="0" w:space="0" w:color="auto"/>
        <w:left w:val="none" w:sz="0" w:space="0" w:color="auto"/>
        <w:bottom w:val="none" w:sz="0" w:space="0" w:color="auto"/>
        <w:right w:val="none" w:sz="0" w:space="0" w:color="auto"/>
      </w:divBdr>
    </w:div>
    <w:div w:id="1494645817">
      <w:marLeft w:val="0"/>
      <w:marRight w:val="0"/>
      <w:marTop w:val="0"/>
      <w:marBottom w:val="120"/>
      <w:divBdr>
        <w:top w:val="none" w:sz="0" w:space="0" w:color="auto"/>
        <w:left w:val="none" w:sz="0" w:space="0" w:color="auto"/>
        <w:bottom w:val="single" w:sz="12" w:space="0" w:color="000000"/>
        <w:right w:val="none" w:sz="0" w:space="0" w:color="auto"/>
      </w:divBdr>
    </w:div>
    <w:div w:id="1516991335">
      <w:marLeft w:val="0"/>
      <w:marRight w:val="0"/>
      <w:marTop w:val="0"/>
      <w:marBottom w:val="120"/>
      <w:divBdr>
        <w:top w:val="none" w:sz="0" w:space="0" w:color="auto"/>
        <w:left w:val="none" w:sz="0" w:space="0" w:color="auto"/>
        <w:bottom w:val="single" w:sz="12" w:space="0" w:color="000000"/>
        <w:right w:val="none" w:sz="0" w:space="0" w:color="auto"/>
      </w:divBdr>
    </w:div>
    <w:div w:id="1525168744">
      <w:marLeft w:val="0"/>
      <w:marRight w:val="0"/>
      <w:marTop w:val="0"/>
      <w:marBottom w:val="120"/>
      <w:divBdr>
        <w:top w:val="none" w:sz="0" w:space="0" w:color="auto"/>
        <w:left w:val="none" w:sz="0" w:space="0" w:color="auto"/>
        <w:bottom w:val="single" w:sz="12" w:space="0" w:color="000000"/>
        <w:right w:val="none" w:sz="0" w:space="0" w:color="auto"/>
      </w:divBdr>
    </w:div>
    <w:div w:id="1569419554">
      <w:marLeft w:val="0"/>
      <w:marRight w:val="0"/>
      <w:marTop w:val="0"/>
      <w:marBottom w:val="120"/>
      <w:divBdr>
        <w:top w:val="none" w:sz="0" w:space="0" w:color="auto"/>
        <w:left w:val="none" w:sz="0" w:space="0" w:color="auto"/>
        <w:bottom w:val="single" w:sz="12" w:space="0" w:color="000000"/>
        <w:right w:val="none" w:sz="0" w:space="0" w:color="auto"/>
      </w:divBdr>
    </w:div>
    <w:div w:id="1596817332">
      <w:marLeft w:val="0"/>
      <w:marRight w:val="0"/>
      <w:marTop w:val="0"/>
      <w:marBottom w:val="120"/>
      <w:divBdr>
        <w:top w:val="none" w:sz="0" w:space="0" w:color="auto"/>
        <w:left w:val="none" w:sz="0" w:space="0" w:color="auto"/>
        <w:bottom w:val="single" w:sz="12" w:space="0" w:color="000000"/>
        <w:right w:val="none" w:sz="0" w:space="0" w:color="auto"/>
      </w:divBdr>
    </w:div>
    <w:div w:id="1597322185">
      <w:marLeft w:val="0"/>
      <w:marRight w:val="0"/>
      <w:marTop w:val="0"/>
      <w:marBottom w:val="120"/>
      <w:divBdr>
        <w:top w:val="none" w:sz="0" w:space="0" w:color="auto"/>
        <w:left w:val="none" w:sz="0" w:space="0" w:color="auto"/>
        <w:bottom w:val="single" w:sz="12" w:space="0" w:color="000000"/>
        <w:right w:val="none" w:sz="0" w:space="0" w:color="auto"/>
      </w:divBdr>
    </w:div>
    <w:div w:id="1599555823">
      <w:marLeft w:val="0"/>
      <w:marRight w:val="0"/>
      <w:marTop w:val="0"/>
      <w:marBottom w:val="120"/>
      <w:divBdr>
        <w:top w:val="none" w:sz="0" w:space="0" w:color="auto"/>
        <w:left w:val="none" w:sz="0" w:space="0" w:color="auto"/>
        <w:bottom w:val="single" w:sz="12" w:space="0" w:color="000000"/>
        <w:right w:val="none" w:sz="0" w:space="0" w:color="auto"/>
      </w:divBdr>
    </w:div>
    <w:div w:id="1610964060">
      <w:marLeft w:val="0"/>
      <w:marRight w:val="0"/>
      <w:marTop w:val="0"/>
      <w:marBottom w:val="120"/>
      <w:divBdr>
        <w:top w:val="none" w:sz="0" w:space="0" w:color="auto"/>
        <w:left w:val="none" w:sz="0" w:space="0" w:color="auto"/>
        <w:bottom w:val="single" w:sz="12" w:space="0" w:color="000000"/>
        <w:right w:val="none" w:sz="0" w:space="0" w:color="auto"/>
      </w:divBdr>
    </w:div>
    <w:div w:id="1615012453">
      <w:marLeft w:val="0"/>
      <w:marRight w:val="0"/>
      <w:marTop w:val="0"/>
      <w:marBottom w:val="120"/>
      <w:divBdr>
        <w:top w:val="none" w:sz="0" w:space="0" w:color="auto"/>
        <w:left w:val="none" w:sz="0" w:space="0" w:color="auto"/>
        <w:bottom w:val="single" w:sz="12" w:space="0" w:color="000000"/>
        <w:right w:val="none" w:sz="0" w:space="0" w:color="auto"/>
      </w:divBdr>
    </w:div>
    <w:div w:id="1624381115">
      <w:marLeft w:val="0"/>
      <w:marRight w:val="0"/>
      <w:marTop w:val="120"/>
      <w:marBottom w:val="0"/>
      <w:divBdr>
        <w:top w:val="none" w:sz="0" w:space="0" w:color="auto"/>
        <w:left w:val="none" w:sz="0" w:space="0" w:color="auto"/>
        <w:bottom w:val="none" w:sz="0" w:space="0" w:color="auto"/>
        <w:right w:val="none" w:sz="0" w:space="0" w:color="auto"/>
      </w:divBdr>
    </w:div>
    <w:div w:id="1625233248">
      <w:marLeft w:val="0"/>
      <w:marRight w:val="0"/>
      <w:marTop w:val="0"/>
      <w:marBottom w:val="120"/>
      <w:divBdr>
        <w:top w:val="none" w:sz="0" w:space="0" w:color="auto"/>
        <w:left w:val="none" w:sz="0" w:space="0" w:color="auto"/>
        <w:bottom w:val="single" w:sz="12" w:space="0" w:color="000000"/>
        <w:right w:val="none" w:sz="0" w:space="0" w:color="auto"/>
      </w:divBdr>
    </w:div>
    <w:div w:id="1639725981">
      <w:marLeft w:val="0"/>
      <w:marRight w:val="0"/>
      <w:marTop w:val="0"/>
      <w:marBottom w:val="120"/>
      <w:divBdr>
        <w:top w:val="none" w:sz="0" w:space="0" w:color="auto"/>
        <w:left w:val="none" w:sz="0" w:space="0" w:color="auto"/>
        <w:bottom w:val="single" w:sz="12" w:space="0" w:color="000000"/>
        <w:right w:val="none" w:sz="0" w:space="0" w:color="auto"/>
      </w:divBdr>
    </w:div>
    <w:div w:id="1659384063">
      <w:marLeft w:val="0"/>
      <w:marRight w:val="0"/>
      <w:marTop w:val="0"/>
      <w:marBottom w:val="120"/>
      <w:divBdr>
        <w:top w:val="none" w:sz="0" w:space="0" w:color="auto"/>
        <w:left w:val="none" w:sz="0" w:space="0" w:color="auto"/>
        <w:bottom w:val="single" w:sz="12" w:space="0" w:color="000000"/>
        <w:right w:val="none" w:sz="0" w:space="0" w:color="auto"/>
      </w:divBdr>
    </w:div>
    <w:div w:id="1667514070">
      <w:marLeft w:val="0"/>
      <w:marRight w:val="0"/>
      <w:marTop w:val="0"/>
      <w:marBottom w:val="120"/>
      <w:divBdr>
        <w:top w:val="none" w:sz="0" w:space="0" w:color="auto"/>
        <w:left w:val="none" w:sz="0" w:space="0" w:color="auto"/>
        <w:bottom w:val="single" w:sz="12" w:space="0" w:color="000000"/>
        <w:right w:val="none" w:sz="0" w:space="0" w:color="auto"/>
      </w:divBdr>
    </w:div>
    <w:div w:id="1736389349">
      <w:marLeft w:val="0"/>
      <w:marRight w:val="0"/>
      <w:marTop w:val="0"/>
      <w:marBottom w:val="120"/>
      <w:divBdr>
        <w:top w:val="none" w:sz="0" w:space="0" w:color="auto"/>
        <w:left w:val="none" w:sz="0" w:space="0" w:color="auto"/>
        <w:bottom w:val="single" w:sz="12" w:space="0" w:color="000000"/>
        <w:right w:val="none" w:sz="0" w:space="0" w:color="auto"/>
      </w:divBdr>
    </w:div>
    <w:div w:id="1743214732">
      <w:marLeft w:val="0"/>
      <w:marRight w:val="0"/>
      <w:marTop w:val="0"/>
      <w:marBottom w:val="120"/>
      <w:divBdr>
        <w:top w:val="none" w:sz="0" w:space="0" w:color="auto"/>
        <w:left w:val="none" w:sz="0" w:space="0" w:color="auto"/>
        <w:bottom w:val="single" w:sz="12" w:space="0" w:color="000000"/>
        <w:right w:val="none" w:sz="0" w:space="0" w:color="auto"/>
      </w:divBdr>
    </w:div>
    <w:div w:id="1764302068">
      <w:marLeft w:val="0"/>
      <w:marRight w:val="0"/>
      <w:marTop w:val="0"/>
      <w:marBottom w:val="120"/>
      <w:divBdr>
        <w:top w:val="none" w:sz="0" w:space="0" w:color="auto"/>
        <w:left w:val="none" w:sz="0" w:space="0" w:color="auto"/>
        <w:bottom w:val="single" w:sz="12" w:space="0" w:color="000000"/>
        <w:right w:val="none" w:sz="0" w:space="0" w:color="auto"/>
      </w:divBdr>
    </w:div>
    <w:div w:id="1809929340">
      <w:marLeft w:val="0"/>
      <w:marRight w:val="0"/>
      <w:marTop w:val="0"/>
      <w:marBottom w:val="120"/>
      <w:divBdr>
        <w:top w:val="none" w:sz="0" w:space="0" w:color="auto"/>
        <w:left w:val="none" w:sz="0" w:space="0" w:color="auto"/>
        <w:bottom w:val="single" w:sz="12" w:space="0" w:color="000000"/>
        <w:right w:val="none" w:sz="0" w:space="0" w:color="auto"/>
      </w:divBdr>
    </w:div>
    <w:div w:id="1820802326">
      <w:marLeft w:val="0"/>
      <w:marRight w:val="0"/>
      <w:marTop w:val="0"/>
      <w:marBottom w:val="120"/>
      <w:divBdr>
        <w:top w:val="none" w:sz="0" w:space="0" w:color="auto"/>
        <w:left w:val="none" w:sz="0" w:space="0" w:color="auto"/>
        <w:bottom w:val="single" w:sz="12" w:space="0" w:color="000000"/>
        <w:right w:val="none" w:sz="0" w:space="0" w:color="auto"/>
      </w:divBdr>
    </w:div>
    <w:div w:id="1824161106">
      <w:marLeft w:val="0"/>
      <w:marRight w:val="0"/>
      <w:marTop w:val="0"/>
      <w:marBottom w:val="120"/>
      <w:divBdr>
        <w:top w:val="none" w:sz="0" w:space="0" w:color="auto"/>
        <w:left w:val="none" w:sz="0" w:space="0" w:color="auto"/>
        <w:bottom w:val="single" w:sz="12" w:space="0" w:color="000000"/>
        <w:right w:val="none" w:sz="0" w:space="0" w:color="auto"/>
      </w:divBdr>
    </w:div>
    <w:div w:id="1866016120">
      <w:marLeft w:val="0"/>
      <w:marRight w:val="0"/>
      <w:marTop w:val="0"/>
      <w:marBottom w:val="120"/>
      <w:divBdr>
        <w:top w:val="none" w:sz="0" w:space="0" w:color="auto"/>
        <w:left w:val="none" w:sz="0" w:space="0" w:color="auto"/>
        <w:bottom w:val="single" w:sz="12" w:space="0" w:color="000000"/>
        <w:right w:val="none" w:sz="0" w:space="0" w:color="auto"/>
      </w:divBdr>
    </w:div>
    <w:div w:id="1881747302">
      <w:marLeft w:val="0"/>
      <w:marRight w:val="0"/>
      <w:marTop w:val="0"/>
      <w:marBottom w:val="120"/>
      <w:divBdr>
        <w:top w:val="none" w:sz="0" w:space="0" w:color="auto"/>
        <w:left w:val="none" w:sz="0" w:space="0" w:color="auto"/>
        <w:bottom w:val="single" w:sz="12" w:space="0" w:color="000000"/>
        <w:right w:val="none" w:sz="0" w:space="0" w:color="auto"/>
      </w:divBdr>
    </w:div>
    <w:div w:id="1949503175">
      <w:marLeft w:val="0"/>
      <w:marRight w:val="0"/>
      <w:marTop w:val="0"/>
      <w:marBottom w:val="120"/>
      <w:divBdr>
        <w:top w:val="none" w:sz="0" w:space="0" w:color="auto"/>
        <w:left w:val="none" w:sz="0" w:space="0" w:color="auto"/>
        <w:bottom w:val="single" w:sz="12" w:space="0" w:color="000000"/>
        <w:right w:val="none" w:sz="0" w:space="0" w:color="auto"/>
      </w:divBdr>
    </w:div>
    <w:div w:id="1957249743">
      <w:marLeft w:val="0"/>
      <w:marRight w:val="0"/>
      <w:marTop w:val="0"/>
      <w:marBottom w:val="120"/>
      <w:divBdr>
        <w:top w:val="none" w:sz="0" w:space="0" w:color="auto"/>
        <w:left w:val="none" w:sz="0" w:space="0" w:color="auto"/>
        <w:bottom w:val="single" w:sz="12" w:space="0" w:color="000000"/>
        <w:right w:val="none" w:sz="0" w:space="0" w:color="auto"/>
      </w:divBdr>
    </w:div>
    <w:div w:id="1960644602">
      <w:marLeft w:val="0"/>
      <w:marRight w:val="0"/>
      <w:marTop w:val="0"/>
      <w:marBottom w:val="120"/>
      <w:divBdr>
        <w:top w:val="none" w:sz="0" w:space="0" w:color="auto"/>
        <w:left w:val="none" w:sz="0" w:space="0" w:color="auto"/>
        <w:bottom w:val="single" w:sz="12" w:space="0" w:color="000000"/>
        <w:right w:val="none" w:sz="0" w:space="0" w:color="auto"/>
      </w:divBdr>
    </w:div>
    <w:div w:id="2007975526">
      <w:marLeft w:val="0"/>
      <w:marRight w:val="0"/>
      <w:marTop w:val="0"/>
      <w:marBottom w:val="120"/>
      <w:divBdr>
        <w:top w:val="none" w:sz="0" w:space="0" w:color="auto"/>
        <w:left w:val="none" w:sz="0" w:space="0" w:color="auto"/>
        <w:bottom w:val="single" w:sz="12" w:space="0" w:color="000000"/>
        <w:right w:val="none" w:sz="0" w:space="0" w:color="auto"/>
      </w:divBdr>
    </w:div>
    <w:div w:id="2016297636">
      <w:marLeft w:val="0"/>
      <w:marRight w:val="0"/>
      <w:marTop w:val="0"/>
      <w:marBottom w:val="120"/>
      <w:divBdr>
        <w:top w:val="none" w:sz="0" w:space="0" w:color="auto"/>
        <w:left w:val="none" w:sz="0" w:space="0" w:color="auto"/>
        <w:bottom w:val="single" w:sz="12" w:space="0" w:color="000000"/>
        <w:right w:val="none" w:sz="0" w:space="0" w:color="auto"/>
      </w:divBdr>
    </w:div>
    <w:div w:id="2037541589">
      <w:marLeft w:val="0"/>
      <w:marRight w:val="0"/>
      <w:marTop w:val="0"/>
      <w:marBottom w:val="120"/>
      <w:divBdr>
        <w:top w:val="none" w:sz="0" w:space="0" w:color="auto"/>
        <w:left w:val="none" w:sz="0" w:space="0" w:color="auto"/>
        <w:bottom w:val="single" w:sz="12" w:space="0" w:color="000000"/>
        <w:right w:val="none" w:sz="0" w:space="0" w:color="auto"/>
      </w:divBdr>
    </w:div>
    <w:div w:id="2043898291">
      <w:marLeft w:val="0"/>
      <w:marRight w:val="0"/>
      <w:marTop w:val="0"/>
      <w:marBottom w:val="120"/>
      <w:divBdr>
        <w:top w:val="none" w:sz="0" w:space="0" w:color="auto"/>
        <w:left w:val="none" w:sz="0" w:space="0" w:color="auto"/>
        <w:bottom w:val="single" w:sz="12" w:space="0" w:color="000000"/>
        <w:right w:val="none" w:sz="0" w:space="0" w:color="auto"/>
      </w:divBdr>
    </w:div>
    <w:div w:id="2085832134">
      <w:marLeft w:val="0"/>
      <w:marRight w:val="0"/>
      <w:marTop w:val="0"/>
      <w:marBottom w:val="120"/>
      <w:divBdr>
        <w:top w:val="none" w:sz="0" w:space="0" w:color="auto"/>
        <w:left w:val="none" w:sz="0" w:space="0" w:color="auto"/>
        <w:bottom w:val="single" w:sz="12" w:space="0" w:color="000000"/>
        <w:right w:val="none" w:sz="0" w:space="0" w:color="auto"/>
      </w:divBdr>
    </w:div>
    <w:div w:id="2099019711">
      <w:marLeft w:val="0"/>
      <w:marRight w:val="0"/>
      <w:marTop w:val="0"/>
      <w:marBottom w:val="120"/>
      <w:divBdr>
        <w:top w:val="none" w:sz="0" w:space="0" w:color="auto"/>
        <w:left w:val="none" w:sz="0" w:space="0" w:color="auto"/>
        <w:bottom w:val="single" w:sz="12" w:space="0" w:color="000000"/>
        <w:right w:val="none" w:sz="0" w:space="0" w:color="auto"/>
      </w:divBdr>
    </w:div>
    <w:div w:id="2121215703">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582982/000149315218013723/ex3-5.htm" TargetMode="External"/><Relationship Id="rId21" Type="http://schemas.openxmlformats.org/officeDocument/2006/relationships/hyperlink" Target="https://www.sec.gov/Archives/edgar/data/1582982/000149315221013396/ex2-1.htm" TargetMode="External"/><Relationship Id="rId42" Type="http://schemas.openxmlformats.org/officeDocument/2006/relationships/hyperlink" Target="https://www.sec.gov/Archives/edgar/data/1582982/000149315217011626/ex10-2.htm" TargetMode="External"/><Relationship Id="rId47" Type="http://schemas.openxmlformats.org/officeDocument/2006/relationships/hyperlink" Target="https://www.sec.gov/Archives/edgar/data/1582982/000149315221004837/ex4-8.htm" TargetMode="External"/><Relationship Id="rId63" Type="http://schemas.openxmlformats.org/officeDocument/2006/relationships/hyperlink" Target="https://www.sec.gov/Archives/edgar/data/1582982/000149315220018360/ex1-1.htm" TargetMode="External"/><Relationship Id="rId68" Type="http://schemas.openxmlformats.org/officeDocument/2006/relationships/hyperlink" Target="ex23-1.htm" TargetMode="External"/><Relationship Id="rId2" Type="http://schemas.openxmlformats.org/officeDocument/2006/relationships/settings" Target="settings.xml"/><Relationship Id="rId16" Type="http://schemas.openxmlformats.org/officeDocument/2006/relationships/hyperlink" Target="https://www.sec.gov/Archives/edgar/data/1582982/000149315219004086/ex10-1.htm" TargetMode="External"/><Relationship Id="rId29" Type="http://schemas.openxmlformats.org/officeDocument/2006/relationships/hyperlink" Target="https://www.sec.gov/Archives/edgar/data/1582982/000149315218013723/ex3-2.htm" TargetMode="External"/><Relationship Id="rId11" Type="http://schemas.openxmlformats.org/officeDocument/2006/relationships/hyperlink" Target="https://www.sec.gov/Archives/edgar/data/1582982/000149315216013851/ex10-3.htm" TargetMode="External"/><Relationship Id="rId24" Type="http://schemas.openxmlformats.org/officeDocument/2006/relationships/hyperlink" Target="https://www.sec.gov/Archives/edgar/data/1582982/000149315218013723/ex3-1.htm" TargetMode="External"/><Relationship Id="rId32" Type="http://schemas.openxmlformats.org/officeDocument/2006/relationships/hyperlink" Target="https://www.sec.gov/Archives/edgar/data/1582982/000149315218013723/ex3-6.htm" TargetMode="External"/><Relationship Id="rId37" Type="http://schemas.openxmlformats.org/officeDocument/2006/relationships/hyperlink" Target="https://www.sec.gov/Archives/edgar/data/1582982/000149315222002660/ex3-2.htm" TargetMode="External"/><Relationship Id="rId40" Type="http://schemas.openxmlformats.org/officeDocument/2006/relationships/hyperlink" Target="https://www.sec.gov/Archives/edgar/data/1582982/000114420415059897/v420930_ex4-2.htm" TargetMode="External"/><Relationship Id="rId45" Type="http://schemas.openxmlformats.org/officeDocument/2006/relationships/hyperlink" Target="https://www.sec.gov/Archives/edgar/data/1582982/000149315220003146/ex4-6.htm" TargetMode="External"/><Relationship Id="rId53" Type="http://schemas.openxmlformats.org/officeDocument/2006/relationships/hyperlink" Target="https://www.sec.gov/Archives/edgar/data/1582982/000114420416090133/v434023_ex10-12.htm" TargetMode="External"/><Relationship Id="rId58" Type="http://schemas.openxmlformats.org/officeDocument/2006/relationships/hyperlink" Target="https://www.sec.gov/Archives/edgar/data/1582982/000149315218006296/ex10-4.htm" TargetMode="External"/><Relationship Id="rId66" Type="http://schemas.openxmlformats.org/officeDocument/2006/relationships/hyperlink" Target="https://www.sec.gov/Archives/edgar/data/1582982/000149315222002660/ex1-1.htm" TargetMode="External"/><Relationship Id="rId74" Type="http://schemas.openxmlformats.org/officeDocument/2006/relationships/theme" Target="theme/theme1.xml"/><Relationship Id="rId5" Type="http://schemas.openxmlformats.org/officeDocument/2006/relationships/image" Target="file:///E:\projects\LLMs\new_data_collection\data_new\htm\CareCloud,%20Inc\form10-k_003.jpg" TargetMode="External"/><Relationship Id="rId61" Type="http://schemas.openxmlformats.org/officeDocument/2006/relationships/hyperlink" Target="https://www.sec.gov/Archives/edgar/data/1582982/000149315219018154/ex1-1.htm" TargetMode="External"/><Relationship Id="rId19" Type="http://schemas.openxmlformats.org/officeDocument/2006/relationships/hyperlink" Target="https://www.sec.gov/Archives/edgar/data/1582982/000149315220003146/ex10-17.htm" TargetMode="External"/><Relationship Id="rId14" Type="http://schemas.openxmlformats.org/officeDocument/2006/relationships/hyperlink" Target="https://www.sec.gov/Archives/edgar/data/1582982/000149315218009518/ex10-1.htm" TargetMode="External"/><Relationship Id="rId22" Type="http://schemas.openxmlformats.org/officeDocument/2006/relationships/hyperlink" Target="https://www.sec.gov/Archives/edgar/data/1582982/000149315221013396/ex2-2.htm" TargetMode="External"/><Relationship Id="rId27" Type="http://schemas.openxmlformats.org/officeDocument/2006/relationships/hyperlink" Target="https://www.sec.gov/Archives/edgar/data/1582982/000149315219001509/ex3-1.htm" TargetMode="External"/><Relationship Id="rId30" Type="http://schemas.openxmlformats.org/officeDocument/2006/relationships/hyperlink" Target="https://www.sec.gov/Archives/edgar/data/1582982/000149315218013723/ex3-3.htm" TargetMode="External"/><Relationship Id="rId35" Type="http://schemas.openxmlformats.org/officeDocument/2006/relationships/hyperlink" Target="https://www.sec.gov/Archives/edgar/data/1582982/000149315220012999/ex3-1.htm" TargetMode="External"/><Relationship Id="rId43" Type="http://schemas.openxmlformats.org/officeDocument/2006/relationships/hyperlink" Target="https://www.sec.gov/Archives/edgar/data/1582982/000149315218013542/ex10-2.htm" TargetMode="External"/><Relationship Id="rId48" Type="http://schemas.openxmlformats.org/officeDocument/2006/relationships/hyperlink" Target="https://www.sec.gov/Archives/edgar/data/1582982/000114420414028369/v377260_ex10-1.htm" TargetMode="External"/><Relationship Id="rId56" Type="http://schemas.openxmlformats.org/officeDocument/2006/relationships/hyperlink" Target="https://www.sec.gov/Archives/edgar/data/1582982/000149315221006673/ex10-1.htm" TargetMode="External"/><Relationship Id="rId64" Type="http://schemas.openxmlformats.org/officeDocument/2006/relationships/hyperlink" Target="https://www.sec.gov/Archives/edgar/data/1582982/000149315221023325/ex10-1.htm" TargetMode="External"/><Relationship Id="rId69" Type="http://schemas.openxmlformats.org/officeDocument/2006/relationships/hyperlink" Target="ex31-1.htm" TargetMode="External"/><Relationship Id="rId8" Type="http://schemas.openxmlformats.org/officeDocument/2006/relationships/image" Target="file:///E:\projects\LLMs\new_data_collection\data_new\htm\CareCloud,%20Inc\form10-k_006.jpg" TargetMode="External"/><Relationship Id="rId51" Type="http://schemas.openxmlformats.org/officeDocument/2006/relationships/hyperlink" Target="https://www.sec.gov/Archives/edgar/data/1582982/000149315220009629/ex3-1.htm" TargetMode="External"/><Relationship Id="rId72" Type="http://schemas.openxmlformats.org/officeDocument/2006/relationships/hyperlink" Target="ex32-2.htm" TargetMode="External"/><Relationship Id="rId3" Type="http://schemas.openxmlformats.org/officeDocument/2006/relationships/webSettings" Target="webSettings.xml"/><Relationship Id="rId12" Type="http://schemas.openxmlformats.org/officeDocument/2006/relationships/hyperlink" Target="https://www.sec.gov/Archives/edgar/data/1582982/000149315217000212/ex2-1.htm" TargetMode="External"/><Relationship Id="rId17" Type="http://schemas.openxmlformats.org/officeDocument/2006/relationships/hyperlink" Target="https://www.sec.gov/Archives/edgar/data/1582982/000149315219004870/ex10-1.htm" TargetMode="External"/><Relationship Id="rId25" Type="http://schemas.openxmlformats.org/officeDocument/2006/relationships/hyperlink" Target="https://www.sec.gov/Archives/edgar/data/1582982/000149315218013723/ex3-2.htm" TargetMode="External"/><Relationship Id="rId33" Type="http://schemas.openxmlformats.org/officeDocument/2006/relationships/hyperlink" Target="https://www.sec.gov/Archives/edgar/data/1582982/000149315220001200/ex3-1.htm" TargetMode="External"/><Relationship Id="rId38" Type="http://schemas.openxmlformats.org/officeDocument/2006/relationships/hyperlink" Target="https://www.sec.gov/Archives/edgar/data/1582982/000114420414021003/v365547_ex3-2.htm" TargetMode="External"/><Relationship Id="rId46" Type="http://schemas.openxmlformats.org/officeDocument/2006/relationships/hyperlink" Target="https://www.sec.gov/Archives/edgar/data/1582982/000149315220016444/ex4-7.htm" TargetMode="External"/><Relationship Id="rId59" Type="http://schemas.openxmlformats.org/officeDocument/2006/relationships/hyperlink" Target="https://www.sec.gov/Archives/edgar/data/1582982/000149315217011626/ex10-1.htm" TargetMode="External"/><Relationship Id="rId67" Type="http://schemas.openxmlformats.org/officeDocument/2006/relationships/hyperlink" Target="ex21-1.htm" TargetMode="External"/><Relationship Id="rId20" Type="http://schemas.openxmlformats.org/officeDocument/2006/relationships/hyperlink" Target="https://www.sec.gov/Archives/edgar/data/1582982/000149315220011311/ex2-1.htm" TargetMode="External"/><Relationship Id="rId41" Type="http://schemas.openxmlformats.org/officeDocument/2006/relationships/hyperlink" Target="https://www.sec.gov/Archives/edgar/data/1582982/000149315222002752/ex4-3.htm" TargetMode="External"/><Relationship Id="rId54" Type="http://schemas.openxmlformats.org/officeDocument/2006/relationships/hyperlink" Target="https://www.sec.gov/Archives/edgar/data/1582982/000114420413068422/v362982_ex10-4.htm" TargetMode="External"/><Relationship Id="rId62" Type="http://schemas.openxmlformats.org/officeDocument/2006/relationships/hyperlink" Target="https://www.sec.gov/Archives/edgar/data/1582982/000149315220003146/ex10-16.htm" TargetMode="External"/><Relationship Id="rId70" Type="http://schemas.openxmlformats.org/officeDocument/2006/relationships/hyperlink" Target="ex31-2.htm" TargetMode="External"/><Relationship Id="rId1" Type="http://schemas.openxmlformats.org/officeDocument/2006/relationships/styles" Target="styles.xml"/><Relationship Id="rId6" Type="http://schemas.openxmlformats.org/officeDocument/2006/relationships/image" Target="file:///E:\projects\LLMs\new_data_collection\data_new\htm\CareCloud,%20Inc\vi_001.jpg" TargetMode="External"/><Relationship Id="rId15" Type="http://schemas.openxmlformats.org/officeDocument/2006/relationships/hyperlink" Target="https://www.sec.gov/Archives/edgar/data/1582982/000149315218013723/ex2-29.htm" TargetMode="External"/><Relationship Id="rId23" Type="http://schemas.openxmlformats.org/officeDocument/2006/relationships/hyperlink" Target="https://www.sec.gov/Archives/edgar/data/1582982/000149315221013396/ex2-3.htm" TargetMode="External"/><Relationship Id="rId28" Type="http://schemas.openxmlformats.org/officeDocument/2006/relationships/hyperlink" Target="https://www.sec.gov/Archives/edgar/data/1582982/000149315219009655/ex3-1.htm" TargetMode="External"/><Relationship Id="rId36" Type="http://schemas.openxmlformats.org/officeDocument/2006/relationships/hyperlink" Target="https://www.sec.gov/Archives/edgar/data/1582982/000149315222002660/ex3-1.htm" TargetMode="External"/><Relationship Id="rId49" Type="http://schemas.openxmlformats.org/officeDocument/2006/relationships/hyperlink" Target="https://www.sec.gov/Archives/edgar/data/1582982/000149315217001159/def14a.htm" TargetMode="External"/><Relationship Id="rId57" Type="http://schemas.openxmlformats.org/officeDocument/2006/relationships/hyperlink" Target="https://www.sec.gov/Archives/edgar/data/1582982/000149315221006673/ex10-2.htm" TargetMode="External"/><Relationship Id="rId10" Type="http://schemas.openxmlformats.org/officeDocument/2006/relationships/hyperlink" Target="https://www.sec.gov/Archives/edgar/data/1582982/000149315216013851/ex10-2.htm" TargetMode="External"/><Relationship Id="rId31" Type="http://schemas.openxmlformats.org/officeDocument/2006/relationships/hyperlink" Target="https://www.sec.gov/Archives/edgar/data/1582982/000149315218013723/ex3-4.htm" TargetMode="External"/><Relationship Id="rId44" Type="http://schemas.openxmlformats.org/officeDocument/2006/relationships/hyperlink" Target="https://www.sec.gov/Archives/edgar/data/1582982/000149315220003146/ex4-5.htm" TargetMode="External"/><Relationship Id="rId52" Type="http://schemas.openxmlformats.org/officeDocument/2006/relationships/hyperlink" Target="https://www.sec.gov/Archives/edgar/data/1582982/000114420414021003/v365547_ex10-3.htm" TargetMode="External"/><Relationship Id="rId60" Type="http://schemas.openxmlformats.org/officeDocument/2006/relationships/hyperlink" Target="https://www.sec.gov/Archives/edgar/data/1582982/000149315218013542/ex10-1.htm" TargetMode="External"/><Relationship Id="rId65" Type="http://schemas.openxmlformats.org/officeDocument/2006/relationships/hyperlink" Target="ex10-18.htm" TargetMode="External"/><Relationship Id="rId73" Type="http://schemas.openxmlformats.org/officeDocument/2006/relationships/fontTable" Target="fontTable.xml"/><Relationship Id="rId4" Type="http://schemas.openxmlformats.org/officeDocument/2006/relationships/image" Target="file:///E:\projects\LLMs\new_data_collection\data_new\htm\CareCloud,%20Inc\form10-k_001.jpg" TargetMode="External"/><Relationship Id="rId9" Type="http://schemas.openxmlformats.org/officeDocument/2006/relationships/hyperlink" Target="https://www.sec.gov/Archives/edgar/data/1582982/000149315216013851/ex10-1.htm" TargetMode="External"/><Relationship Id="rId13" Type="http://schemas.openxmlformats.org/officeDocument/2006/relationships/hyperlink" Target="https://www.sec.gov/Archives/edgar/data/1582982/000149315217000775/ex2-1.htm" TargetMode="External"/><Relationship Id="rId18" Type="http://schemas.openxmlformats.org/officeDocument/2006/relationships/hyperlink" Target="https://www.sec.gov/Archives/edgar/data/1582982/000149315220000344/ex2-1.htm" TargetMode="External"/><Relationship Id="rId39" Type="http://schemas.openxmlformats.org/officeDocument/2006/relationships/hyperlink" Target="https://www.sec.gov/Archives/edgar/data/1582982/000114420414028369/v377260_ex4-1.htm" TargetMode="External"/><Relationship Id="rId34" Type="http://schemas.openxmlformats.org/officeDocument/2006/relationships/hyperlink" Target="https://www.sec.gov/Archives/edgar/data/1582982/000149315220009629/ex3-2.htm" TargetMode="External"/><Relationship Id="rId50" Type="http://schemas.openxmlformats.org/officeDocument/2006/relationships/hyperlink" Target="https://www.sec.gov/Archives/edgar/data/1582982/000149315218011173/ex10-16.htm" TargetMode="External"/><Relationship Id="rId55" Type="http://schemas.openxmlformats.org/officeDocument/2006/relationships/hyperlink" Target="https://www.sec.gov/Archives/edgar/data/1582982/000149315218006296/ex10-1.htm" TargetMode="External"/><Relationship Id="rId7" Type="http://schemas.openxmlformats.org/officeDocument/2006/relationships/image" Target="file:///E:\projects\LLMs\new_data_collection\data_new\htm\CareCloud,%20Inc\form10-k_005.jpg" TargetMode="External"/><Relationship Id="rId71" Type="http://schemas.openxmlformats.org/officeDocument/2006/relationships/hyperlink" Target="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64457</Words>
  <Characters>367409</Characters>
  <Application>Microsoft Office Word</Application>
  <DocSecurity>0</DocSecurity>
  <Lines>3061</Lines>
  <Paragraphs>862</Paragraphs>
  <ScaleCrop>false</ScaleCrop>
  <Company/>
  <LinksUpToDate>false</LinksUpToDate>
  <CharactersWithSpaces>431004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