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F57AF">
      <w:pPr>
        <w:divId w:val="77871262"/>
        <w:rPr>
          <w:rFonts w:eastAsia="Times New Roman"/>
          <w:vanish/>
          <w:sz w:val="20"/>
          <w:szCs w:val="20"/>
        </w:rPr>
      </w:pPr>
      <w:r>
        <w:rPr>
          <w:rFonts w:eastAsia="Times New Roman"/>
          <w:vanish/>
          <w:sz w:val="20"/>
          <w:szCs w:val="20"/>
        </w:rPr>
        <w:t xml:space="preserve">0001582982 false --12-31 Q3 P5Y P5Y 232000 245000 20000 160000 0001582982 2022-01-01 2022-09-30 0001582982 MTBC:CommonStockParValue0.001PerShareMember 2022-01-01 2022-09-30 0001582982 </w:t>
      </w:r>
      <w:r>
        <w:rPr>
          <w:rFonts w:eastAsia="Times New Roman"/>
          <w:vanish/>
          <w:sz w:val="20"/>
          <w:szCs w:val="20"/>
        </w:rPr>
        <w:t>MTBC:Sec11SeriesCumulativeRedeemablePerpetualPreferredStockParValue0.001PerShareMember 2022-01-01 2022-09-30 0001582982 MTBC:Sec8.75SeriesBCumulativeRedeemablePerpetualPreferredStockParValue0.001PerShareMember 2022-01-01 2022-09-30 0001582982 2022-10-28 00</w:t>
      </w:r>
      <w:r>
        <w:rPr>
          <w:rFonts w:eastAsia="Times New Roman"/>
          <w:vanish/>
          <w:sz w:val="20"/>
          <w:szCs w:val="20"/>
        </w:rPr>
        <w:t>01582982 2022-09-30 0001582982 2021-12-31 0001582982 us-gaap:SeriesAPreferredStockMember 2022-09-30 0001582982 us-gaap:SeriesAPreferredStockMember 2021-12-31 0001582982 us-gaap:SeriesBPreferredStockMember 2022-09-30 0001582982 2022-07-01 2022-09-30 0001582</w:t>
      </w:r>
      <w:r>
        <w:rPr>
          <w:rFonts w:eastAsia="Times New Roman"/>
          <w:vanish/>
          <w:sz w:val="20"/>
          <w:szCs w:val="20"/>
        </w:rPr>
        <w:t>982 2021-07-01 2021-09-30 0001582982 2021-01-01 2021-09-30 0001582982 us-gaap:PreferredStockMember us-gaap:SeriesAPreferredStockMember 2021-12-31 0001582982 us-gaap:PreferredStockMember us-gaap:SeriesBPreferredStockMember 2021-12-31 0001582982 us-gaap:Comm</w:t>
      </w:r>
      <w:r>
        <w:rPr>
          <w:rFonts w:eastAsia="Times New Roman"/>
          <w:vanish/>
          <w:sz w:val="20"/>
          <w:szCs w:val="20"/>
        </w:rPr>
        <w:t>onStockMember 2021-12-31 0001582982 us-gaap:AdditionalPaidInCapitalMember 2021-12-31 0001582982 us-gaap:RetainedEarningsMember 2021-12-31 0001582982 us-gaap:AccumulatedOtherComprehensiveIncomeMember 2021-12-31 0001582982 us-gaap:TreasuryStockMember 2021-12</w:t>
      </w:r>
      <w:r>
        <w:rPr>
          <w:rFonts w:eastAsia="Times New Roman"/>
          <w:vanish/>
          <w:sz w:val="20"/>
          <w:szCs w:val="20"/>
        </w:rPr>
        <w:t>-31 0001582982 us-gaap:PreferredStockMember us-gaap:SeriesAPreferredStockMember 2022-03-31 0001582982 us-gaap:PreferredStockMember us-gaap:SeriesBPreferredStockMember 2022-03-31 0001582982 us-gaap:CommonStockMember 2022-03-31 0001582982 us-gaap:AdditionalP</w:t>
      </w:r>
      <w:r>
        <w:rPr>
          <w:rFonts w:eastAsia="Times New Roman"/>
          <w:vanish/>
          <w:sz w:val="20"/>
          <w:szCs w:val="20"/>
        </w:rPr>
        <w:t>aidInCapitalMember 2022-03-31 0001582982 us-gaap:RetainedEarningsMember 2022-03-31 0001582982 us-gaap:AccumulatedOtherComprehensiveIncomeMember 2022-03-31 0001582982 us-gaap:TreasuryStockMember 2022-03-31 0001582982 2022-03-31 0001582982 us-gaap:PreferredS</w:t>
      </w:r>
      <w:r>
        <w:rPr>
          <w:rFonts w:eastAsia="Times New Roman"/>
          <w:vanish/>
          <w:sz w:val="20"/>
          <w:szCs w:val="20"/>
        </w:rPr>
        <w:t>tockMember us-gaap:SeriesAPreferredStockMember 2022-06-30 0001582982 us-gaap:PreferredStockMember us-gaap:SeriesBPreferredStockMember 2022-06-30 0001582982 us-gaap:CommonStockMember 2022-06-30 0001582982 us-gaap:AdditionalPaidInCapitalMember 2022-06-30 000</w:t>
      </w:r>
      <w:r>
        <w:rPr>
          <w:rFonts w:eastAsia="Times New Roman"/>
          <w:vanish/>
          <w:sz w:val="20"/>
          <w:szCs w:val="20"/>
        </w:rPr>
        <w:t>1582982 us-gaap:RetainedEarningsMember 2022-06-30 0001582982 us-gaap:AccumulatedOtherComprehensiveIncomeMember 2022-06-30 0001582982 us-gaap:TreasuryStockMember 2022-06-30 0001582982 2022-06-30 0001582982 us-gaap:PreferredStockMember us-gaap:SeriesAPreferr</w:t>
      </w:r>
      <w:r>
        <w:rPr>
          <w:rFonts w:eastAsia="Times New Roman"/>
          <w:vanish/>
          <w:sz w:val="20"/>
          <w:szCs w:val="20"/>
        </w:rPr>
        <w:t>edStockMember 2020-12-31 0001582982 us-gaap:PreferredStockMember us-gaap:SeriesBPreferredStockMember 2020-12-31 0001582982 us-gaap:CommonStockMember 2020-12-31 0001582982 us-gaap:AdditionalPaidInCapitalMember 2020-12-31 0001582982 us-gaap:RetainedEarningsM</w:t>
      </w:r>
      <w:r>
        <w:rPr>
          <w:rFonts w:eastAsia="Times New Roman"/>
          <w:vanish/>
          <w:sz w:val="20"/>
          <w:szCs w:val="20"/>
        </w:rPr>
        <w:t>ember 2020-12-31 0001582982 us-gaap:AccumulatedOtherComprehensiveIncomeMember 2020-12-31 0001582982 us-gaap:TreasuryStockMember 2020-12-31 0001582982 2020-12-31 0001582982 us-gaap:PreferredStockMember us-gaap:SeriesAPreferredStockMember 2021-03-31 00015829</w:t>
      </w:r>
      <w:r>
        <w:rPr>
          <w:rFonts w:eastAsia="Times New Roman"/>
          <w:vanish/>
          <w:sz w:val="20"/>
          <w:szCs w:val="20"/>
        </w:rPr>
        <w:t>82 us-gaap:PreferredStockMember us-gaap:SeriesBPreferredStockMember 2021-03-31 0001582982 us-gaap:CommonStockMember 2021-03-31 0001582982 us-gaap:AdditionalPaidInCapitalMember 2021-03-31 0001582982 us-gaap:RetainedEarningsMember 2021-03-31 0001582982 us-ga</w:t>
      </w:r>
      <w:r>
        <w:rPr>
          <w:rFonts w:eastAsia="Times New Roman"/>
          <w:vanish/>
          <w:sz w:val="20"/>
          <w:szCs w:val="20"/>
        </w:rPr>
        <w:t>ap:AccumulatedOtherComprehensiveIncomeMember 2021-03-31 0001582982 us-gaap:TreasuryStockMember 2021-03-31 0001582982 2021-03-31 0001582982 us-gaap:PreferredStockMember us-gaap:SeriesAPreferredStockMember 2021-06-30 0001582982 us-gaap:PreferredStockMember u</w:t>
      </w:r>
      <w:r>
        <w:rPr>
          <w:rFonts w:eastAsia="Times New Roman"/>
          <w:vanish/>
          <w:sz w:val="20"/>
          <w:szCs w:val="20"/>
        </w:rPr>
        <w:t>s-gaap:SeriesBPreferredStockMember 2021-06-30 0001582982 us-gaap:CommonStockMember 2021-06-30 0001582982 us-gaap:AdditionalPaidInCapitalMember 2021-06-30 0001582982 us-gaap:RetainedEarningsMember 2021-06-30 0001582982 us-gaap:AccumulatedOtherComprehensiveI</w:t>
      </w:r>
      <w:r>
        <w:rPr>
          <w:rFonts w:eastAsia="Times New Roman"/>
          <w:vanish/>
          <w:sz w:val="20"/>
          <w:szCs w:val="20"/>
        </w:rPr>
        <w:t>ncomeMember 2021-06-30 0001582982 us-gaap:TreasuryStockMember 2021-06-30 0001582982 2021-06-30 0001582982 us-gaap:PreferredStockMember us-gaap:SeriesAPreferredStockMember 2022-01-01 2022-03-31 0001582982 us-gaap:PreferredStockMember us-gaap:SeriesBPreferre</w:t>
      </w:r>
      <w:r>
        <w:rPr>
          <w:rFonts w:eastAsia="Times New Roman"/>
          <w:vanish/>
          <w:sz w:val="20"/>
          <w:szCs w:val="20"/>
        </w:rPr>
        <w:t>dStockMember 2022-01-01 2022-03-31 0001582982 us-gaap:CommonStockMember 2022-01-01 2022-03-31 0001582982 us-gaap:AdditionalPaidInCapitalMember 2022-01-01 2022-03-31 0001582982 us-gaap:RetainedEarningsMember 2022-01-01 2022-03-31 0001582982 us-gaap:Accumula</w:t>
      </w:r>
      <w:r>
        <w:rPr>
          <w:rFonts w:eastAsia="Times New Roman"/>
          <w:vanish/>
          <w:sz w:val="20"/>
          <w:szCs w:val="20"/>
        </w:rPr>
        <w:t>tedOtherComprehensiveIncomeMember 2022-01-01 2022-03-31 0001582982 us-gaap:TreasuryStockMember 2022-01-01 2022-03-31 0001582982 2022-01-01 2022-03-31 0001582982 us-gaap:PreferredStockMember us-gaap:SeriesAPreferredStockMember 2022-04-01 2022-06-30 00015829</w:t>
      </w:r>
      <w:r>
        <w:rPr>
          <w:rFonts w:eastAsia="Times New Roman"/>
          <w:vanish/>
          <w:sz w:val="20"/>
          <w:szCs w:val="20"/>
        </w:rPr>
        <w:t>82 us-gaap:PreferredStockMember us-gaap:SeriesBPreferredStockMember 2022-04-01 2022-06-30 0001582982 us-gaap:CommonStockMember 2022-04-01 2022-06-30 0001582982 us-gaap:AdditionalPaidInCapitalMember 2022-04-01 2022-06-30 0001582982 us-gaap:RetainedEarningsM</w:t>
      </w:r>
      <w:r>
        <w:rPr>
          <w:rFonts w:eastAsia="Times New Roman"/>
          <w:vanish/>
          <w:sz w:val="20"/>
          <w:szCs w:val="20"/>
        </w:rPr>
        <w:t>ember 2022-04-01 2022-06-30 0001582982 us-gaap:AccumulatedOtherComprehensiveIncomeMember 2022-04-01 2022-06-30 0001582982 us-gaap:TreasuryStockMember 2022-04-01 2022-06-30 0001582982 2022-04-01 2022-06-30 0001582982 us-gaap:PreferredStockMember us-gaap:Ser</w:t>
      </w:r>
      <w:r>
        <w:rPr>
          <w:rFonts w:eastAsia="Times New Roman"/>
          <w:vanish/>
          <w:sz w:val="20"/>
          <w:szCs w:val="20"/>
        </w:rPr>
        <w:t>iesAPreferredStockMember 2022-07-01 2022-09-30 0001582982 us-gaap:PreferredStockMember us-gaap:SeriesBPreferredStockMember 2022-07-01 2022-09-30 0001582982 us-gaap:CommonStockMember 2022-07-01 2022-09-30 0001582982 us-gaap:AdditionalPaidInCapitalMember 202</w:t>
      </w:r>
      <w:r>
        <w:rPr>
          <w:rFonts w:eastAsia="Times New Roman"/>
          <w:vanish/>
          <w:sz w:val="20"/>
          <w:szCs w:val="20"/>
        </w:rPr>
        <w:t>2-07-01 2022-09-30 0001582982 us-gaap:RetainedEarningsMember 2022-07-01 2022-09-30 0001582982 us-gaap:AccumulatedOtherComprehensiveIncomeMember 2022-07-01 2022-09-30 0001582982 us-gaap:TreasuryStockMember 2022-07-01 2022-09-30 0001582982 us-gaap:PreferredS</w:t>
      </w:r>
      <w:r>
        <w:rPr>
          <w:rFonts w:eastAsia="Times New Roman"/>
          <w:vanish/>
          <w:sz w:val="20"/>
          <w:szCs w:val="20"/>
        </w:rPr>
        <w:t>tockMember us-gaap:SeriesAPreferredStockMember 2021-01-01 2021-03-31 0001582982 us-gaap:PreferredStockMember us-gaap:SeriesBPreferredStockMember 2021-01-01 2021-03-31 0001582982 us-gaap:CommonStockMember 2021-01-01 2021-03-31 0001582982 us-gaap:AdditionalP</w:t>
      </w:r>
      <w:r>
        <w:rPr>
          <w:rFonts w:eastAsia="Times New Roman"/>
          <w:vanish/>
          <w:sz w:val="20"/>
          <w:szCs w:val="20"/>
        </w:rPr>
        <w:t>aidInCapitalMember 2021-01-01 2021-03-31 0001582982 us-gaap:RetainedEarningsMember 2021-01-01 2021-03-31 0001582982 us-gaap:AccumulatedOtherComprehensiveIncomeMember 2021-01-01 2021-03-31 0001582982 us-gaap:TreasuryStockMember 2021-01-01 2021-03-31 0001582</w:t>
      </w:r>
      <w:r>
        <w:rPr>
          <w:rFonts w:eastAsia="Times New Roman"/>
          <w:vanish/>
          <w:sz w:val="20"/>
          <w:szCs w:val="20"/>
        </w:rPr>
        <w:t>982 2021-01-01 2021-03-31 0001582982 us-gaap:PreferredStockMember us-gaap:SeriesAPreferredStockMember 2021-04-01 2021-06-30 0001582982 us-gaap:PreferredStockMember us-gaap:SeriesBPreferredStockMember 2021-04-01 2021-06-30 0001582982 us-gaap:CommonStockMemb</w:t>
      </w:r>
      <w:r>
        <w:rPr>
          <w:rFonts w:eastAsia="Times New Roman"/>
          <w:vanish/>
          <w:sz w:val="20"/>
          <w:szCs w:val="20"/>
        </w:rPr>
        <w:t>er 2021-04-01 2021-06-30 0001582982 us-gaap:AdditionalPaidInCapitalMember 2021-04-01 2021-06-30 0001582982 us-gaap:RetainedEarningsMember 2021-04-01 2021-06-30 0001582982 us-gaap:AccumulatedOtherComprehensiveIncomeMember 2021-04-01 2021-06-30 0001582982 us</w:t>
      </w:r>
      <w:r>
        <w:rPr>
          <w:rFonts w:eastAsia="Times New Roman"/>
          <w:vanish/>
          <w:sz w:val="20"/>
          <w:szCs w:val="20"/>
        </w:rPr>
        <w:t>-gaap:TreasuryStockMember 2021-04-01 2021-06-30 0001582982 2021-04-01 2021-06-30 0001582982 us-gaap:PreferredStockMember us-gaap:SeriesAPreferredStockMember 2021-07-01 2021-09-30 0001582982 us-gaap:PreferredStockMember us-gaap:SeriesBPreferredStockMember 2</w:t>
      </w:r>
      <w:r>
        <w:rPr>
          <w:rFonts w:eastAsia="Times New Roman"/>
          <w:vanish/>
          <w:sz w:val="20"/>
          <w:szCs w:val="20"/>
        </w:rPr>
        <w:t>021-07-01 2021-09-30 0001582982 us-gaap:CommonStockMember 2021-07-01 2021-09-30 0001582982 us-gaap:AdditionalPaidInCapitalMember 2021-07-01 2021-09-30 0001582982 us-gaap:RetainedEarningsMember 2021-07-01 2021-09-30 0001582982 us-gaap:AccumulatedOtherCompre</w:t>
      </w:r>
      <w:r>
        <w:rPr>
          <w:rFonts w:eastAsia="Times New Roman"/>
          <w:vanish/>
          <w:sz w:val="20"/>
          <w:szCs w:val="20"/>
        </w:rPr>
        <w:t>hensiveIncomeMember 2021-07-01 2021-09-30 0001582982 us-gaap:TreasuryStockMember 2021-07-01 2021-09-30 0001582982 us-gaap:PreferredStockMember us-gaap:SeriesAPreferredStockMember 2022-09-30 0001582982 us-gaap:PreferredStockMember us-gaap:SeriesBPreferredSt</w:t>
      </w:r>
      <w:r>
        <w:rPr>
          <w:rFonts w:eastAsia="Times New Roman"/>
          <w:vanish/>
          <w:sz w:val="20"/>
          <w:szCs w:val="20"/>
        </w:rPr>
        <w:t>ockMember 2022-09-30 0001582982 us-gaap:CommonStockMember 2022-09-30 0001582982 us-gaap:AdditionalPaidInCapitalMember 2022-09-30 0001582982 us-gaap:RetainedEarningsMember 2022-09-30 0001582982 us-gaap:AccumulatedOtherComprehensiveIncomeMember 2022-09-30 00</w:t>
      </w:r>
      <w:r>
        <w:rPr>
          <w:rFonts w:eastAsia="Times New Roman"/>
          <w:vanish/>
          <w:sz w:val="20"/>
          <w:szCs w:val="20"/>
        </w:rPr>
        <w:t>01582982 us-gaap:TreasuryStockMember 2022-09-30 0001582982 us-gaap:PreferredStockMember us-gaap:SeriesAPreferredStockMember 2021-09-30 0001582982 us-gaap:PreferredStockMember us-gaap:SeriesBPreferredStockMember 2021-09-30 0001582982 us-gaap:CommonStockMemb</w:t>
      </w:r>
      <w:r>
        <w:rPr>
          <w:rFonts w:eastAsia="Times New Roman"/>
          <w:vanish/>
          <w:sz w:val="20"/>
          <w:szCs w:val="20"/>
        </w:rPr>
        <w:t>er 2021-09-30 0001582982 us-gaap:AdditionalPaidInCapitalMember 2021-09-30 0001582982 us-gaap:RetainedEarningsMember 2021-09-30 0001582982 us-gaap:AccumulatedOtherComprehensiveIncomeMember 2021-09-30 0001582982 us-gaap:TreasuryStockMember 2021-09-30 0001582</w:t>
      </w:r>
      <w:r>
        <w:rPr>
          <w:rFonts w:eastAsia="Times New Roman"/>
          <w:vanish/>
          <w:sz w:val="20"/>
          <w:szCs w:val="20"/>
        </w:rPr>
        <w:t>982 2021-09-30 0001582982 MTBC:MTBCPrivateLimitedMember 2004-12-31 0001582982 MTBC:MTBCPrivateLimitedMember MTBC:FounderAndExecutiveChairmanMember 2004-12-31 0001582982 MTBC:MTBCBaghPvtLtdMember 2022-04-01 0001582982 MTBC:MTBCBaghPvtLtdMember MTBC:FounderA</w:t>
      </w:r>
      <w:r>
        <w:rPr>
          <w:rFonts w:eastAsia="Times New Roman"/>
          <w:vanish/>
          <w:sz w:val="20"/>
          <w:szCs w:val="20"/>
        </w:rPr>
        <w:t>ndExecutiveChairmanMember 2022-04-01 0001582982 MTBC:AssetAndStockPurchaseAgreementMember MTBC:MedMaticaMember 2021-05-31 2021-06-01 0001582982 MTBC:AssetAndStockPurchaseAgreementMember MTBC:MedMaticaMember 2021-06-01 0001582982 MTBC:MedSRMember 2021-06-01</w:t>
      </w:r>
      <w:r>
        <w:rPr>
          <w:rFonts w:eastAsia="Times New Roman"/>
          <w:vanish/>
          <w:sz w:val="20"/>
          <w:szCs w:val="20"/>
        </w:rPr>
        <w:t xml:space="preserve"> 0001582982 MTBC:MedSRMember 2022-09-30 0001582982 MTBC:MedSRMember 2021-12-31 0001582982 MTBC:MedSRMember 2021-05-31 2021-06-01 0001582982 MTBC:MedSRMember 2021-07-01 2021-09-30 0001582982 MTBC:MedSRMember 2021-09-30 0001582982 MTBC:MedSRMember 2022-01-01</w:t>
      </w:r>
      <w:r>
        <w:rPr>
          <w:rFonts w:eastAsia="Times New Roman"/>
          <w:vanish/>
          <w:sz w:val="20"/>
          <w:szCs w:val="20"/>
        </w:rPr>
        <w:t xml:space="preserve"> 2022-09-30 0001582982 MTBC:MedSRMember 2022-07-01 2022-09-30 0001582982 MTBC:MedSRMember 2021-01-01 2021-09-30 0001582982 MTBC:Acquisition2021Member MTBC:MeridianBillingManagementCoMember 2022-01-01 2022-09-30 0001582982 2021-05-31 2021-06-01 0001582982 M</w:t>
      </w:r>
      <w:r>
        <w:rPr>
          <w:rFonts w:eastAsia="Times New Roman"/>
          <w:vanish/>
          <w:sz w:val="20"/>
          <w:szCs w:val="20"/>
        </w:rPr>
        <w:t>TBC:MedSRPurchasePriceMember 2021-06-01 0001582982 2021-01-01 2021-12-31 0001582982 MTBC:ContractsAndRelationshipsAcquiredMember 2022-09-30 0001582982 MTBC:ContractsAndRelationshipsAcquiredMember 2021-12-31 0001582982 MTBC:CapitalizedSoftwareMember 2022-09</w:t>
      </w:r>
      <w:r>
        <w:rPr>
          <w:rFonts w:eastAsia="Times New Roman"/>
          <w:vanish/>
          <w:sz w:val="20"/>
          <w:szCs w:val="20"/>
        </w:rPr>
        <w:t>-30 0001582982 MTBC:CapitalizedSoftwareMember 2021-12-31 0001582982 us-gaap:NoncompeteAgreementsMember 2022-09-30 0001582982 us-gaap:NoncompeteAgreementsMember 2021-12-31 0001582982 us-gaap:OtherIntangibleAssetsMember 2022-09-30 0001582982 us-gaap:OtherInt</w:t>
      </w:r>
      <w:r>
        <w:rPr>
          <w:rFonts w:eastAsia="Times New Roman"/>
          <w:vanish/>
          <w:sz w:val="20"/>
          <w:szCs w:val="20"/>
        </w:rPr>
        <w:t>angibleAssetsMember 2021-12-31 0001582982 MTBC:RestrictedStockUnitsMember 2022-01-01 2022-09-30 0001582982 MTBC:UnexercisedWarrantsMember 2022-01-01 2022-09-30 0001582982 srt:MinimumMember 2022-09-30 0001582982 srt:MaximumMember 2022-09-30 0001582982 MTBC:</w:t>
      </w:r>
      <w:r>
        <w:rPr>
          <w:rFonts w:eastAsia="Times New Roman"/>
          <w:vanish/>
          <w:sz w:val="20"/>
          <w:szCs w:val="20"/>
        </w:rPr>
        <w:t>RestrictedStockUnitsMember 2021-01-01 2021-09-30 0001582982 MTBC:UnexercisedWarrantsMember 2021-01-01 2021-09-30 0001582982 MTBC:SVBCreditFacilityMember 2017-10-31 0001582982 MTBC:SVBCreditFacilityMember srt:MinimumMember 2018-09-30 0001582982 MTBC:SVBCred</w:t>
      </w:r>
      <w:r>
        <w:rPr>
          <w:rFonts w:eastAsia="Times New Roman"/>
          <w:vanish/>
          <w:sz w:val="20"/>
          <w:szCs w:val="20"/>
        </w:rPr>
        <w:t>itFacilityMember srt:MaximumMember 2018-09-30 0001582982 MTBC:SVBCreditFacilityMember 2021-09-30 0001582982 MTBC:SVBCreditFacilityMember 2022-09-30 0001582982 MTBC:SVBCreditFacilityMember us-gaap:PrimeRateMember 2017-10-31 0001582982 MTBC:SVBCreditFacility</w:t>
      </w:r>
      <w:r>
        <w:rPr>
          <w:rFonts w:eastAsia="Times New Roman"/>
          <w:vanish/>
          <w:sz w:val="20"/>
          <w:szCs w:val="20"/>
        </w:rPr>
        <w:t>Member srt:MinimumMember 2017-10-31 0001582982 MTBC:SVBCreditFacilityMember 2017-10-01 2017-10-31 0001582982 MTBC:SVBDebtAgreementMember 2017-10-01 2017-10-31 0001582982 MTBC:SVBDebtAgreementMember 2017-10-31 0001582982 MTBC:SVBCreditFacilityMember srt:Max</w:t>
      </w:r>
      <w:r>
        <w:rPr>
          <w:rFonts w:eastAsia="Times New Roman"/>
          <w:vanish/>
          <w:sz w:val="20"/>
          <w:szCs w:val="20"/>
        </w:rPr>
        <w:t>imumMember 2017-10-31 0001582982 MTBC:SVBDebtAgreementMember MTBC:AdditionalWarrantMember 2017-10-31 0001582982 MTBC:VehicleFinancingNotesMember 2022-01-01 2022-09-30 0001582982 MTBC:InsuranceFinancingMember 2022-09-30 0001582982 MTBC:NonexclusiveAircraftD</w:t>
      </w:r>
      <w:r>
        <w:rPr>
          <w:rFonts w:eastAsia="Times New Roman"/>
          <w:vanish/>
          <w:sz w:val="20"/>
          <w:szCs w:val="20"/>
        </w:rPr>
        <w:t>ryLeaseAgreementMember 2021-07-01 2021-09-30 0001582982 2020-03-24 2020-03-25 0001582982 srt:MinimumMember 2020-06-10 2020-06-12 0001582982 srt:MaximumMember 2020-06-10 2020-06-12 0001582982 2020-07-22 2020-07-24 0001582982 srt:MinimumMember 2021-11-01 202</w:t>
      </w:r>
      <w:r>
        <w:rPr>
          <w:rFonts w:eastAsia="Times New Roman"/>
          <w:vanish/>
          <w:sz w:val="20"/>
          <w:szCs w:val="20"/>
        </w:rPr>
        <w:t>1-11-30 0001582982 srt:MaximumMember 2021-11-01 2021-11-30 0001582982 srt:MinimumMember 2020-05-27 2020-05-28 0001582982 srt:MaximumMember 2020-05-27 2020-05-28 0001582982 MTBC:PhysicianMember 2022-01-01 2022-09-30 0001582982 MTBC:PhysicianMember 2021-01-0</w:t>
      </w:r>
      <w:r>
        <w:rPr>
          <w:rFonts w:eastAsia="Times New Roman"/>
          <w:vanish/>
          <w:sz w:val="20"/>
          <w:szCs w:val="20"/>
        </w:rPr>
        <w:t>1 2021-09-30 0001582982 MTBC:PhysicianMember 2022-07-01 2022-09-30 0001582982 MTBC:PhysicianMember 2021-07-01 2021-09-30 0001582982 MTBC:PhysicianMember 2022-09-30 0001582982 MTBC:PhysicianMember 2021-12-31 0001582982 MTBC:NonexclusiveAircraftDryLeaseAgree</w:t>
      </w:r>
      <w:r>
        <w:rPr>
          <w:rFonts w:eastAsia="Times New Roman"/>
          <w:vanish/>
          <w:sz w:val="20"/>
          <w:szCs w:val="20"/>
        </w:rPr>
        <w:t>mentMember MTBC:KashmirAirIncMember 2021-07-01 2021-09-30 0001582982 MTBC:NonexclusiveAircraftDryLeaseAgreementMember MTBC:KashmirAirIncMember 2021-01-01 2021-09-30 0001582982 MTBC:ExecutiveChairmanMember 2022-01-01 2022-09-30 0001582982 MTBC:ExecutiveChai</w:t>
      </w:r>
      <w:r>
        <w:rPr>
          <w:rFonts w:eastAsia="Times New Roman"/>
          <w:vanish/>
          <w:sz w:val="20"/>
          <w:szCs w:val="20"/>
        </w:rPr>
        <w:t>rmanMember 2021-01-01 2021-09-30 0001582982 MTBC:ExecutiveChairmanMember 2022-07-01 2022-09-30 0001582982 MTBC:ExecutiveChairmanMember 2021-07-01 2021-09-30 0001582982 MTBC:RelatedPartyLeaseMember 2022-09-30 0001582982 MTBC:RelatedPartyLeaseMember 2021-12-</w:t>
      </w:r>
      <w:r>
        <w:rPr>
          <w:rFonts w:eastAsia="Times New Roman"/>
          <w:vanish/>
          <w:sz w:val="20"/>
          <w:szCs w:val="20"/>
        </w:rPr>
        <w:t>31 0001582982 MTBC:TalkMDCliniciansMember 2022-01-01 2022-09-30 0001582982 us-gaap:SeriesBPreferredStockMember 2022-01-01 2022-09-30 0001582982 us-gaap:SeriesBPreferredStockMember MTBC:AtTheMarketMember 2022-01-01 2022-09-30 0001582982 us-gaap:SeriesBPrefe</w:t>
      </w:r>
      <w:r>
        <w:rPr>
          <w:rFonts w:eastAsia="Times New Roman"/>
          <w:vanish/>
          <w:sz w:val="20"/>
          <w:szCs w:val="20"/>
        </w:rPr>
        <w:t>rredStockMember MTBC:FebruaryFifteenTwoThousandTwentyFourAndPriorToFebruaryFifteenTwoThousandTwentyFiveMember 2022-09-30 0001582982 us-gaap:SeriesBPreferredStockMember MTBC:FebruaryFifteenTwoThousandTwentyFiveAndPriorToFebruaryFifteenTwoThousandTwentySixMe</w:t>
      </w:r>
      <w:r>
        <w:rPr>
          <w:rFonts w:eastAsia="Times New Roman"/>
          <w:vanish/>
          <w:sz w:val="20"/>
          <w:szCs w:val="20"/>
        </w:rPr>
        <w:t>mber 2022-09-30 0001582982 us-gaap:SeriesBPreferredStockMember MTBC:FebruaryFifteenTwoThousandTwentySixAndPriorToFebruaryFifteenTwoThousandTwentySevenMember 2022-09-30 0001582982 us-gaap:SeriesBPreferredStockMember MTBC:OnOrAfterFebruaryFifteenTwoThousandT</w:t>
      </w:r>
      <w:r>
        <w:rPr>
          <w:rFonts w:eastAsia="Times New Roman"/>
          <w:vanish/>
          <w:sz w:val="20"/>
          <w:szCs w:val="20"/>
        </w:rPr>
        <w:t>wentySevenMember 2022-09-30 0001582982 MTBC:CommonStockAtTheMarketMember 2022-01-01 2022-09-30 0001582982 MTBC:CommonStockWarrantsMember 2021-09-30 0001582982 MTBC:CommonStockWarrantsMember 2021-01-01 2021-09-30 0001582982 MTBC:CommonStockAtTheMarketMember</w:t>
      </w:r>
      <w:r>
        <w:rPr>
          <w:rFonts w:eastAsia="Times New Roman"/>
          <w:vanish/>
          <w:sz w:val="20"/>
          <w:szCs w:val="20"/>
        </w:rPr>
        <w:t xml:space="preserve"> 2021-04-01 2021-06-30 0001582982 us-gaap:SeriesAPreferredStockMember MTBC:CCHAcquisitionMember 2021-04-01 2021-06-30 0001582982 MTBC:CommonStockAtTheMarketMember 2021-07-01 2021-09-30 0001582982 MTBC:CommonStockWarrantsMember 2022-10-11 0001582982 MTBC:He</w:t>
      </w:r>
      <w:r>
        <w:rPr>
          <w:rFonts w:eastAsia="Times New Roman"/>
          <w:vanish/>
          <w:sz w:val="20"/>
          <w:szCs w:val="20"/>
        </w:rPr>
        <w:t>althcareITMember MTBC:TechnologyEnabledBusinessSolutionsMember 2022-07-01 2022-09-30 0001582982 MTBC:HealthcareITMember MTBC:TechnologyEnabledBusinessSolutionsMember 2021-07-01 2021-09-30 0001582982 MTBC:HealthcareITMember MTBC:TechnologyEnabledBusinessSol</w:t>
      </w:r>
      <w:r>
        <w:rPr>
          <w:rFonts w:eastAsia="Times New Roman"/>
          <w:vanish/>
          <w:sz w:val="20"/>
          <w:szCs w:val="20"/>
        </w:rPr>
        <w:t>utionsMember 2022-01-01 2022-09-30 0001582982 MTBC:HealthcareITMember MTBC:TechnologyEnabledBusinessSolutionsMember 2021-01-01 2021-09-30 0001582982 MTBC:HealthcareITMember MTBC:ProfessionalServicesMember 2022-07-01 2022-09-30 0001582982 MTBC:HealthcareITM</w:t>
      </w:r>
      <w:r>
        <w:rPr>
          <w:rFonts w:eastAsia="Times New Roman"/>
          <w:vanish/>
          <w:sz w:val="20"/>
          <w:szCs w:val="20"/>
        </w:rPr>
        <w:t>ember MTBC:ProfessionalServicesMember 2021-07-01 2021-09-30 0001582982 MTBC:HealthcareITMember MTBC:ProfessionalServicesMember 2022-01-01 2022-09-30 0001582982 MTBC:HealthcareITMember MTBC:ProfessionalServicesMember 2021-01-01 2021-09-30 0001582982 MTBC:He</w:t>
      </w:r>
      <w:r>
        <w:rPr>
          <w:rFonts w:eastAsia="Times New Roman"/>
          <w:vanish/>
          <w:sz w:val="20"/>
          <w:szCs w:val="20"/>
        </w:rPr>
        <w:t xml:space="preserve">althcareITMember MTBC:PrintingAndMailingServicesMember 2022-07-01 2022-09-30 0001582982 MTBC:HealthcareITMember MTBC:PrintingAndMailingServicesMember 2021-07-01 2021-09-30 0001582982 MTBC:HealthcareITMember MTBC:PrintingAndMailingServicesMember 2022-01-01 </w:t>
      </w:r>
      <w:r>
        <w:rPr>
          <w:rFonts w:eastAsia="Times New Roman"/>
          <w:vanish/>
          <w:sz w:val="20"/>
          <w:szCs w:val="20"/>
        </w:rPr>
        <w:t>2022-09-30 0001582982 MTBC:HealthcareITMember MTBC:PrintingAndMailingServicesMember 2021-01-01 2021-09-30 0001582982 MTBC:HealthcareITMember MTBC:GroupPurchasingServicesMember 2022-07-01 2022-09-30 0001582982 MTBC:HealthcareITMember MTBC:GroupPurchasingSer</w:t>
      </w:r>
      <w:r>
        <w:rPr>
          <w:rFonts w:eastAsia="Times New Roman"/>
          <w:vanish/>
          <w:sz w:val="20"/>
          <w:szCs w:val="20"/>
        </w:rPr>
        <w:t>vicesMember 2021-07-01 2021-09-30 0001582982 MTBC:HealthcareITMember MTBC:GroupPurchasingServicesMember 2022-01-01 2022-09-30 0001582982 MTBC:HealthcareITMember MTBC:GroupPurchasingServicesMember 2021-01-01 2021-09-30 0001582982 MTBC:MedicalPracticeManagem</w:t>
      </w:r>
      <w:r>
        <w:rPr>
          <w:rFonts w:eastAsia="Times New Roman"/>
          <w:vanish/>
          <w:sz w:val="20"/>
          <w:szCs w:val="20"/>
        </w:rPr>
        <w:t>entMember 2022-07-01 2022-09-30 0001582982 MTBC:MedicalPracticeManagementMember 2021-07-01 2021-09-30 0001582982 MTBC:MedicalPracticeManagementMember 2022-01-01 2022-09-30 0001582982 MTBC:MedicalPracticeManagementMember 2021-01-01 2021-09-30 0001582982 MTB</w:t>
      </w:r>
      <w:r>
        <w:rPr>
          <w:rFonts w:eastAsia="Times New Roman"/>
          <w:vanish/>
          <w:sz w:val="20"/>
          <w:szCs w:val="20"/>
        </w:rPr>
        <w:t>C:RevenueCycleManagementMember 2022-09-30 0001582982 MTBC:GroupPurchasingServicesMember 2022-01-01 2022-09-30 0001582982 MTBC:GroupPurchasingServicesMember 2022-09-30 0001582982 MTBC:TwoThousandFourteenEquityIncentivePlanMember MTBC:EmployeesOfficersDirect</w:t>
      </w:r>
      <w:r>
        <w:rPr>
          <w:rFonts w:eastAsia="Times New Roman"/>
          <w:vanish/>
          <w:sz w:val="20"/>
          <w:szCs w:val="20"/>
        </w:rPr>
        <w:t>orsAndConsultantsMember 2014-04-30 0001582982 MTBC:AmendedAndRestatedEquityIncentivePlanMember us-gaap:CommonStockMember 2017-04-14 0001582982 MTBC:AmendedAndRestatedEquityIncentivePlanMember us-gaap:SeriesAPreferredStockMember 2017-04-14 0001582982 MTBC:A</w:t>
      </w:r>
      <w:r>
        <w:rPr>
          <w:rFonts w:eastAsia="Times New Roman"/>
          <w:vanish/>
          <w:sz w:val="20"/>
          <w:szCs w:val="20"/>
        </w:rPr>
        <w:t>mendedAndRestatedEquityIncentivePlanMember us-gaap:SeriesAPreferredStockMember 2018-12-31 0001582982 MTBC:AmendedAndRestatedEquityIncentivePlanMember us-gaap:CommonStockMember 2020-05-31 0001582982 MTBC:AmendedAndRestatedEquityIncentivePlanMember us-gaap:S</w:t>
      </w:r>
      <w:r>
        <w:rPr>
          <w:rFonts w:eastAsia="Times New Roman"/>
          <w:vanish/>
          <w:sz w:val="20"/>
          <w:szCs w:val="20"/>
        </w:rPr>
        <w:t>eriesAPreferredStockMember 2020-05-31 0001582982 MTBC:AmendedAndRestatedEquityIncentivePlanMember us-gaap:CommonStockMember 2022-09-30 0001582982 MTBC:AmendedAndRestatedEquityIncentivePlanMember us-gaap:SeriesBPreferredStockMember 2022-09-30 0001582982 MTB</w:t>
      </w:r>
      <w:r>
        <w:rPr>
          <w:rFonts w:eastAsia="Times New Roman"/>
          <w:vanish/>
          <w:sz w:val="20"/>
          <w:szCs w:val="20"/>
        </w:rPr>
        <w:t>C:AmendedAndRestatedEquityIncentivePlanMember us-gaap:SeriesAPreferredStockMember 2022-09-30 0001582982 us-gaap:RestrictedStockUnitsRSUMember 2022-01-01 2022-09-30 0001582982 us-gaap:RestrictedStockUnitsRSUMember us-gaap:CommonStockMember 2021-12-31 000158</w:t>
      </w:r>
      <w:r>
        <w:rPr>
          <w:rFonts w:eastAsia="Times New Roman"/>
          <w:vanish/>
          <w:sz w:val="20"/>
          <w:szCs w:val="20"/>
        </w:rPr>
        <w:t>2982 us-gaap:RestrictedStockUnitsRSUMember us-gaap:SeriesAPreferredStockMember 2021-12-31 0001582982 us-gaap:RestrictedStockUnitsRSUMember us-gaap:SeriesBPreferredStockMember 2021-12-31 0001582982 us-gaap:RestrictedStockUnitsRSUMember us-gaap:CommonStockMe</w:t>
      </w:r>
      <w:r>
        <w:rPr>
          <w:rFonts w:eastAsia="Times New Roman"/>
          <w:vanish/>
          <w:sz w:val="20"/>
          <w:szCs w:val="20"/>
        </w:rPr>
        <w:t>mber 2022-01-01 2022-09-30 0001582982 us-gaap:RestrictedStockUnitsRSUMember us-gaap:SeriesAPreferredStockMember 2022-01-01 2022-09-30 0001582982 us-gaap:RestrictedStockUnitsRSUMember us-gaap:SeriesBPreferredStockMember 2022-01-01 2022-09-30 0001582982 us-g</w:t>
      </w:r>
      <w:r>
        <w:rPr>
          <w:rFonts w:eastAsia="Times New Roman"/>
          <w:vanish/>
          <w:sz w:val="20"/>
          <w:szCs w:val="20"/>
        </w:rPr>
        <w:t>aap:RestrictedStockUnitsRSUMember us-gaap:CommonStockMember 2022-09-30 0001582982 us-gaap:RestrictedStockUnitsRSUMember us-gaap:SeriesAPreferredStockMember 2022-09-30 0001582982 us-gaap:RestrictedStockUnitsRSUMember us-gaap:SeriesBPreferredStockMember 2022</w:t>
      </w:r>
      <w:r>
        <w:rPr>
          <w:rFonts w:eastAsia="Times New Roman"/>
          <w:vanish/>
          <w:sz w:val="20"/>
          <w:szCs w:val="20"/>
        </w:rPr>
        <w:t>-09-30 0001582982 us-gaap:RestrictedStockUnitsRSUMember us-gaap:CommonStockMember 2020-12-31 0001582982 us-gaap:RestrictedStockUnitsRSUMember us-gaap:SeriesAPreferredStockMember 2020-12-31 0001582982 us-gaap:RestrictedStockUnitsRSUMember us-gaap:SeriesBPre</w:t>
      </w:r>
      <w:r>
        <w:rPr>
          <w:rFonts w:eastAsia="Times New Roman"/>
          <w:vanish/>
          <w:sz w:val="20"/>
          <w:szCs w:val="20"/>
        </w:rPr>
        <w:t>ferredStockMember 2020-12-31 0001582982 us-gaap:RestrictedStockUnitsRSUMember us-gaap:CommonStockMember 2021-01-01 2021-09-30 0001582982 us-gaap:RestrictedStockUnitsRSUMember us-gaap:SeriesAPreferredStockMember 2021-01-01 2021-09-30 0001582982 us-gaap:Rest</w:t>
      </w:r>
      <w:r>
        <w:rPr>
          <w:rFonts w:eastAsia="Times New Roman"/>
          <w:vanish/>
          <w:sz w:val="20"/>
          <w:szCs w:val="20"/>
        </w:rPr>
        <w:t>rictedStockUnitsRSUMember us-gaap:SeriesBPreferredStockMember 2021-01-01 2021-09-30 0001582982 us-gaap:RestrictedStockUnitsRSUMember us-gaap:CommonStockMember 2021-09-30 0001582982 us-gaap:RestrictedStockUnitsRSUMember us-gaap:SeriesAPreferredStockMember 2</w:t>
      </w:r>
      <w:r>
        <w:rPr>
          <w:rFonts w:eastAsia="Times New Roman"/>
          <w:vanish/>
          <w:sz w:val="20"/>
          <w:szCs w:val="20"/>
        </w:rPr>
        <w:t>021-09-30 0001582982 us-gaap:RestrictedStockUnitsRSUMember us-gaap:SeriesBPreferredStockMember 2021-09-30 0001582982 MTBC:DirectOperatingCostsMember 2022-07-01 2022-09-30 0001582982 MTBC:DirectOperatingCostsMember 2021-07-01 2021-09-30 0001582982 MTBC:Dire</w:t>
      </w:r>
      <w:r>
        <w:rPr>
          <w:rFonts w:eastAsia="Times New Roman"/>
          <w:vanish/>
          <w:sz w:val="20"/>
          <w:szCs w:val="20"/>
        </w:rPr>
        <w:t>ctOperatingCostsMember 2022-01-01 2022-09-30 0001582982 MTBC:DirectOperatingCostsMember 2021-01-01 2021-09-30 0001582982 us-gaap:GeneralAndAdministrativeExpenseMember 2022-07-01 2022-09-30 0001582982 us-gaap:GeneralAndAdministrativeExpenseMember 2021-07-01</w:t>
      </w:r>
      <w:r>
        <w:rPr>
          <w:rFonts w:eastAsia="Times New Roman"/>
          <w:vanish/>
          <w:sz w:val="20"/>
          <w:szCs w:val="20"/>
        </w:rPr>
        <w:t xml:space="preserve"> 2021-09-30 0001582982 us-gaap:GeneralAndAdministrativeExpenseMember 2022-01-01 2022-09-30 0001582982 us-gaap:GeneralAndAdministrativeExpenseMember 2021-01-01 2021-09-30 0001582982 us-gaap:ResearchAndDevelopmentExpenseMember 2022-07-01 2022-09-30 000158298</w:t>
      </w:r>
      <w:r>
        <w:rPr>
          <w:rFonts w:eastAsia="Times New Roman"/>
          <w:vanish/>
          <w:sz w:val="20"/>
          <w:szCs w:val="20"/>
        </w:rPr>
        <w:t>2 us-gaap:ResearchAndDevelopmentExpenseMember 2021-07-01 2021-09-30 0001582982 us-gaap:ResearchAndDevelopmentExpenseMember 2022-01-01 2022-09-30 0001582982 us-gaap:ResearchAndDevelopmentExpenseMember 2021-01-01 2021-09-30 0001582982 us-gaap:SellingAndMarke</w:t>
      </w:r>
      <w:r>
        <w:rPr>
          <w:rFonts w:eastAsia="Times New Roman"/>
          <w:vanish/>
          <w:sz w:val="20"/>
          <w:szCs w:val="20"/>
        </w:rPr>
        <w:t>tingExpenseMember 2022-07-01 2022-09-30 0001582982 us-gaap:SellingAndMarketingExpenseMember 2021-07-01 2021-09-30 0001582982 us-gaap:SellingAndMarketingExpenseMember 2022-01-01 2022-09-30 0001582982 us-gaap:SellingAndMarketingExpenseMember 2021-01-01 2021-</w:t>
      </w:r>
      <w:r>
        <w:rPr>
          <w:rFonts w:eastAsia="Times New Roman"/>
          <w:vanish/>
          <w:sz w:val="20"/>
          <w:szCs w:val="20"/>
        </w:rPr>
        <w:t>09-30 0001582982 us-gaap:InternalRevenueServiceIRSMember 2021-07-01 2021-09-30 0001582982 srt:MaximumMember 2020-03-26 2020-03-27 0001582982 srt:MinimumMember 2020-03-26 2020-03-27 0001582982 2020-03-26 2020-03-27 0001582982 us-gaap:FairValueInputsLevel3Me</w:t>
      </w:r>
      <w:r>
        <w:rPr>
          <w:rFonts w:eastAsia="Times New Roman"/>
          <w:vanish/>
          <w:sz w:val="20"/>
          <w:szCs w:val="20"/>
        </w:rPr>
        <w:t>mber 2021-12-31 0001582982 us-gaap:FairValueInputsLevel3Member 2020-12-31 0001582982 us-gaap:FairValueInputsLevel3Member 2022-01-01 2022-09-30 0001582982 us-gaap:FairValueInputsLevel3Member 2021-01-01 2021-09-30 0001582982 us-gaap:FairValueInputsLevel3Memb</w:t>
      </w:r>
      <w:r>
        <w:rPr>
          <w:rFonts w:eastAsia="Times New Roman"/>
          <w:vanish/>
          <w:sz w:val="20"/>
          <w:szCs w:val="20"/>
        </w:rPr>
        <w:t>er 2022-09-30 0001582982 us-gaap:FairValueInputsLevel3Member 2021-09-30 0001582982 MTBC:HealthcareITMember 2022-01-01 2022-09-30 0001582982 MTBC:UnallocatedCorporateExpensesMember 2022-01-01 2022-09-30 0001582982 MTBC:HealthcareITMember 2022-07-01 2022-09-</w:t>
      </w:r>
      <w:r>
        <w:rPr>
          <w:rFonts w:eastAsia="Times New Roman"/>
          <w:vanish/>
          <w:sz w:val="20"/>
          <w:szCs w:val="20"/>
        </w:rPr>
        <w:t>30 0001582982 MTBC:UnallocatedCorporateExpensesMember 2022-07-01 2022-09-30 0001582982 MTBC:HealthcareITMember 2021-01-01 2021-09-30 0001582982 MTBC:UnallocatedCorporateExpensesMember 2021-01-01 2021-09-30 0001582982 MTBC:HealthcareITMember 2021-07-01 2021</w:t>
      </w:r>
      <w:r>
        <w:rPr>
          <w:rFonts w:eastAsia="Times New Roman"/>
          <w:vanish/>
          <w:sz w:val="20"/>
          <w:szCs w:val="20"/>
        </w:rPr>
        <w:t xml:space="preserve">-09-30 0001582982 MTBC:UnallocatedCorporateExpensesMember 2021-07-01 2021-09-30 iso4217:USD xbrli:shares iso4217:USD xbrli:shares xbrli:pure MTBC:Segment </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divId w:val="274677235"/>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36"/>
          <w:szCs w:val="36"/>
        </w:rPr>
        <w:t>UNITED STATES</w:t>
      </w:r>
    </w:p>
    <w:p w:rsidR="00000000" w:rsidRDefault="003F57AF">
      <w:pPr>
        <w:pStyle w:val="a3"/>
        <w:spacing w:before="0" w:beforeAutospacing="0" w:after="0" w:afterAutospacing="0"/>
        <w:jc w:val="center"/>
        <w:rPr>
          <w:sz w:val="20"/>
          <w:szCs w:val="20"/>
        </w:rPr>
      </w:pPr>
      <w:r>
        <w:rPr>
          <w:b/>
          <w:bCs/>
          <w:sz w:val="36"/>
          <w:szCs w:val="36"/>
        </w:rPr>
        <w:t>SECURITIES AND EXCHANGE COMMISSION</w:t>
      </w:r>
    </w:p>
    <w:p w:rsidR="00000000" w:rsidRDefault="003F57AF">
      <w:pPr>
        <w:pStyle w:val="a3"/>
        <w:spacing w:before="0" w:beforeAutospacing="0" w:after="0" w:afterAutospacing="0"/>
        <w:jc w:val="center"/>
        <w:rPr>
          <w:sz w:val="20"/>
          <w:szCs w:val="20"/>
        </w:rPr>
      </w:pPr>
      <w:r>
        <w:rPr>
          <w:b/>
          <w:bCs/>
        </w:rPr>
        <w:t>Washington, D.C. 20549</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b/>
          <w:bCs/>
          <w:sz w:val="20"/>
          <w:szCs w:val="20"/>
        </w:rPr>
        <w:t>(Mark one</w:t>
      </w:r>
      <w:r>
        <w:rPr>
          <w:b/>
          <w:bCs/>
          <w:sz w:val="20"/>
          <w:szCs w:val="20"/>
        </w:rPr>
        <w:t>)</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ind w:left="635" w:hanging="360"/>
        <w:jc w:val="both"/>
        <w:rPr>
          <w:sz w:val="20"/>
          <w:szCs w:val="20"/>
        </w:rPr>
      </w:pPr>
      <w:r>
        <w:rPr>
          <w:rFonts w:ascii="Segoe UI Symbol" w:hAnsi="Segoe UI Symbol" w:cs="Segoe UI Symbol"/>
          <w:b/>
          <w:bCs/>
          <w:sz w:val="20"/>
          <w:szCs w:val="20"/>
        </w:rPr>
        <w:t>☒</w:t>
      </w:r>
      <w:r>
        <w:rPr>
          <w:b/>
          <w:bCs/>
          <w:sz w:val="20"/>
          <w:szCs w:val="20"/>
        </w:rPr>
        <w:t xml:space="preserve"> QUARTERLY REPORT PURSUANT TO SECTION 13 OR 15(d) OF THE SECURITIES EXCHANGE ACT OF 1934</w:t>
      </w:r>
    </w:p>
    <w:p w:rsidR="00000000" w:rsidRDefault="003F57AF">
      <w:pPr>
        <w:pStyle w:val="a3"/>
        <w:spacing w:before="0" w:beforeAutospacing="0" w:after="0" w:afterAutospacing="0"/>
        <w:ind w:left="635"/>
        <w:jc w:val="center"/>
        <w:rPr>
          <w:sz w:val="20"/>
          <w:szCs w:val="20"/>
        </w:rPr>
      </w:pPr>
      <w:r>
        <w:rPr>
          <w:b/>
          <w:bCs/>
          <w:sz w:val="20"/>
          <w:szCs w:val="20"/>
        </w:rPr>
        <w:t> </w:t>
      </w:r>
    </w:p>
    <w:p w:rsidR="00000000" w:rsidRDefault="003F57AF">
      <w:pPr>
        <w:pStyle w:val="a3"/>
        <w:spacing w:before="0" w:beforeAutospacing="0" w:after="0" w:afterAutospacing="0"/>
        <w:ind w:left="635"/>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2</w:t>
      </w:r>
    </w:p>
    <w:p w:rsidR="00000000" w:rsidRDefault="003F57AF">
      <w:pPr>
        <w:pStyle w:val="a3"/>
        <w:spacing w:before="0" w:beforeAutospacing="0" w:after="0" w:afterAutospacing="0"/>
        <w:ind w:left="635"/>
        <w:jc w:val="center"/>
        <w:rPr>
          <w:sz w:val="20"/>
          <w:szCs w:val="20"/>
        </w:rPr>
      </w:pPr>
      <w:r>
        <w:rPr>
          <w:b/>
          <w:bCs/>
          <w:sz w:val="20"/>
          <w:szCs w:val="20"/>
        </w:rPr>
        <w:t> </w:t>
      </w:r>
    </w:p>
    <w:p w:rsidR="00000000" w:rsidRDefault="003F57AF">
      <w:pPr>
        <w:pStyle w:val="a3"/>
        <w:spacing w:before="0" w:beforeAutospacing="0" w:after="0" w:afterAutospacing="0"/>
        <w:ind w:left="635"/>
        <w:jc w:val="center"/>
        <w:rPr>
          <w:sz w:val="20"/>
          <w:szCs w:val="20"/>
        </w:rPr>
      </w:pPr>
      <w:r>
        <w:rPr>
          <w:b/>
          <w:bCs/>
          <w:sz w:val="20"/>
          <w:szCs w:val="20"/>
        </w:rPr>
        <w:t>or</w:t>
      </w:r>
    </w:p>
    <w:p w:rsidR="00000000" w:rsidRDefault="003F57AF">
      <w:pPr>
        <w:pStyle w:val="a3"/>
        <w:spacing w:before="0" w:beforeAutospacing="0" w:after="0" w:afterAutospacing="0"/>
        <w:ind w:firstLine="275"/>
        <w:jc w:val="center"/>
        <w:rPr>
          <w:sz w:val="20"/>
          <w:szCs w:val="20"/>
        </w:rPr>
      </w:pPr>
      <w:r>
        <w:rPr>
          <w:b/>
          <w:bCs/>
          <w:sz w:val="20"/>
          <w:szCs w:val="20"/>
        </w:rPr>
        <w:t> </w:t>
      </w:r>
    </w:p>
    <w:p w:rsidR="00000000" w:rsidRDefault="003F57AF">
      <w:pPr>
        <w:pStyle w:val="a3"/>
        <w:spacing w:before="0" w:beforeAutospacing="0" w:after="0" w:afterAutospacing="0"/>
        <w:ind w:left="635" w:hanging="360"/>
        <w:jc w:val="both"/>
        <w:rPr>
          <w:sz w:val="20"/>
          <w:szCs w:val="20"/>
        </w:rPr>
      </w:pPr>
      <w:r>
        <w:rPr>
          <w:rFonts w:ascii="Segoe UI Symbol" w:hAnsi="Segoe UI Symbol" w:cs="Segoe UI Symbol"/>
          <w:b/>
          <w:bCs/>
          <w:sz w:val="20"/>
          <w:szCs w:val="20"/>
        </w:rPr>
        <w:t>☐</w:t>
      </w:r>
      <w:r>
        <w:rPr>
          <w:b/>
          <w:bCs/>
          <w:sz w:val="20"/>
          <w:szCs w:val="20"/>
        </w:rPr>
        <w:t xml:space="preserve"> TRANSITION REPORT PURSUANT TO SECTION 13 OR 15(d) OF THE SECURITIES EXCHANGE ACT OF 1934</w:t>
      </w:r>
    </w:p>
    <w:p w:rsidR="00000000" w:rsidRDefault="003F57AF">
      <w:pPr>
        <w:pStyle w:val="a3"/>
        <w:spacing w:before="0" w:beforeAutospacing="0" w:after="0" w:afterAutospacing="0"/>
        <w:ind w:left="635" w:hanging="360"/>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 xml:space="preserve">For </w:t>
      </w:r>
      <w:r>
        <w:rPr>
          <w:b/>
          <w:bCs/>
          <w:sz w:val="20"/>
          <w:szCs w:val="20"/>
        </w:rPr>
        <w:t>the transition period from to</w:t>
      </w:r>
    </w:p>
    <w:p w:rsidR="00000000" w:rsidRDefault="003F57AF">
      <w:pPr>
        <w:pStyle w:val="a3"/>
        <w:spacing w:before="0" w:beforeAutospacing="0" w:after="0" w:afterAutospacing="0"/>
        <w:ind w:firstLine="275"/>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3F57AF">
      <w:pPr>
        <w:pStyle w:val="a3"/>
        <w:spacing w:before="0" w:beforeAutospacing="0" w:after="0" w:afterAutospacing="0"/>
        <w:jc w:val="center"/>
        <w:rPr>
          <w:sz w:val="20"/>
          <w:szCs w:val="20"/>
        </w:rPr>
      </w:pPr>
      <w:r>
        <w:rPr>
          <w:i/>
          <w:iCs/>
          <w:sz w:val="20"/>
          <w:szCs w:val="20"/>
        </w:rPr>
        <w:t xml:space="preserve">(Exact </w:t>
      </w:r>
      <w:r>
        <w:rPr>
          <w:i/>
          <w:iCs/>
          <w:sz w:val="20"/>
          <w:szCs w:val="20"/>
        </w:rPr>
        <w:t>name of registrant as specified in its charter)</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3F57AF">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3F57AF">
            <w:pPr>
              <w:jc w:val="center"/>
              <w:rPr>
                <w:rFonts w:eastAsia="Times New Roman"/>
                <w:sz w:val="20"/>
                <w:szCs w:val="20"/>
              </w:rPr>
            </w:pPr>
            <w:r>
              <w:rPr>
                <w:rFonts w:eastAsia="Times New Roman"/>
                <w:sz w:val="20"/>
                <w:szCs w:val="20"/>
              </w:rPr>
              <w:t> </w:t>
            </w:r>
          </w:p>
        </w:tc>
        <w:tc>
          <w:tcPr>
            <w:tcW w:w="2450" w:type="pct"/>
            <w:hideMark/>
          </w:tcPr>
          <w:p w:rsidR="00000000" w:rsidRDefault="003F57AF">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3F57AF">
            <w:pPr>
              <w:pStyle w:val="a3"/>
              <w:spacing w:before="0" w:beforeAutospacing="0" w:after="0" w:afterAutospacing="0"/>
              <w:jc w:val="center"/>
              <w:rPr>
                <w:sz w:val="20"/>
                <w:szCs w:val="20"/>
              </w:rPr>
            </w:pPr>
            <w:r>
              <w:rPr>
                <w:i/>
                <w:iCs/>
                <w:sz w:val="20"/>
                <w:szCs w:val="20"/>
              </w:rPr>
              <w:t>(State or other jurisdiction of</w:t>
            </w:r>
          </w:p>
          <w:p w:rsidR="00000000" w:rsidRDefault="003F57AF">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3F57AF">
            <w:pPr>
              <w:pStyle w:val="a3"/>
              <w:spacing w:before="0" w:beforeAutospacing="0" w:after="0" w:afterAutospacing="0"/>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sz w:val="20"/>
                <w:szCs w:val="20"/>
              </w:rPr>
              <w:t> </w:t>
            </w:r>
          </w:p>
        </w:tc>
        <w:tc>
          <w:tcPr>
            <w:tcW w:w="0" w:type="auto"/>
            <w:hideMark/>
          </w:tcPr>
          <w:p w:rsidR="00000000" w:rsidRDefault="003F57AF">
            <w:pPr>
              <w:pStyle w:val="a3"/>
              <w:spacing w:before="0" w:beforeAutospacing="0" w:after="0" w:afterAutospacing="0"/>
              <w:jc w:val="center"/>
              <w:rPr>
                <w:sz w:val="20"/>
                <w:szCs w:val="20"/>
              </w:rPr>
            </w:pPr>
            <w:r>
              <w:rPr>
                <w:i/>
                <w:iCs/>
                <w:sz w:val="20"/>
                <w:szCs w:val="20"/>
              </w:rPr>
              <w:t>(I.R.S. Employer</w:t>
            </w:r>
          </w:p>
          <w:p w:rsidR="00000000" w:rsidRDefault="003F57AF">
            <w:pPr>
              <w:pStyle w:val="a3"/>
              <w:spacing w:before="0" w:beforeAutospacing="0" w:after="0" w:afterAutospacing="0"/>
              <w:jc w:val="center"/>
              <w:rPr>
                <w:sz w:val="20"/>
                <w:szCs w:val="20"/>
              </w:rPr>
            </w:pPr>
            <w:r>
              <w:rPr>
                <w:i/>
                <w:iCs/>
                <w:sz w:val="20"/>
                <w:szCs w:val="20"/>
              </w:rPr>
              <w:t>Identification Number)</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hideMark/>
          </w:tcPr>
          <w:p w:rsidR="00000000" w:rsidRDefault="003F57AF">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3F57AF">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3F57AF">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jc w:val="center"/>
              <w:rPr>
                <w:rFonts w:eastAsia="Times New Roman"/>
                <w:sz w:val="20"/>
                <w:szCs w:val="20"/>
              </w:rPr>
            </w:pPr>
            <w:r>
              <w:rPr>
                <w:rFonts w:eastAsia="Times New Roman"/>
                <w:i/>
                <w:iCs/>
                <w:sz w:val="20"/>
                <w:szCs w:val="20"/>
              </w:rPr>
              <w:t>(Zip Code)</w:t>
            </w:r>
          </w:p>
        </w:tc>
      </w:tr>
    </w:tbl>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3F57AF">
      <w:pPr>
        <w:pStyle w:val="a3"/>
        <w:spacing w:before="0" w:beforeAutospacing="0" w:after="0" w:afterAutospacing="0"/>
        <w:jc w:val="center"/>
        <w:rPr>
          <w:sz w:val="20"/>
          <w:szCs w:val="20"/>
        </w:rPr>
      </w:pPr>
      <w:r>
        <w:rPr>
          <w:i/>
          <w:iCs/>
          <w:sz w:val="20"/>
          <w:szCs w:val="20"/>
        </w:rPr>
        <w:t>(Registrant’s telephone number, including area code)</w:t>
      </w:r>
    </w:p>
    <w:p w:rsidR="00000000" w:rsidRDefault="003F57AF">
      <w:pPr>
        <w:pStyle w:val="a3"/>
        <w:spacing w:before="0" w:beforeAutospacing="0" w:after="0" w:afterAutospacing="0"/>
        <w:jc w:val="center"/>
        <w:rPr>
          <w:sz w:val="20"/>
          <w:szCs w:val="20"/>
        </w:rPr>
      </w:pPr>
      <w:r>
        <w:rPr>
          <w:i/>
          <w:iCs/>
          <w:sz w:val="20"/>
          <w:szCs w:val="20"/>
        </w:rPr>
        <w:t> </w:t>
      </w:r>
    </w:p>
    <w:p w:rsidR="00000000" w:rsidRDefault="003F57AF">
      <w:pPr>
        <w:pStyle w:val="a3"/>
        <w:spacing w:before="0" w:beforeAutospacing="0" w:after="0" w:afterAutospacing="0"/>
        <w:jc w:val="center"/>
        <w:rPr>
          <w:sz w:val="20"/>
          <w:szCs w:val="20"/>
        </w:rPr>
      </w:pPr>
      <w:r>
        <w:rPr>
          <w:sz w:val="20"/>
          <w:szCs w:val="20"/>
        </w:rPr>
        <w:t>Securities registered pursuant to Section 12(b) of the Act:</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661"/>
        <w:gridCol w:w="166"/>
        <w:gridCol w:w="3156"/>
      </w:tblGrid>
      <w:tr w:rsidR="00000000">
        <w:tc>
          <w:tcPr>
            <w:tcW w:w="1900" w:type="pct"/>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Title of each class</w:t>
            </w:r>
          </w:p>
        </w:tc>
        <w:tc>
          <w:tcPr>
            <w:tcW w:w="100" w:type="pct"/>
            <w:vAlign w:val="bottom"/>
            <w:hideMark/>
          </w:tcPr>
          <w:p w:rsidR="00000000" w:rsidRDefault="003F57AF">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Trading Symbol(s)</w:t>
            </w:r>
          </w:p>
        </w:tc>
        <w:tc>
          <w:tcPr>
            <w:tcW w:w="100" w:type="pct"/>
            <w:vAlign w:val="bottom"/>
            <w:hideMark/>
          </w:tcPr>
          <w:p w:rsidR="00000000" w:rsidRDefault="003F57AF">
            <w:pPr>
              <w:jc w:val="center"/>
              <w:rPr>
                <w:rFonts w:eastAsia="Times New Roman"/>
                <w:sz w:val="20"/>
                <w:szCs w:val="20"/>
              </w:rPr>
            </w:pPr>
            <w:r>
              <w:rPr>
                <w:rFonts w:eastAsia="Times New Roman"/>
                <w:sz w:val="20"/>
                <w:szCs w:val="20"/>
              </w:rPr>
              <w:t> </w:t>
            </w:r>
          </w:p>
        </w:tc>
        <w:tc>
          <w:tcPr>
            <w:tcW w:w="1900" w:type="pct"/>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xml:space="preserve">Name </w:t>
            </w:r>
            <w:r>
              <w:rPr>
                <w:rFonts w:eastAsia="Times New Roman"/>
                <w:sz w:val="20"/>
                <w:szCs w:val="20"/>
              </w:rPr>
              <w:t>of each exchange on which registered</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11% Series A Cumulative Redeemable Perpetual Preferred Stock, par value $0.001 per shar</w:t>
            </w:r>
            <w:r>
              <w:rPr>
                <w:rFonts w:eastAsia="Times New Roman"/>
                <w:sz w:val="20"/>
                <w:szCs w:val="20"/>
              </w:rPr>
              <w:t>e</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pStyle w:val="a3"/>
              <w:spacing w:before="0" w:beforeAutospacing="0" w:after="0" w:afterAutospacing="0"/>
              <w:jc w:val="center"/>
              <w:rPr>
                <w:sz w:val="20"/>
                <w:szCs w:val="20"/>
              </w:rPr>
            </w:pPr>
            <w:r>
              <w:rPr>
                <w:sz w:val="20"/>
                <w:szCs w:val="20"/>
              </w:rPr>
              <w:t>MTBC</w:t>
            </w:r>
            <w:r>
              <w:rPr>
                <w:sz w:val="20"/>
                <w:szCs w:val="20"/>
              </w:rPr>
              <w:t>P</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pStyle w:val="a3"/>
              <w:spacing w:before="0" w:beforeAutospacing="0" w:after="0" w:afterAutospacing="0"/>
              <w:jc w:val="center"/>
              <w:rPr>
                <w:sz w:val="20"/>
                <w:szCs w:val="20"/>
              </w:rPr>
            </w:pPr>
            <w:r>
              <w:rPr>
                <w:sz w:val="20"/>
                <w:szCs w:val="20"/>
              </w:rPr>
              <w:t>Nasda</w:t>
            </w:r>
            <w:r>
              <w:rPr>
                <w:sz w:val="20"/>
                <w:szCs w:val="20"/>
              </w:rPr>
              <w:t>q</w:t>
            </w:r>
            <w:r>
              <w:rPr>
                <w:sz w:val="20"/>
                <w:szCs w:val="20"/>
              </w:rPr>
              <w:t xml:space="preserve"> Global Market</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8.75% Series B Cumulative</w:t>
            </w:r>
            <w:r>
              <w:rPr>
                <w:rFonts w:eastAsia="Times New Roman"/>
                <w:sz w:val="20"/>
                <w:szCs w:val="20"/>
              </w:rPr>
              <w:t xml:space="preserve"> Redeemable Perpetual Preferred Stock, par value $0.001 per shar</w:t>
            </w:r>
            <w:r>
              <w:rPr>
                <w:rFonts w:eastAsia="Times New Roman"/>
                <w:sz w:val="20"/>
                <w:szCs w:val="20"/>
              </w:rPr>
              <w:t>e</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pStyle w:val="a3"/>
              <w:spacing w:before="0" w:beforeAutospacing="0" w:after="0" w:afterAutospacing="0"/>
              <w:jc w:val="center"/>
              <w:rPr>
                <w:sz w:val="20"/>
                <w:szCs w:val="20"/>
              </w:rPr>
            </w:pPr>
            <w:r>
              <w:rPr>
                <w:sz w:val="20"/>
                <w:szCs w:val="20"/>
              </w:rPr>
              <w:t>MTBC</w:t>
            </w:r>
            <w:r>
              <w:rPr>
                <w:sz w:val="20"/>
                <w:szCs w:val="20"/>
              </w:rPr>
              <w:t>O</w:t>
            </w:r>
          </w:p>
        </w:tc>
        <w:tc>
          <w:tcPr>
            <w:tcW w:w="0" w:type="auto"/>
            <w:hideMark/>
          </w:tcPr>
          <w:p w:rsidR="00000000" w:rsidRDefault="003F57AF">
            <w:pPr>
              <w:jc w:val="center"/>
              <w:rPr>
                <w:rFonts w:eastAsia="Times New Roman"/>
                <w:sz w:val="20"/>
                <w:szCs w:val="20"/>
              </w:rPr>
            </w:pPr>
            <w:r>
              <w:rPr>
                <w:rFonts w:eastAsia="Times New Roman"/>
                <w:sz w:val="20"/>
                <w:szCs w:val="20"/>
              </w:rPr>
              <w:t> </w:t>
            </w:r>
          </w:p>
        </w:tc>
        <w:tc>
          <w:tcPr>
            <w:tcW w:w="0" w:type="auto"/>
            <w:hideMark/>
          </w:tcPr>
          <w:p w:rsidR="00000000" w:rsidRDefault="003F57AF">
            <w:pPr>
              <w:pStyle w:val="a3"/>
              <w:spacing w:before="0" w:beforeAutospacing="0" w:after="0" w:afterAutospacing="0"/>
              <w:jc w:val="center"/>
              <w:rPr>
                <w:sz w:val="20"/>
                <w:szCs w:val="20"/>
              </w:rPr>
            </w:pPr>
            <w:r>
              <w:rPr>
                <w:sz w:val="20"/>
                <w:szCs w:val="20"/>
              </w:rPr>
              <w:t>Nasdaq Global Marke</w:t>
            </w:r>
            <w:r>
              <w:rPr>
                <w:sz w:val="20"/>
                <w:szCs w:val="20"/>
              </w:rPr>
              <w:t>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Indicate </w:t>
      </w:r>
      <w:r>
        <w:rPr>
          <w:sz w:val="20"/>
          <w:szCs w:val="20"/>
        </w:rPr>
        <w:t xml:space="preserve">by check mark whether the registrant (1) has filed all reports required to be filed by Section 13 or 15(d) of the Securities Exchange Act of 1934 during the preceding 12 months (or for such shorter </w:t>
      </w:r>
      <w:r>
        <w:rPr>
          <w:sz w:val="20"/>
          <w:szCs w:val="20"/>
        </w:rPr>
        <w:lastRenderedPageBreak/>
        <w:t>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rsidR="00000000" w:rsidRDefault="003F57AF">
      <w:pPr>
        <w:pStyle w:val="a3"/>
        <w:spacing w:before="0" w:beforeAutospacing="0" w:after="0" w:afterAutospacing="0"/>
        <w:ind w:firstLine="275"/>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rsidR="00000000" w:rsidRDefault="003F57AF">
      <w:pPr>
        <w:pStyle w:val="a3"/>
        <w:spacing w:before="0" w:beforeAutospacing="0" w:after="0" w:afterAutospacing="0"/>
        <w:ind w:firstLine="275"/>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xml:space="preserve"> a non-accelerated filer, a smaller reporting company, or an emerging growth company. See the definitions of “large accelerated filer,” “accelerated filer,” “smaller reporting company,” and “emerging growth company” in Rule 12b-2 of the Exchange Act.</w:t>
      </w:r>
    </w:p>
    <w:p w:rsidR="00000000" w:rsidRDefault="003F57A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45"/>
        <w:gridCol w:w="93"/>
        <w:gridCol w:w="4468"/>
      </w:tblGrid>
      <w:tr w:rsidR="00000000">
        <w:tc>
          <w:tcPr>
            <w:tcW w:w="0" w:type="auto"/>
            <w:hideMark/>
          </w:tcPr>
          <w:p w:rsidR="00000000" w:rsidRDefault="003F57AF">
            <w:pPr>
              <w:rPr>
                <w:rFonts w:eastAsia="Times New Roman"/>
                <w:sz w:val="20"/>
                <w:szCs w:val="20"/>
              </w:rPr>
            </w:pPr>
            <w:r>
              <w:rPr>
                <w:rFonts w:eastAsia="Times New Roman"/>
                <w:sz w:val="20"/>
                <w:szCs w:val="20"/>
              </w:rPr>
              <w:t>Lar</w:t>
            </w:r>
            <w:r>
              <w:rPr>
                <w:rFonts w:eastAsia="Times New Roman"/>
                <w:sz w:val="20"/>
                <w:szCs w:val="20"/>
              </w:rPr>
              <w:t xml:space="preserve">ge accelerated filer </w:t>
            </w:r>
            <w:r>
              <w:rPr>
                <w:rFonts w:ascii="Segoe UI Symbol" w:eastAsia="Times New Roman" w:hAnsi="Segoe UI Symbol" w:cs="Segoe UI Symbol"/>
                <w:b/>
                <w:bCs/>
                <w:sz w:val="20"/>
                <w:szCs w:val="20"/>
              </w:rPr>
              <w:t>☐</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3F57AF">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b/>
                <w:bCs/>
                <w:sz w:val="20"/>
                <w:szCs w:val="20"/>
              </w:rPr>
              <w:t>☐</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b/>
                <w:bCs/>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b/>
          <w:bCs/>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b/>
          <w:bCs/>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b/>
          <w:bCs/>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At October 28, 2022, the registrant had</w:t>
      </w:r>
      <w:r>
        <w:rPr>
          <w:sz w:val="20"/>
          <w:szCs w:val="20"/>
        </w:rPr>
        <w:t xml:space="preserve"> </w:t>
      </w:r>
      <w:r>
        <w:rPr>
          <w:sz w:val="20"/>
          <w:szCs w:val="20"/>
        </w:rPr>
        <w:t>15,220,20</w:t>
      </w:r>
      <w:r>
        <w:rPr>
          <w:sz w:val="20"/>
          <w:szCs w:val="20"/>
        </w:rPr>
        <w:t>8</w:t>
      </w:r>
      <w:r>
        <w:rPr>
          <w:sz w:val="20"/>
          <w:szCs w:val="20"/>
        </w:rPr>
        <w:t xml:space="preserve"> shares of common stock, par value $0.001 per share, outstanding.</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divId w:val="404692850"/>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71046710"/>
        </w:trPr>
        <w:tc>
          <w:tcPr>
            <w:tcW w:w="5000" w:type="pct"/>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divId w:val="391738985"/>
        <w:rPr>
          <w:sz w:val="20"/>
          <w:szCs w:val="20"/>
        </w:rPr>
      </w:pPr>
      <w:r>
        <w:rPr>
          <w:sz w:val="20"/>
          <w:szCs w:val="20"/>
        </w:rPr>
        <w:t> </w:t>
      </w:r>
    </w:p>
    <w:p w:rsidR="00000000" w:rsidRDefault="003F57AF">
      <w:pPr>
        <w:pStyle w:val="a3"/>
        <w:spacing w:before="0" w:beforeAutospacing="0" w:after="0" w:afterAutospacing="0"/>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INDEX</w:t>
      </w:r>
    </w:p>
    <w:p w:rsidR="00000000" w:rsidRDefault="003F57AF">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64"/>
        <w:gridCol w:w="6722"/>
        <w:gridCol w:w="720"/>
      </w:tblGrid>
      <w:tr w:rsidR="00000000">
        <w:tc>
          <w:tcPr>
            <w:tcW w:w="864" w:type="dxa"/>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Page</w:t>
            </w:r>
          </w:p>
        </w:tc>
      </w:tr>
      <w:tr w:rsidR="00000000">
        <w:tc>
          <w:tcPr>
            <w:tcW w:w="0" w:type="auto"/>
            <w:gridSpan w:val="2"/>
            <w:shd w:val="clear" w:color="auto" w:fill="CCEEFF"/>
            <w:hideMark/>
          </w:tcPr>
          <w:p w:rsidR="00000000" w:rsidRDefault="003F57AF">
            <w:pPr>
              <w:jc w:val="both"/>
              <w:rPr>
                <w:rFonts w:eastAsia="Times New Roman"/>
                <w:sz w:val="20"/>
                <w:szCs w:val="20"/>
              </w:rPr>
            </w:pPr>
            <w:hyperlink w:anchor="CC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57AF">
            <w:pPr>
              <w:jc w:val="both"/>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3F57AF">
            <w:pPr>
              <w:jc w:val="center"/>
              <w:rPr>
                <w:rFonts w:eastAsia="Times New Roman"/>
                <w:sz w:val="20"/>
                <w:szCs w:val="20"/>
              </w:rPr>
            </w:pPr>
            <w:hyperlink w:anchor="CC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57AF">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3F57AF">
            <w:pPr>
              <w:jc w:val="both"/>
              <w:rPr>
                <w:rFonts w:eastAsia="Times New Roman"/>
                <w:sz w:val="20"/>
                <w:szCs w:val="20"/>
              </w:rPr>
            </w:pPr>
            <w:hyperlink w:anchor="CC_003" w:history="1">
              <w:r>
                <w:rPr>
                  <w:rStyle w:val="a4"/>
                  <w:rFonts w:eastAsia="Times New Roman"/>
                  <w:sz w:val="20"/>
                  <w:szCs w:val="20"/>
                </w:rPr>
                <w:t>Consolidated Financial Statements (Unaudited)</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57AF">
            <w:pPr>
              <w:jc w:val="both"/>
              <w:rPr>
                <w:rFonts w:eastAsia="Times New Roman"/>
                <w:sz w:val="20"/>
                <w:szCs w:val="20"/>
              </w:rPr>
            </w:pPr>
            <w:hyperlink w:anchor="CC_008" w:history="1">
              <w:r>
                <w:rPr>
                  <w:rStyle w:val="a4"/>
                  <w:rFonts w:eastAsia="Times New Roman"/>
                  <w:sz w:val="20"/>
                  <w:szCs w:val="20"/>
                </w:rPr>
                <w:t>Consolidated Balance Sheets at September 30, 2022 and December 31, 2021</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F57AF">
            <w:pPr>
              <w:jc w:val="both"/>
              <w:rPr>
                <w:rFonts w:eastAsia="Times New Roman"/>
                <w:sz w:val="20"/>
                <w:szCs w:val="20"/>
              </w:rPr>
            </w:pPr>
            <w:hyperlink w:anchor="CC_004" w:history="1">
              <w:r>
                <w:rPr>
                  <w:rStyle w:val="a4"/>
                  <w:rFonts w:eastAsia="Times New Roman"/>
                  <w:sz w:val="20"/>
                  <w:szCs w:val="20"/>
                </w:rPr>
                <w:t>Consolidated Statements of Operations for the three and nine months en</w:t>
              </w:r>
              <w:r>
                <w:rPr>
                  <w:rStyle w:val="a4"/>
                  <w:rFonts w:eastAsia="Times New Roman"/>
                  <w:sz w:val="20"/>
                  <w:szCs w:val="20"/>
                </w:rPr>
                <w:t>ded September 30, 2022 and 2021</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57AF">
            <w:pPr>
              <w:jc w:val="both"/>
              <w:rPr>
                <w:rFonts w:eastAsia="Times New Roman"/>
                <w:sz w:val="20"/>
                <w:szCs w:val="20"/>
              </w:rPr>
            </w:pPr>
            <w:hyperlink w:anchor="CC_009" w:history="1">
              <w:r>
                <w:rPr>
                  <w:rStyle w:val="a4"/>
                  <w:rFonts w:eastAsia="Times New Roman"/>
                  <w:sz w:val="20"/>
                  <w:szCs w:val="20"/>
                </w:rPr>
                <w:t>Consolidated Statements of Comprehensive Income (Loss) for the three and nine months ended September 30, 2022 and 2021</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F57AF">
            <w:pPr>
              <w:jc w:val="both"/>
              <w:rPr>
                <w:rFonts w:eastAsia="Times New Roman"/>
                <w:sz w:val="20"/>
                <w:szCs w:val="20"/>
              </w:rPr>
            </w:pPr>
            <w:hyperlink w:anchor="CC_005" w:history="1">
              <w:r>
                <w:rPr>
                  <w:rStyle w:val="a4"/>
                  <w:rFonts w:eastAsia="Times New Roman"/>
                  <w:sz w:val="20"/>
                  <w:szCs w:val="20"/>
                </w:rPr>
                <w:t>Consolidated Statements of Shareholders’ Equity for the three and nine months ended September 30, 2022 and 2021</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57AF">
            <w:pPr>
              <w:jc w:val="both"/>
              <w:rPr>
                <w:rFonts w:eastAsia="Times New Roman"/>
                <w:sz w:val="20"/>
                <w:szCs w:val="20"/>
              </w:rPr>
            </w:pPr>
            <w:hyperlink w:anchor="CC_006" w:history="1">
              <w:r>
                <w:rPr>
                  <w:rStyle w:val="a4"/>
                  <w:rFonts w:eastAsia="Times New Roman"/>
                  <w:sz w:val="20"/>
                  <w:szCs w:val="20"/>
                </w:rPr>
                <w:t>Consolidated Statements of Cash Flows for the nine months ended September 30, 2022 and 2021</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F57AF">
            <w:pPr>
              <w:jc w:val="both"/>
              <w:rPr>
                <w:rFonts w:eastAsia="Times New Roman"/>
                <w:sz w:val="20"/>
                <w:szCs w:val="20"/>
              </w:rPr>
            </w:pPr>
            <w:hyperlink w:anchor="CC_007" w:history="1">
              <w:r>
                <w:rPr>
                  <w:rStyle w:val="a4"/>
                  <w:rFonts w:eastAsia="Times New Roman"/>
                  <w:sz w:val="20"/>
                  <w:szCs w:val="20"/>
                </w:rPr>
                <w:t>Notes to Consolidated Financial Statements</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3F57AF">
            <w:pPr>
              <w:jc w:val="both"/>
              <w:rPr>
                <w:rFonts w:eastAsia="Times New Roman"/>
                <w:sz w:val="20"/>
                <w:szCs w:val="20"/>
              </w:rPr>
            </w:pPr>
            <w:hyperlink w:anchor="a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26</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3F57AF">
            <w:pPr>
              <w:jc w:val="both"/>
              <w:rPr>
                <w:rFonts w:eastAsia="Times New Roman"/>
                <w:sz w:val="20"/>
                <w:szCs w:val="20"/>
              </w:rPr>
            </w:pPr>
            <w:hyperlink w:anchor="a_002" w:history="1">
              <w:r>
                <w:rPr>
                  <w:rStyle w:val="a4"/>
                  <w:rFonts w:eastAsia="Times New Roman"/>
                  <w:sz w:val="20"/>
                  <w:szCs w:val="20"/>
                </w:rPr>
                <w:t>Quantitative and Qualitative Dis</w:t>
              </w:r>
              <w:r>
                <w:rPr>
                  <w:rStyle w:val="a4"/>
                  <w:rFonts w:eastAsia="Times New Roman"/>
                  <w:sz w:val="20"/>
                  <w:szCs w:val="20"/>
                </w:rPr>
                <w:t>closures about Market Risk</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38</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3F57AF">
            <w:pPr>
              <w:jc w:val="both"/>
              <w:rPr>
                <w:rFonts w:eastAsia="Times New Roman"/>
                <w:sz w:val="20"/>
                <w:szCs w:val="20"/>
              </w:rPr>
            </w:pPr>
            <w:hyperlink w:anchor="a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F57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3F57AF">
            <w:pPr>
              <w:jc w:val="center"/>
              <w:rPr>
                <w:rFonts w:eastAsia="Times New Roman"/>
                <w:sz w:val="20"/>
                <w:szCs w:val="20"/>
              </w:rPr>
            </w:pPr>
            <w:hyperlink w:anchor="a_004"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F57A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3F57AF">
            <w:pPr>
              <w:jc w:val="both"/>
              <w:rPr>
                <w:rFonts w:eastAsia="Times New Roman"/>
                <w:sz w:val="20"/>
                <w:szCs w:val="20"/>
              </w:rPr>
            </w:pPr>
            <w:hyperlink w:anchor="a_005" w:history="1">
              <w:r>
                <w:rPr>
                  <w:rStyle w:val="a4"/>
                  <w:rFonts w:eastAsia="Times New Roman"/>
                  <w:sz w:val="20"/>
                  <w:szCs w:val="20"/>
                </w:rPr>
                <w:t>Legal Proceedings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lastRenderedPageBreak/>
              <w:t>Item 1A.</w:t>
            </w:r>
          </w:p>
        </w:tc>
        <w:tc>
          <w:tcPr>
            <w:tcW w:w="0" w:type="auto"/>
            <w:shd w:val="clear" w:color="auto" w:fill="CCEEFF"/>
            <w:hideMark/>
          </w:tcPr>
          <w:p w:rsidR="00000000" w:rsidRDefault="003F57AF">
            <w:pPr>
              <w:jc w:val="both"/>
              <w:rPr>
                <w:rFonts w:eastAsia="Times New Roman"/>
                <w:sz w:val="20"/>
                <w:szCs w:val="20"/>
              </w:rPr>
            </w:pPr>
            <w:hyperlink w:anchor="a_006" w:history="1">
              <w:r>
                <w:rPr>
                  <w:rStyle w:val="a4"/>
                  <w:rFonts w:eastAsia="Times New Roman"/>
                  <w:sz w:val="20"/>
                  <w:szCs w:val="20"/>
                </w:rPr>
                <w:t>Risk Factors</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3F57AF">
            <w:pPr>
              <w:jc w:val="both"/>
              <w:rPr>
                <w:rFonts w:eastAsia="Times New Roman"/>
                <w:sz w:val="20"/>
                <w:szCs w:val="20"/>
              </w:rPr>
            </w:pPr>
            <w:hyperlink w:anchor="a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3F57AF">
            <w:pPr>
              <w:jc w:val="both"/>
              <w:rPr>
                <w:rFonts w:eastAsia="Times New Roman"/>
                <w:sz w:val="20"/>
                <w:szCs w:val="20"/>
              </w:rPr>
            </w:pPr>
            <w:hyperlink w:anchor="a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3F57AF">
            <w:pPr>
              <w:jc w:val="both"/>
              <w:rPr>
                <w:rFonts w:eastAsia="Times New Roman"/>
                <w:sz w:val="20"/>
                <w:szCs w:val="20"/>
              </w:rPr>
            </w:pPr>
            <w:hyperlink w:anchor="a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3F57AF">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3F57AF">
            <w:pPr>
              <w:jc w:val="both"/>
              <w:rPr>
                <w:rFonts w:eastAsia="Times New Roman"/>
                <w:sz w:val="20"/>
                <w:szCs w:val="20"/>
              </w:rPr>
            </w:pPr>
            <w:hyperlink w:anchor="a_010" w:history="1">
              <w:r>
                <w:rPr>
                  <w:rStyle w:val="a4"/>
                  <w:rFonts w:eastAsia="Times New Roman"/>
                  <w:sz w:val="20"/>
                  <w:szCs w:val="20"/>
                </w:rPr>
                <w:t>Other Information</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3F57AF">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3F57AF">
            <w:pPr>
              <w:jc w:val="both"/>
              <w:rPr>
                <w:rFonts w:eastAsia="Times New Roman"/>
                <w:sz w:val="20"/>
                <w:szCs w:val="20"/>
              </w:rPr>
            </w:pPr>
            <w:hyperlink w:anchor="a_011" w:history="1">
              <w:r>
                <w:rPr>
                  <w:rStyle w:val="a4"/>
                  <w:rFonts w:eastAsia="Times New Roman"/>
                  <w:sz w:val="20"/>
                  <w:szCs w:val="20"/>
                </w:rPr>
                <w:t>Exhibits</w:t>
              </w:r>
            </w:hyperlink>
          </w:p>
        </w:tc>
        <w:tc>
          <w:tcPr>
            <w:tcW w:w="0" w:type="auto"/>
            <w:shd w:val="clear" w:color="auto" w:fill="FFFFFF"/>
            <w:vAlign w:val="bottom"/>
            <w:hideMark/>
          </w:tcPr>
          <w:p w:rsidR="00000000" w:rsidRDefault="003F57AF">
            <w:pPr>
              <w:jc w:val="center"/>
              <w:rPr>
                <w:rFonts w:eastAsia="Times New Roman"/>
                <w:sz w:val="20"/>
                <w:szCs w:val="20"/>
              </w:rPr>
            </w:pPr>
            <w:r>
              <w:rPr>
                <w:rFonts w:eastAsia="Times New Roman"/>
                <w:sz w:val="20"/>
                <w:szCs w:val="20"/>
              </w:rPr>
              <w:t>39</w:t>
            </w:r>
          </w:p>
        </w:tc>
      </w:tr>
      <w:tr w:rsidR="00000000">
        <w:tc>
          <w:tcPr>
            <w:tcW w:w="0" w:type="auto"/>
            <w:gridSpan w:val="2"/>
            <w:shd w:val="clear" w:color="auto" w:fill="CCEEFF"/>
            <w:hideMark/>
          </w:tcPr>
          <w:p w:rsidR="00000000" w:rsidRDefault="003F57AF">
            <w:pPr>
              <w:rPr>
                <w:rFonts w:eastAsia="Times New Roman"/>
                <w:sz w:val="20"/>
                <w:szCs w:val="20"/>
              </w:rPr>
            </w:pPr>
            <w:hyperlink w:anchor="a_012" w:history="1">
              <w:r>
                <w:rPr>
                  <w:rStyle w:val="a4"/>
                  <w:rFonts w:eastAsia="Times New Roman"/>
                  <w:sz w:val="20"/>
                  <w:szCs w:val="20"/>
                </w:rPr>
                <w:t>Signatures</w:t>
              </w:r>
            </w:hyperlink>
          </w:p>
        </w:tc>
        <w:tc>
          <w:tcPr>
            <w:tcW w:w="0" w:type="auto"/>
            <w:shd w:val="clear" w:color="auto" w:fill="CCEEFF"/>
            <w:vAlign w:val="bottom"/>
            <w:hideMark/>
          </w:tcPr>
          <w:p w:rsidR="00000000" w:rsidRDefault="003F57AF">
            <w:pPr>
              <w:jc w:val="center"/>
              <w:rPr>
                <w:rFonts w:eastAsia="Times New Roman"/>
                <w:sz w:val="20"/>
                <w:szCs w:val="20"/>
              </w:rPr>
            </w:pPr>
            <w:r>
              <w:rPr>
                <w:rFonts w:eastAsia="Times New Roman"/>
                <w:sz w:val="20"/>
                <w:szCs w:val="20"/>
              </w:rPr>
              <w:t>40</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62575815"/>
        </w:trPr>
        <w:tc>
          <w:tcPr>
            <w:tcW w:w="5000" w:type="pct"/>
            <w:hideMark/>
          </w:tcPr>
          <w:p w:rsidR="00000000" w:rsidRDefault="003F57AF">
            <w:pPr>
              <w:jc w:val="center"/>
              <w:rPr>
                <w:rFonts w:eastAsia="Times New Roman"/>
                <w:sz w:val="20"/>
                <w:szCs w:val="20"/>
              </w:rPr>
            </w:pPr>
            <w:r>
              <w:rPr>
                <w:rFonts w:eastAsia="Times New Roman"/>
                <w:sz w:val="20"/>
                <w:szCs w:val="20"/>
              </w:rPr>
              <w:t>1</w:t>
            </w:r>
          </w:p>
        </w:tc>
      </w:tr>
    </w:tbl>
    <w:p w:rsidR="00000000" w:rsidRDefault="003F57AF">
      <w:pPr>
        <w:pStyle w:val="a3"/>
        <w:spacing w:before="0" w:beforeAutospacing="0" w:after="0" w:afterAutospacing="0"/>
        <w:divId w:val="617369136"/>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b/>
          <w:bCs/>
          <w:sz w:val="20"/>
          <w:szCs w:val="20"/>
        </w:rPr>
      </w:pPr>
      <w:r>
        <w:rPr>
          <w:b/>
          <w:bCs/>
          <w:sz w:val="20"/>
          <w:szCs w:val="20"/>
        </w:rPr>
        <w:t>Forward-Looking Statements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Certain statements that we make from time to time, including statements contained in this Quarterly Report on Form 10-Q, constitute “forward-looking statements” within the meaning of Section 27A of the Securities Act of 1933, as amended, or the Securities </w:t>
      </w:r>
      <w:r>
        <w:rPr>
          <w:i/>
          <w:iCs/>
          <w:sz w:val="20"/>
          <w:szCs w:val="20"/>
        </w:rPr>
        <w:t>Act, and Section 21E of the Securities Exchange Act of 1934, as amended, or the Exchange Act. All statements other than statements of historical fact contained in this Quarterly Report on Form 10-Q are forward-looking statements. These statements relate to</w:t>
      </w:r>
      <w:r>
        <w:rPr>
          <w:i/>
          <w:iCs/>
          <w:sz w:val="20"/>
          <w:szCs w:val="20"/>
        </w:rPr>
        <w:t xml:space="preserve"> anticipated future events, future results of operations or future financial performance. In some cases, you can identify forward-looking statements by terminology such as “may,” “might,” “will,” “shall,” “should,” “could,” “intends,” “expects,” “plans,” “</w:t>
      </w:r>
      <w:r>
        <w:rPr>
          <w:i/>
          <w:iCs/>
          <w:sz w:val="20"/>
          <w:szCs w:val="20"/>
        </w:rPr>
        <w:t>goals,” “projects,” “anticipates,” “believes,” “seeks,” “estimates,” “forecasts,” “predicts,” “possible,” “potential,” “target,” or “continue” or the negative of these terms or other comparable terminology. Our operations involve risks and uncertainties, m</w:t>
      </w:r>
      <w:r>
        <w:rPr>
          <w:i/>
          <w:iCs/>
          <w:sz w:val="20"/>
          <w:szCs w:val="20"/>
        </w:rPr>
        <w:t>any of which are outside of our control, and any one of which, or a combination of which, could materially affect our results of operations and whether the forward-looking statements ultimately prove to be correct. Forward-looking statements in this Quarte</w:t>
      </w:r>
      <w:r>
        <w:rPr>
          <w:i/>
          <w:iCs/>
          <w:sz w:val="20"/>
          <w:szCs w:val="20"/>
        </w:rPr>
        <w:t>rly Report on Form 10-Q include, without limitation, statements reflecting management’s expectations for future financial performance and operating expenditures (including our ability to continue as a going concern, to raise additional capital and to succe</w:t>
      </w:r>
      <w:r>
        <w:rPr>
          <w:i/>
          <w:iCs/>
          <w:sz w:val="20"/>
          <w:szCs w:val="20"/>
        </w:rPr>
        <w:t>ed in our future operations), expected growth, profitability and business outlook, increased sales and marketing expenses, and the expected results from the integration of our acquisitions.</w:t>
      </w:r>
    </w:p>
    <w:p w:rsidR="00000000" w:rsidRDefault="003F57AF">
      <w:pPr>
        <w:pStyle w:val="a3"/>
        <w:spacing w:before="0" w:beforeAutospacing="0" w:after="0" w:afterAutospacing="0"/>
        <w:ind w:firstLine="48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Forward-looking statements are only predictions, are uncertain a</w:t>
      </w:r>
      <w:r>
        <w:rPr>
          <w:i/>
          <w:iCs/>
          <w:sz w:val="20"/>
          <w:szCs w:val="20"/>
        </w:rPr>
        <w:t>nd involve substantial known and unknown risks, uncertainties, and other factors which may cause our (or our industry’s) actual results, levels of activity or performance to be materially different from any future results, levels of activity or performance</w:t>
      </w:r>
      <w:r>
        <w:rPr>
          <w:i/>
          <w:iCs/>
          <w:sz w:val="20"/>
          <w:szCs w:val="20"/>
        </w:rPr>
        <w:t xml:space="preserve"> expressed or implied by these forward-looking statements. These factors include, among other things, the unknown risks and uncertainties that we believe could cause actual results to differ from these forward-looking statements as set forth under the head</w:t>
      </w:r>
      <w:r>
        <w:rPr>
          <w:i/>
          <w:iCs/>
          <w:sz w:val="20"/>
          <w:szCs w:val="20"/>
        </w:rPr>
        <w:t>ing “Risk Factors” in our Annual Report on Form 10-K filed with the SEC on March 14, 2022. New risks and uncertainties emerge from time to time, and it is not possible for us to predict all of the risks and uncertainties that could have an impact on the fo</w:t>
      </w:r>
      <w:r>
        <w:rPr>
          <w:i/>
          <w:iCs/>
          <w:sz w:val="20"/>
          <w:szCs w:val="20"/>
        </w:rPr>
        <w:t>rward-looking statements, including without limitation, risks and uncertainties relating to:</w:t>
      </w:r>
    </w:p>
    <w:p w:rsidR="00000000" w:rsidRDefault="003F57AF">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3F57AF">
            <w:pPr>
              <w:rPr>
                <w:rFonts w:eastAsia="Times New Roman"/>
                <w:sz w:val="20"/>
                <w:szCs w:val="20"/>
              </w:rPr>
            </w:pPr>
            <w:r>
              <w:rPr>
                <w:rFonts w:eastAsia="Times New Roman"/>
                <w:sz w:val="20"/>
                <w:szCs w:val="20"/>
              </w:rPr>
              <w:t> </w:t>
            </w:r>
          </w:p>
        </w:tc>
        <w:tc>
          <w:tcPr>
            <w:tcW w:w="360" w:type="dxa"/>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our ability to manage our growth, including acquiring, partnering with, and effectively integrating acquired businesses into our infrastructure and avoiding </w:t>
            </w:r>
            <w:r>
              <w:rPr>
                <w:rFonts w:eastAsia="Times New Roman"/>
                <w:sz w:val="20"/>
                <w:szCs w:val="20"/>
              </w:rPr>
              <w:t>legal exposure and liabilities associated with acquired companies and assets;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retain our clients and revenue levels, including effectively migrating new clients and maintaining or growing the revenue levels of our new and existin</w:t>
            </w:r>
            <w:r>
              <w:rPr>
                <w:rFonts w:eastAsia="Times New Roman"/>
                <w:sz w:val="20"/>
                <w:szCs w:val="20"/>
              </w:rPr>
              <w:t>g clients;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our offshore offices in a manner that continues to enable us to offer competitively priced products and services;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w:t>
            </w:r>
            <w:r>
              <w:rPr>
                <w:rFonts w:eastAsia="Times New Roman"/>
                <w:sz w:val="20"/>
                <w:szCs w:val="20"/>
              </w:rPr>
              <w:t xml:space="preserve"> consistently achieve and maintain compliance with a myriad of federal, state, foreign, local, payor and industry requirements, regulations, rules, laws and contracts;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lastRenderedPageBreak/>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w:t>
            </w:r>
            <w:r>
              <w:rPr>
                <w:rFonts w:eastAsia="Times New Roman"/>
                <w:sz w:val="20"/>
                <w:szCs w:val="20"/>
              </w:rPr>
              <w:t>rds and third-party software platforms and technologies, and protect and enforce all of these and other intellectual property rights;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attract and retain key officers and employees, and the continued involvement of Mahmud Haq as E</w:t>
            </w:r>
            <w:r>
              <w:rPr>
                <w:rFonts w:eastAsia="Times New Roman"/>
                <w:sz w:val="20"/>
                <w:szCs w:val="20"/>
              </w:rPr>
              <w:t>xecutive Chairman and A. Hadi Chaudhry as Chief Executive Officer and President, all of which are critical to our ongoing operations, growing our business and integrating of our newly acquired businesses;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pay our monthly preferred dividends to the holders of our Series A and Serie</w:t>
            </w:r>
            <w:r>
              <w:rPr>
                <w:rFonts w:eastAsia="Times New Roman"/>
                <w:sz w:val="20"/>
                <w:szCs w:val="20"/>
              </w:rPr>
              <w:t>s B preferred stock;</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ongoing COVID-19 pandemic and the impact it may have on our operations, the demand for our services, our projected results of operations, financial performance or other financial metrics or any of th</w:t>
            </w:r>
            <w:r>
              <w:rPr>
                <w:rFonts w:eastAsia="Times New Roman"/>
                <w:sz w:val="20"/>
                <w:szCs w:val="20"/>
              </w:rPr>
              <w:t>e foregoing risks and economic activity in general;</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our ability to keep and increase market acceptance of our products and services;</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shd w:val="clear" w:color="auto" w:fill="FFFFFF"/>
              </w:rPr>
              <w:t>changes in domestic and foreign business, market, financial, political and legal conditions; and</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rPr>
                <w:rFonts w:eastAsia="Times New Roman"/>
                <w:sz w:val="20"/>
                <w:szCs w:val="20"/>
              </w:rPr>
            </w:pPr>
            <w:r>
              <w:rPr>
                <w:rFonts w:eastAsia="Times New Roman"/>
                <w:sz w:val="20"/>
                <w:szCs w:val="20"/>
              </w:rPr>
              <w:t> </w:t>
            </w:r>
          </w:p>
        </w:tc>
        <w:tc>
          <w:tcPr>
            <w:tcW w:w="0" w:type="auto"/>
            <w:hideMark/>
          </w:tcPr>
          <w:p w:rsidR="00000000" w:rsidRDefault="003F57AF">
            <w:pP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shd w:val="clear" w:color="auto" w:fill="FFFFFF"/>
              </w:rPr>
              <w:t>other factors disclosed in this Quarterly Report on Form 10-Q or our other filings with the SEC.</w:t>
            </w:r>
          </w:p>
        </w:tc>
      </w:tr>
    </w:tbl>
    <w:p w:rsidR="00000000" w:rsidRDefault="003F57AF">
      <w:pPr>
        <w:pStyle w:val="a3"/>
        <w:spacing w:before="0" w:beforeAutospacing="0" w:after="0" w:afterAutospacing="0"/>
        <w:jc w:val="both"/>
        <w:rPr>
          <w:sz w:val="20"/>
          <w:szCs w:val="20"/>
        </w:rPr>
      </w:pPr>
      <w:r>
        <w:rPr>
          <w:i/>
          <w:iCs/>
          <w:sz w:val="20"/>
          <w:szCs w:val="20"/>
        </w:rPr>
        <w:t> </w:t>
      </w:r>
    </w:p>
    <w:p w:rsidR="00000000" w:rsidRDefault="003F57AF">
      <w:pPr>
        <w:pStyle w:val="a3"/>
        <w:spacing w:before="0" w:beforeAutospacing="0" w:after="0" w:afterAutospacing="0"/>
        <w:jc w:val="both"/>
        <w:rPr>
          <w:sz w:val="20"/>
          <w:szCs w:val="20"/>
        </w:rPr>
      </w:pPr>
      <w:r>
        <w:rPr>
          <w:i/>
          <w:iCs/>
          <w:sz w:val="20"/>
          <w:szCs w:val="20"/>
          <w:shd w:val="clear" w:color="auto" w:fill="FFFFFF"/>
        </w:rPr>
        <w:t xml:space="preserve">The </w:t>
      </w:r>
      <w:r>
        <w:rPr>
          <w:i/>
          <w:iCs/>
          <w:sz w:val="20"/>
          <w:szCs w:val="20"/>
          <w:shd w:val="clear" w:color="auto" w:fill="FFFFFF"/>
        </w:rPr>
        <w:t>forward-looking statements contained in this Quarterly Report on Form 10-Q are based on our current expectations, beliefs and views as of the date of this Quarterly Report on Form 10-Q concerning future developments and their potential effects on our busin</w:t>
      </w:r>
      <w:r>
        <w:rPr>
          <w:i/>
          <w:iCs/>
          <w:sz w:val="20"/>
          <w:szCs w:val="20"/>
          <w:shd w:val="clear" w:color="auto" w:fill="FFFFFF"/>
        </w:rPr>
        <w:t>ess.</w:t>
      </w:r>
      <w:r>
        <w:rPr>
          <w:i/>
          <w:iCs/>
          <w:sz w:val="20"/>
          <w:szCs w:val="20"/>
        </w:rPr>
        <w:t xml:space="preserve"> Although we believe that the expectations reflected in the forward-looking statements contained in this Quarterly Report on Form 10-Q are reasonable, we cannot guarantee future results, levels of activity, performance, or achievements. </w:t>
      </w:r>
      <w:r>
        <w:rPr>
          <w:i/>
          <w:iCs/>
          <w:sz w:val="20"/>
          <w:szCs w:val="20"/>
          <w:shd w:val="clear" w:color="auto" w:fill="FFFFFF"/>
        </w:rPr>
        <w:t>We anticipate t</w:t>
      </w:r>
      <w:r>
        <w:rPr>
          <w:i/>
          <w:iCs/>
          <w:sz w:val="20"/>
          <w:szCs w:val="20"/>
          <w:shd w:val="clear" w:color="auto" w:fill="FFFFFF"/>
        </w:rPr>
        <w:t>hat subsequent events and developments may cause our assessments to change.</w:t>
      </w:r>
      <w:r>
        <w:rPr>
          <w:i/>
          <w:iCs/>
          <w:sz w:val="20"/>
          <w:szCs w:val="20"/>
        </w:rPr>
        <w:t xml:space="preserve"> Except as required by law, we are under no duty to update or revise any of such forward-looking statements, whether as a result of new information, future events, or otherwise, aft</w:t>
      </w:r>
      <w:r>
        <w:rPr>
          <w:i/>
          <w:iCs/>
          <w:sz w:val="20"/>
          <w:szCs w:val="20"/>
        </w:rPr>
        <w:t>er the date of this Quarterly Report on Form 10-Q.</w:t>
      </w:r>
    </w:p>
    <w:p w:rsidR="00000000" w:rsidRDefault="003F57AF">
      <w:pPr>
        <w:pStyle w:val="a3"/>
        <w:spacing w:before="0" w:beforeAutospacing="0" w:after="0" w:afterAutospacing="0"/>
        <w:ind w:left="720"/>
        <w:jc w:val="both"/>
        <w:rPr>
          <w:sz w:val="20"/>
          <w:szCs w:val="20"/>
        </w:rPr>
      </w:pPr>
      <w:r>
        <w:rPr>
          <w:i/>
          <w:iCs/>
          <w:sz w:val="20"/>
          <w:szCs w:val="20"/>
        </w:rPr>
        <w:t> </w:t>
      </w:r>
    </w:p>
    <w:p w:rsidR="00000000" w:rsidRDefault="003F57AF">
      <w:pPr>
        <w:pStyle w:val="a3"/>
        <w:spacing w:before="0" w:beforeAutospacing="0" w:after="0" w:afterAutospacing="0"/>
        <w:jc w:val="both"/>
        <w:rPr>
          <w:sz w:val="20"/>
          <w:szCs w:val="20"/>
        </w:rPr>
      </w:pPr>
      <w:r>
        <w:rPr>
          <w:i/>
          <w:iCs/>
          <w:sz w:val="20"/>
          <w:szCs w:val="20"/>
        </w:rPr>
        <w:t>You should read this Quarterly Report on Form 10-Q with the understanding that our actual future results, levels of activity, performance and events and circumstances may be materially different from wha</w:t>
      </w:r>
      <w:r>
        <w:rPr>
          <w:i/>
          <w:iCs/>
          <w:sz w:val="20"/>
          <w:szCs w:val="20"/>
        </w:rPr>
        <w:t xml:space="preserve">t we currently expect. </w:t>
      </w:r>
      <w:r>
        <w:rPr>
          <w:i/>
          <w:iCs/>
          <w:sz w:val="20"/>
          <w:szCs w:val="20"/>
          <w:shd w:val="clear" w:color="auto" w:fill="FFFFFF"/>
        </w:rPr>
        <w:t>The forward-looking statements contained herein should not be relied upon as representing our assessments as of any date subsequent to the date of this Quarterly Report on Form 10-Q.</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41774431"/>
        </w:trPr>
        <w:tc>
          <w:tcPr>
            <w:tcW w:w="5000" w:type="pct"/>
            <w:hideMark/>
          </w:tcPr>
          <w:p w:rsidR="00000000" w:rsidRDefault="003F57AF">
            <w:pPr>
              <w:jc w:val="center"/>
              <w:rPr>
                <w:rFonts w:eastAsia="Times New Roman"/>
                <w:sz w:val="20"/>
                <w:szCs w:val="20"/>
              </w:rPr>
            </w:pPr>
            <w:r>
              <w:rPr>
                <w:rFonts w:eastAsia="Times New Roman"/>
                <w:sz w:val="20"/>
                <w:szCs w:val="20"/>
              </w:rPr>
              <w:t>2</w:t>
            </w:r>
          </w:p>
        </w:tc>
      </w:tr>
    </w:tbl>
    <w:p w:rsidR="00000000" w:rsidRDefault="003F57AF">
      <w:pPr>
        <w:pStyle w:val="a3"/>
        <w:spacing w:before="0" w:beforeAutospacing="0" w:after="0" w:afterAutospacing="0"/>
        <w:divId w:val="1295406496"/>
        <w:rPr>
          <w:sz w:val="20"/>
          <w:szCs w:val="20"/>
        </w:rPr>
      </w:pPr>
      <w:r>
        <w:rPr>
          <w:sz w:val="20"/>
          <w:szCs w:val="20"/>
        </w:rPr>
        <w:t> </w:t>
      </w:r>
    </w:p>
    <w:p w:rsidR="00000000" w:rsidRDefault="003F57AF">
      <w:pPr>
        <w:pStyle w:val="a3"/>
        <w:spacing w:before="0" w:beforeAutospacing="0" w:after="0" w:afterAutospacing="0"/>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PART I. FINANCIAL INFORMATION</w:t>
      </w:r>
    </w:p>
    <w:p w:rsidR="00000000" w:rsidRDefault="003F57AF">
      <w:pPr>
        <w:pStyle w:val="a3"/>
        <w:spacing w:before="0" w:beforeAutospacing="0" w:after="0" w:afterAutospacing="0"/>
        <w:jc w:val="center"/>
        <w:rPr>
          <w:sz w:val="20"/>
          <w:szCs w:val="20"/>
        </w:rPr>
      </w:pPr>
      <w:r>
        <w:rPr>
          <w:sz w:val="20"/>
          <w:szCs w:val="20"/>
        </w:rPr>
        <w:t xml:space="preserve">Item </w:t>
      </w:r>
      <w:r>
        <w:rPr>
          <w:sz w:val="20"/>
          <w:szCs w:val="20"/>
        </w:rPr>
        <w:t>1. Consolidated Financial Statements</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CONSOLIDATED BALANCE SHEETS</w:t>
      </w:r>
    </w:p>
    <w:p w:rsidR="00000000" w:rsidRDefault="003F57AF">
      <w:pPr>
        <w:pStyle w:val="a3"/>
        <w:spacing w:before="0" w:beforeAutospacing="0" w:after="0" w:afterAutospacing="0"/>
        <w:jc w:val="center"/>
        <w:rPr>
          <w:sz w:val="20"/>
          <w:szCs w:val="20"/>
        </w:rPr>
      </w:pPr>
      <w:r>
        <w:rPr>
          <w:sz w:val="20"/>
          <w:szCs w:val="20"/>
        </w:rPr>
        <w:t>($ in thousands, except share and per share amounts)</w:t>
      </w:r>
    </w:p>
    <w:p w:rsidR="00000000" w:rsidRDefault="003F57AF">
      <w:pPr>
        <w:divId w:val="1869028320"/>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5310"/>
        <w:gridCol w:w="160"/>
        <w:gridCol w:w="102"/>
        <w:gridCol w:w="1158"/>
        <w:gridCol w:w="78"/>
        <w:gridCol w:w="161"/>
        <w:gridCol w:w="101"/>
        <w:gridCol w:w="1158"/>
        <w:gridCol w:w="78"/>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57AF">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lastRenderedPageBreak/>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57AF">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3,867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 xml:space="preserve">Accounts receivable - net of allowance for doubtful accounts of </w:t>
            </w:r>
            <w:r>
              <w:rPr>
                <w:rFonts w:eastAsia="Times New Roman"/>
                <w:sz w:val="20"/>
                <w:szCs w:val="20"/>
              </w:rPr>
              <w:t>$</w:t>
            </w:r>
            <w:r>
              <w:rPr>
                <w:rFonts w:eastAsia="Times New Roman"/>
                <w:sz w:val="20"/>
                <w:szCs w:val="20"/>
              </w:rPr>
              <w:t>66</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53</w:t>
            </w:r>
            <w:r>
              <w:rPr>
                <w:rFonts w:eastAsia="Times New Roman"/>
                <w:sz w:val="20"/>
                <w:szCs w:val="20"/>
              </w:rPr>
              <w:t>7</w:t>
            </w:r>
            <w:r>
              <w:rPr>
                <w:rFonts w:eastAsia="Times New Roman"/>
                <w:sz w:val="20"/>
                <w:szCs w:val="20"/>
              </w:rPr>
              <w:t xml:space="preserve"> </w:t>
            </w:r>
            <w:r>
              <w:rPr>
                <w:rFonts w:eastAsia="Times New Roman"/>
                <w:sz w:val="20"/>
                <w:szCs w:val="20"/>
              </w:rPr>
              <w:t>at September 30, 2022 and December 31, 2021, respectively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16,281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17,006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4,407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418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Prepaid expenses and other current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3,694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2,972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29,683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35,559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Property and equipment - net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5,102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5,404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4,679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29,759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787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981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TOTAL ASSETS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131,196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140,848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4,568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5,948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4,251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5,322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5,091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2,554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1,417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1,085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552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Contingent consideration (current portion)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3,090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4,040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3,856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Consideration payable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24,550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29,562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2,907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4,545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341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Deferred tax liability</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28,372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42,917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shares. Series A, issued and outstanding</w:t>
            </w:r>
            <w:r>
              <w:rPr>
                <w:rFonts w:eastAsia="Times New Roman"/>
                <w:sz w:val="20"/>
                <w:szCs w:val="20"/>
              </w:rPr>
              <w:t xml:space="preserve"> </w:t>
            </w:r>
            <w:r>
              <w:rPr>
                <w:rFonts w:eastAsia="Times New Roman"/>
                <w:sz w:val="20"/>
                <w:szCs w:val="20"/>
              </w:rPr>
              <w:t>4,526,23</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5,299,22</w:t>
            </w:r>
            <w:r>
              <w:rPr>
                <w:rFonts w:eastAsia="Times New Roman"/>
                <w:sz w:val="20"/>
                <w:szCs w:val="20"/>
              </w:rPr>
              <w:t>7</w:t>
            </w:r>
            <w:r>
              <w:rPr>
                <w:rFonts w:eastAsia="Times New Roman"/>
                <w:sz w:val="20"/>
                <w:szCs w:val="20"/>
              </w:rPr>
              <w:t xml:space="preserve"> shares at September 30, 2022 and December 31, 2021, respectively. Series B, issued and outstanding</w:t>
            </w:r>
            <w:r>
              <w:rPr>
                <w:rFonts w:eastAsia="Times New Roman"/>
                <w:sz w:val="20"/>
                <w:szCs w:val="20"/>
              </w:rPr>
              <w:t xml:space="preserve"> </w:t>
            </w:r>
            <w:r>
              <w:rPr>
                <w:rFonts w:eastAsia="Times New Roman"/>
                <w:sz w:val="20"/>
                <w:szCs w:val="20"/>
              </w:rPr>
              <w:t>1,309,21</w:t>
            </w:r>
            <w:r>
              <w:rPr>
                <w:rFonts w:eastAsia="Times New Roman"/>
                <w:sz w:val="20"/>
                <w:szCs w:val="20"/>
              </w:rPr>
              <w:t>6</w:t>
            </w:r>
            <w:r>
              <w:rPr>
                <w:rFonts w:eastAsia="Times New Roman"/>
                <w:sz w:val="20"/>
                <w:szCs w:val="20"/>
              </w:rPr>
              <w:t xml:space="preserve"> shares at September 30, 2</w:t>
            </w:r>
            <w:r>
              <w:rPr>
                <w:rFonts w:eastAsia="Times New Roman"/>
                <w:sz w:val="20"/>
                <w:szCs w:val="20"/>
              </w:rPr>
              <w:t>022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35,000,00</w:t>
            </w:r>
            <w:r>
              <w:rPr>
                <w:rFonts w:eastAsia="Times New Roman"/>
                <w:sz w:val="20"/>
                <w:szCs w:val="20"/>
              </w:rPr>
              <w:t>0</w:t>
            </w:r>
            <w:r>
              <w:rPr>
                <w:rFonts w:eastAsia="Times New Roman"/>
                <w:sz w:val="20"/>
                <w:szCs w:val="20"/>
              </w:rPr>
              <w:t xml:space="preserve"> shares. Issued</w:t>
            </w:r>
            <w:r>
              <w:rPr>
                <w:rFonts w:eastAsia="Times New Roman"/>
                <w:sz w:val="20"/>
                <w:szCs w:val="20"/>
              </w:rPr>
              <w:t xml:space="preserve"> </w:t>
            </w:r>
            <w:r>
              <w:rPr>
                <w:rFonts w:eastAsia="Times New Roman"/>
                <w:sz w:val="20"/>
                <w:szCs w:val="20"/>
              </w:rPr>
              <w:t>15,951,93</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15,657,64</w:t>
            </w:r>
            <w:r>
              <w:rPr>
                <w:rFonts w:eastAsia="Times New Roman"/>
                <w:sz w:val="20"/>
                <w:szCs w:val="20"/>
              </w:rPr>
              <w:t>1</w:t>
            </w:r>
            <w:r>
              <w:rPr>
                <w:rFonts w:eastAsia="Times New Roman"/>
                <w:sz w:val="20"/>
                <w:szCs w:val="20"/>
              </w:rPr>
              <w:t xml:space="preserve"> shares at September 30, 2022 and December 31, 2021, respectively. Outstanding</w:t>
            </w:r>
            <w:r>
              <w:rPr>
                <w:rFonts w:eastAsia="Times New Roman"/>
                <w:sz w:val="20"/>
                <w:szCs w:val="20"/>
              </w:rPr>
              <w:t xml:space="preserve"> </w:t>
            </w:r>
            <w:r>
              <w:rPr>
                <w:rFonts w:eastAsia="Times New Roman"/>
                <w:sz w:val="20"/>
                <w:szCs w:val="20"/>
              </w:rPr>
              <w:t>15,211,13</w:t>
            </w:r>
            <w:r>
              <w:rPr>
                <w:rFonts w:eastAsia="Times New Roman"/>
                <w:sz w:val="20"/>
                <w:szCs w:val="20"/>
              </w:rPr>
              <w:t>6</w:t>
            </w:r>
            <w:r>
              <w:rPr>
                <w:rFonts w:eastAsia="Times New Roman"/>
                <w:sz w:val="20"/>
                <w:szCs w:val="20"/>
              </w:rPr>
              <w:t xml:space="preserve"> and</w:t>
            </w:r>
            <w:r>
              <w:rPr>
                <w:rFonts w:eastAsia="Times New Roman"/>
                <w:sz w:val="20"/>
                <w:szCs w:val="20"/>
              </w:rPr>
              <w:t xml:space="preserve"> </w:t>
            </w:r>
            <w:r>
              <w:rPr>
                <w:rFonts w:eastAsia="Times New Roman"/>
                <w:sz w:val="20"/>
                <w:szCs w:val="20"/>
              </w:rPr>
              <w:t>14,916,84</w:t>
            </w:r>
            <w:r>
              <w:rPr>
                <w:rFonts w:eastAsia="Times New Roman"/>
                <w:sz w:val="20"/>
                <w:szCs w:val="20"/>
              </w:rPr>
              <w:t>2</w:t>
            </w:r>
            <w:r>
              <w:rPr>
                <w:rFonts w:eastAsia="Times New Roman"/>
                <w:sz w:val="20"/>
                <w:szCs w:val="20"/>
              </w:rPr>
              <w:t xml:space="preserve"> shares at September 30, 2022 and De</w:t>
            </w:r>
            <w:r>
              <w:rPr>
                <w:rFonts w:eastAsia="Times New Roman"/>
                <w:sz w:val="20"/>
                <w:szCs w:val="20"/>
              </w:rPr>
              <w:t>cember 31, 2021, respectively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133,120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(26,120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(31,053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(3,536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September 30, 2022 and December 31, 2021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Total shareholders’ equity</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102,824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97,931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TOTAL LIABILITIES AND SHAREHOLDERS’ EQUITY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131,196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140,848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lastRenderedPageBreak/>
        <w:t xml:space="preserve">See </w:t>
      </w:r>
      <w:r>
        <w:rPr>
          <w:sz w:val="20"/>
          <w:szCs w:val="20"/>
        </w:rPr>
        <w:t>notes to consolidated financial statements.</w:t>
      </w:r>
    </w:p>
    <w:p w:rsidR="00000000" w:rsidRDefault="003F57A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4361975"/>
        </w:trPr>
        <w:tc>
          <w:tcPr>
            <w:tcW w:w="5000" w:type="pct"/>
            <w:hideMark/>
          </w:tcPr>
          <w:p w:rsidR="00000000" w:rsidRDefault="003F57AF">
            <w:pPr>
              <w:jc w:val="center"/>
              <w:rPr>
                <w:rFonts w:eastAsia="Times New Roman"/>
                <w:sz w:val="20"/>
                <w:szCs w:val="20"/>
              </w:rPr>
            </w:pPr>
            <w:r>
              <w:rPr>
                <w:rFonts w:eastAsia="Times New Roman"/>
                <w:sz w:val="20"/>
                <w:szCs w:val="20"/>
              </w:rPr>
              <w:t>3</w:t>
            </w:r>
          </w:p>
        </w:tc>
      </w:tr>
    </w:tbl>
    <w:p w:rsidR="00000000" w:rsidRDefault="003F57AF">
      <w:pPr>
        <w:pStyle w:val="a3"/>
        <w:spacing w:before="0" w:beforeAutospacing="0" w:after="0" w:afterAutospacing="0"/>
        <w:divId w:val="258101364"/>
        <w:rPr>
          <w:sz w:val="20"/>
          <w:szCs w:val="20"/>
        </w:rPr>
      </w:pPr>
      <w:r>
        <w:rPr>
          <w:sz w:val="20"/>
          <w:szCs w:val="20"/>
        </w:rPr>
        <w:t> </w:t>
      </w:r>
    </w:p>
    <w:p w:rsidR="00000000" w:rsidRDefault="003F57AF">
      <w:pPr>
        <w:pStyle w:val="a3"/>
        <w:spacing w:before="0" w:beforeAutospacing="0" w:after="0" w:afterAutospacing="0"/>
        <w:jc w:val="center"/>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CONSOLIDATED STATEMENTS OF OPERATIONS (UNAUDITED)</w:t>
      </w:r>
    </w:p>
    <w:p w:rsidR="00000000" w:rsidRDefault="003F57AF">
      <w:pPr>
        <w:pStyle w:val="a3"/>
        <w:spacing w:before="0" w:beforeAutospacing="0" w:after="0" w:afterAutospacing="0"/>
        <w:jc w:val="center"/>
        <w:rPr>
          <w:sz w:val="20"/>
          <w:szCs w:val="20"/>
        </w:rPr>
      </w:pPr>
      <w:r>
        <w:rPr>
          <w:sz w:val="20"/>
          <w:szCs w:val="20"/>
        </w:rPr>
        <w:t>($ in thousands, except share and per share amounts) </w:t>
      </w:r>
    </w:p>
    <w:p w:rsidR="00000000" w:rsidRDefault="003F57AF">
      <w:pPr>
        <w:divId w:val="618417076"/>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Unaudited)"/>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trPr>
          <w:hidden/>
        </w:trPr>
        <w:tc>
          <w:tcPr>
            <w:tcW w:w="0" w:type="auto"/>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260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20,406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64,866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62,719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7,314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18,479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2,810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3,547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8,686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9,505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32,035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36,879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100,634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102,499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1,688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1,425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5,658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Other expense - net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(495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(80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1,273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5,077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(706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(232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1,056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1,505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4,933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(686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3,849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3,642</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11,662</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10,408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(2,793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(2,137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(6,729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(11,094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xml:space="preserve">Net loss per common share: basic and diluted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(0.18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(0.45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(0.77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pStyle w:val="a3"/>
              <w:spacing w:before="0" w:beforeAutospacing="0" w:after="0" w:afterAutospacing="0"/>
              <w:rPr>
                <w:sz w:val="20"/>
                <w:szCs w:val="20"/>
              </w:rPr>
            </w:pPr>
            <w:r>
              <w:rPr>
                <w:sz w:val="20"/>
                <w:szCs w:val="20"/>
              </w:rPr>
              <w:t>Weighted-average common shares used to compute</w:t>
            </w:r>
          </w:p>
          <w:p w:rsidR="00000000" w:rsidRDefault="003F57AF">
            <w:pPr>
              <w:pStyle w:val="a3"/>
              <w:spacing w:before="0" w:beforeAutospacing="0" w:after="0" w:afterAutospacing="0"/>
              <w:rPr>
                <w:sz w:val="20"/>
                <w:szCs w:val="20"/>
              </w:rPr>
            </w:pPr>
            <w:r>
              <w:rPr>
                <w:sz w:val="20"/>
                <w:szCs w:val="20"/>
              </w:rPr>
              <w:t>basic and diluted loss per share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15,148,721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14,737,103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15,070,913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14,419,968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xml:space="preserve">See </w:t>
      </w:r>
      <w:r>
        <w:rPr>
          <w:sz w:val="20"/>
          <w:szCs w:val="20"/>
        </w:rPr>
        <w:t>notes to consolidated financial statements.</w:t>
      </w:r>
    </w:p>
    <w:p w:rsidR="00000000" w:rsidRDefault="003F57AF">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80338900"/>
        </w:trPr>
        <w:tc>
          <w:tcPr>
            <w:tcW w:w="5000" w:type="pct"/>
            <w:hideMark/>
          </w:tcPr>
          <w:p w:rsidR="00000000" w:rsidRDefault="003F57AF">
            <w:pPr>
              <w:jc w:val="center"/>
              <w:rPr>
                <w:rFonts w:eastAsia="Times New Roman"/>
                <w:sz w:val="20"/>
                <w:szCs w:val="20"/>
              </w:rPr>
            </w:pPr>
            <w:r>
              <w:rPr>
                <w:rFonts w:eastAsia="Times New Roman"/>
                <w:sz w:val="20"/>
                <w:szCs w:val="20"/>
              </w:rPr>
              <w:t>4</w:t>
            </w:r>
          </w:p>
        </w:tc>
      </w:tr>
    </w:tbl>
    <w:p w:rsidR="00000000" w:rsidRDefault="003F57AF">
      <w:pPr>
        <w:pStyle w:val="a3"/>
        <w:spacing w:before="0" w:beforeAutospacing="0" w:after="0" w:afterAutospacing="0"/>
        <w:divId w:val="378865858"/>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CONSOLIDATED STATEMENTS OF COMPREHENSIVE INCOME (LOSS) (UNAUDITED)</w:t>
      </w:r>
    </w:p>
    <w:p w:rsidR="00000000" w:rsidRDefault="003F57AF">
      <w:pPr>
        <w:pStyle w:val="a3"/>
        <w:spacing w:before="0" w:beforeAutospacing="0" w:after="0" w:afterAutospacing="0"/>
        <w:jc w:val="center"/>
        <w:rPr>
          <w:sz w:val="20"/>
          <w:szCs w:val="20"/>
        </w:rPr>
      </w:pPr>
      <w:r>
        <w:rPr>
          <w:sz w:val="20"/>
          <w:szCs w:val="20"/>
        </w:rPr>
        <w:t>($ in thousands)</w:t>
      </w:r>
    </w:p>
    <w:p w:rsidR="00000000" w:rsidRDefault="003F57AF">
      <w:pPr>
        <w:divId w:val="252444894"/>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omprehensive Income (Loss) (Unaudited)"/>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3F57AF">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1,056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4,933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(686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OTHER COMPREHENSIVE LOSS, NET OF TAX</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vanish/>
                <w:sz w:val="20"/>
                <w:szCs w:val="20"/>
              </w:rPr>
              <w:t>(a</w:t>
            </w:r>
            <w:r>
              <w:rPr>
                <w:rFonts w:eastAsia="Times New Roman"/>
                <w:vanish/>
                <w:sz w:val="20"/>
                <w:szCs w:val="20"/>
              </w:rPr>
              <w:t>)</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(537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(475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(1,782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(535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COMPREHENSIVE INCOME (LOSS)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519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1,030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3,151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(1,221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3F57AF">
            <w:pPr>
              <w:jc w:val="both"/>
              <w:rPr>
                <w:rFonts w:eastAsia="Times New Roman"/>
                <w:sz w:val="20"/>
                <w:szCs w:val="20"/>
              </w:rPr>
            </w:pPr>
            <w:r>
              <w:rPr>
                <w:rFonts w:eastAsia="Times New Roman"/>
                <w:sz w:val="20"/>
                <w:szCs w:val="20"/>
              </w:rPr>
              <w:t>(a</w:t>
            </w: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No tax effect has been recorded as the Company recorded a valuation allowance against the tax benefit from its foreign currency translation adjustments</w:t>
            </w:r>
            <w:r>
              <w:rPr>
                <w:rFonts w:eastAsia="Times New Roman"/>
                <w:sz w:val="20"/>
                <w:szCs w:val="20"/>
              </w:rPr>
              <w:t>.</w:t>
            </w:r>
          </w:p>
        </w:tc>
      </w:tr>
    </w:tbl>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See notes to consolidated financial statements.</w:t>
      </w:r>
    </w:p>
    <w:p w:rsidR="00000000" w:rsidRDefault="003F57AF">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8596778"/>
        </w:trPr>
        <w:tc>
          <w:tcPr>
            <w:tcW w:w="5000" w:type="pct"/>
            <w:hideMark/>
          </w:tcPr>
          <w:p w:rsidR="00000000" w:rsidRDefault="003F57AF">
            <w:pPr>
              <w:jc w:val="center"/>
              <w:rPr>
                <w:rFonts w:eastAsia="Times New Roman"/>
                <w:sz w:val="20"/>
                <w:szCs w:val="20"/>
              </w:rPr>
            </w:pPr>
            <w:r>
              <w:rPr>
                <w:rFonts w:eastAsia="Times New Roman"/>
                <w:sz w:val="20"/>
                <w:szCs w:val="20"/>
              </w:rPr>
              <w:t>5</w:t>
            </w:r>
          </w:p>
        </w:tc>
      </w:tr>
    </w:tbl>
    <w:p w:rsidR="00000000" w:rsidRDefault="003F57AF">
      <w:pPr>
        <w:pStyle w:val="a3"/>
        <w:spacing w:before="0" w:beforeAutospacing="0" w:after="0" w:afterAutospacing="0"/>
        <w:divId w:val="613290340"/>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SHAREHOLDERS’ EQUITY (UNAUDITED)</w:t>
      </w:r>
    </w:p>
    <w:p w:rsidR="00000000" w:rsidRDefault="003F57AF">
      <w:pPr>
        <w:pStyle w:val="a3"/>
        <w:spacing w:before="0" w:beforeAutospacing="0" w:after="0" w:afterAutospacing="0"/>
        <w:jc w:val="center"/>
        <w:rPr>
          <w:sz w:val="20"/>
          <w:szCs w:val="20"/>
        </w:rPr>
      </w:pPr>
      <w:r>
        <w:rPr>
          <w:b/>
          <w:bCs/>
          <w:sz w:val="20"/>
          <w:szCs w:val="20"/>
        </w:rPr>
        <w:t>FOR THE THREE AND NINE MONTHS ENDED SEPTEMBER 30, 2022 AND SEPTEMBER 30, 2021</w:t>
      </w:r>
    </w:p>
    <w:p w:rsidR="00000000" w:rsidRDefault="003F57AF">
      <w:pPr>
        <w:pStyle w:val="a3"/>
        <w:spacing w:before="0" w:beforeAutospacing="0" w:after="0" w:afterAutospacing="0"/>
        <w:jc w:val="center"/>
        <w:rPr>
          <w:sz w:val="20"/>
          <w:szCs w:val="20"/>
        </w:rPr>
      </w:pPr>
      <w:r>
        <w:rPr>
          <w:sz w:val="20"/>
          <w:szCs w:val="20"/>
        </w:rPr>
        <w:t>($ in thousands, except for number of shares)</w:t>
      </w:r>
    </w:p>
    <w:p w:rsidR="00000000" w:rsidRDefault="003F57AF">
      <w:pPr>
        <w:divId w:val="1041858292"/>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hareholders&amp;apos; Equity (Unaudited)"/>
      </w:tblPr>
      <w:tblGrid>
        <w:gridCol w:w="813"/>
        <w:gridCol w:w="35"/>
        <w:gridCol w:w="35"/>
        <w:gridCol w:w="560"/>
        <w:gridCol w:w="47"/>
        <w:gridCol w:w="35"/>
        <w:gridCol w:w="99"/>
        <w:gridCol w:w="392"/>
        <w:gridCol w:w="47"/>
        <w:gridCol w:w="35"/>
        <w:gridCol w:w="35"/>
        <w:gridCol w:w="560"/>
        <w:gridCol w:w="35"/>
        <w:gridCol w:w="35"/>
        <w:gridCol w:w="99"/>
        <w:gridCol w:w="392"/>
        <w:gridCol w:w="35"/>
        <w:gridCol w:w="35"/>
        <w:gridCol w:w="35"/>
        <w:gridCol w:w="630"/>
        <w:gridCol w:w="35"/>
        <w:gridCol w:w="35"/>
        <w:gridCol w:w="99"/>
        <w:gridCol w:w="392"/>
        <w:gridCol w:w="35"/>
        <w:gridCol w:w="35"/>
        <w:gridCol w:w="128"/>
        <w:gridCol w:w="510"/>
        <w:gridCol w:w="47"/>
        <w:gridCol w:w="35"/>
        <w:gridCol w:w="159"/>
        <w:gridCol w:w="635"/>
        <w:gridCol w:w="47"/>
        <w:gridCol w:w="35"/>
        <w:gridCol w:w="187"/>
        <w:gridCol w:w="747"/>
        <w:gridCol w:w="47"/>
        <w:gridCol w:w="35"/>
        <w:gridCol w:w="130"/>
        <w:gridCol w:w="516"/>
        <w:gridCol w:w="47"/>
        <w:gridCol w:w="35"/>
        <w:gridCol w:w="168"/>
        <w:gridCol w:w="672"/>
        <w:gridCol w:w="47"/>
      </w:tblGrid>
      <w:tr w:rsidR="00000000">
        <w:trPr>
          <w:hidden/>
        </w:trPr>
        <w:tc>
          <w:tcPr>
            <w:tcW w:w="0" w:type="auto"/>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Capital</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Deficit</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Loss</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Stock</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14"/>
                <w:szCs w:val="14"/>
              </w:rPr>
            </w:pPr>
            <w:r>
              <w:rPr>
                <w:rFonts w:eastAsia="Times New Roman"/>
                <w:b/>
                <w:bCs/>
                <w:vanish/>
                <w:sz w:val="14"/>
                <w:szCs w:val="14"/>
              </w:rPr>
              <w:t>Equity</w:t>
            </w:r>
          </w:p>
        </w:tc>
        <w:tc>
          <w:tcPr>
            <w:tcW w:w="0" w:type="auto"/>
            <w:tcMar>
              <w:top w:w="0" w:type="dxa"/>
              <w:left w:w="0" w:type="dxa"/>
              <w:bottom w:w="30" w:type="dxa"/>
              <w:right w:w="0" w:type="dxa"/>
            </w:tcMar>
            <w:vAlign w:val="bottom"/>
            <w:hideMark/>
          </w:tcPr>
          <w:p w:rsidR="00000000" w:rsidRDefault="003F57AF">
            <w:pPr>
              <w:rPr>
                <w:rFonts w:eastAsia="Times New Roman"/>
                <w:b/>
                <w:bCs/>
                <w:vanish/>
                <w:sz w:val="14"/>
                <w:szCs w:val="14"/>
              </w:rPr>
            </w:pPr>
            <w:r>
              <w:rPr>
                <w:rFonts w:eastAsia="Times New Roman"/>
                <w:b/>
                <w:bCs/>
                <w:vanish/>
                <w:sz w:val="14"/>
                <w:szCs w:val="14"/>
              </w:rPr>
              <w:t> </w:t>
            </w:r>
          </w:p>
        </w:tc>
      </w:tr>
      <w:tr w:rsidR="00000000">
        <w:tc>
          <w:tcPr>
            <w:tcW w:w="0" w:type="auto"/>
            <w:vAlign w:val="bottom"/>
            <w:hideMark/>
          </w:tcPr>
          <w:p w:rsidR="00000000" w:rsidRDefault="003F57AF">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Preferred Stock Series A</w:t>
            </w:r>
          </w:p>
        </w:tc>
        <w:tc>
          <w:tcPr>
            <w:tcW w:w="0" w:type="auto"/>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Preferred Stock Series B</w:t>
            </w:r>
          </w:p>
        </w:tc>
        <w:tc>
          <w:tcPr>
            <w:tcW w:w="0" w:type="auto"/>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Common Stock</w:t>
            </w:r>
          </w:p>
        </w:tc>
        <w:tc>
          <w:tcPr>
            <w:tcW w:w="0" w:type="auto"/>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3F57AF">
            <w:pPr>
              <w:jc w:val="center"/>
              <w:rPr>
                <w:rFonts w:eastAsia="Times New Roman"/>
                <w:b/>
                <w:bCs/>
                <w:sz w:val="14"/>
                <w:szCs w:val="14"/>
              </w:rPr>
            </w:pPr>
            <w:r>
              <w:rPr>
                <w:rFonts w:eastAsia="Times New Roman"/>
                <w:b/>
                <w:bCs/>
                <w:sz w:val="14"/>
                <w:szCs w:val="14"/>
              </w:rPr>
              <w:t>Additional Paid-in</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3F57AF">
            <w:pPr>
              <w:jc w:val="center"/>
              <w:rPr>
                <w:rFonts w:eastAsia="Times New Roman"/>
                <w:b/>
                <w:bCs/>
                <w:sz w:val="14"/>
                <w:szCs w:val="14"/>
              </w:rPr>
            </w:pPr>
            <w:r>
              <w:rPr>
                <w:rFonts w:eastAsia="Times New Roman"/>
                <w:b/>
                <w:bCs/>
                <w:sz w:val="14"/>
                <w:szCs w:val="14"/>
              </w:rPr>
              <w:t>Accumulated</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3F57AF">
            <w:pPr>
              <w:jc w:val="center"/>
              <w:rPr>
                <w:rFonts w:eastAsia="Times New Roman"/>
                <w:b/>
                <w:bCs/>
                <w:sz w:val="14"/>
                <w:szCs w:val="14"/>
              </w:rPr>
            </w:pPr>
            <w:r>
              <w:rPr>
                <w:rFonts w:eastAsia="Times New Roman"/>
                <w:b/>
                <w:bCs/>
                <w:sz w:val="14"/>
                <w:szCs w:val="14"/>
              </w:rPr>
              <w:t>Accumulated Other Comprehensive</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3F57AF">
            <w:pPr>
              <w:jc w:val="center"/>
              <w:rPr>
                <w:rFonts w:eastAsia="Times New Roman"/>
                <w:b/>
                <w:bCs/>
                <w:sz w:val="14"/>
                <w:szCs w:val="14"/>
              </w:rPr>
            </w:pPr>
            <w:r>
              <w:rPr>
                <w:rFonts w:eastAsia="Times New Roman"/>
                <w:b/>
                <w:bCs/>
                <w:sz w:val="14"/>
                <w:szCs w:val="14"/>
              </w:rPr>
              <w:t>Treasury (Common)</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Mar>
              <w:top w:w="0" w:type="dxa"/>
              <w:left w:w="0" w:type="dxa"/>
              <w:bottom w:w="30" w:type="dxa"/>
              <w:right w:w="0" w:type="dxa"/>
            </w:tcMar>
            <w:vAlign w:val="bottom"/>
            <w:hideMark/>
          </w:tcPr>
          <w:p w:rsidR="00000000" w:rsidRDefault="003F57AF">
            <w:pPr>
              <w:jc w:val="center"/>
              <w:rPr>
                <w:rFonts w:eastAsia="Times New Roman"/>
                <w:b/>
                <w:bCs/>
                <w:sz w:val="14"/>
                <w:szCs w:val="14"/>
              </w:rPr>
            </w:pPr>
            <w:r>
              <w:rPr>
                <w:rFonts w:eastAsia="Times New Roman"/>
                <w:b/>
                <w:bCs/>
                <w:sz w:val="14"/>
                <w:szCs w:val="14"/>
              </w:rPr>
              <w:t>Total Shareholders’</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3F57AF">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Capital</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Deficit</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Loss</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Stock</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14"/>
                <w:szCs w:val="14"/>
              </w:rPr>
            </w:pPr>
            <w:r>
              <w:rPr>
                <w:rFonts w:eastAsia="Times New Roman"/>
                <w:b/>
                <w:bCs/>
                <w:sz w:val="14"/>
                <w:szCs w:val="14"/>
              </w:rPr>
              <w:t>Equity</w:t>
            </w:r>
          </w:p>
        </w:tc>
        <w:tc>
          <w:tcPr>
            <w:tcW w:w="0" w:type="auto"/>
            <w:tcMar>
              <w:top w:w="0" w:type="dxa"/>
              <w:left w:w="0" w:type="dxa"/>
              <w:bottom w:w="30" w:type="dxa"/>
              <w:right w:w="0" w:type="dxa"/>
            </w:tcMar>
            <w:vAlign w:val="bottom"/>
            <w:hideMark/>
          </w:tcPr>
          <w:p w:rsidR="00000000" w:rsidRDefault="003F57AF">
            <w:pPr>
              <w:rPr>
                <w:rFonts w:eastAsia="Times New Roman"/>
                <w:b/>
                <w:bCs/>
                <w:sz w:val="14"/>
                <w:szCs w:val="14"/>
              </w:rPr>
            </w:pPr>
            <w:r>
              <w:rPr>
                <w:rFonts w:eastAsia="Times New Roman"/>
                <w:b/>
                <w:bCs/>
                <w:sz w:val="14"/>
                <w:szCs w:val="14"/>
              </w:rPr>
              <w:t> </w:t>
            </w:r>
          </w:p>
        </w:tc>
      </w:tr>
      <w:tr w:rsidR="003F57AF">
        <w:tc>
          <w:tcPr>
            <w:tcW w:w="1150" w:type="pct"/>
            <w:shd w:val="clear" w:color="auto" w:fill="CCEEFF"/>
            <w:vAlign w:val="bottom"/>
            <w:hideMark/>
          </w:tcPr>
          <w:p w:rsidR="00000000" w:rsidRDefault="003F57AF">
            <w:pPr>
              <w:rPr>
                <w:rFonts w:eastAsia="Times New Roman"/>
                <w:sz w:val="14"/>
                <w:szCs w:val="14"/>
              </w:rPr>
            </w:pPr>
            <w:r>
              <w:rPr>
                <w:rFonts w:eastAsia="Times New Roman"/>
                <w:sz w:val="14"/>
                <w:szCs w:val="14"/>
              </w:rPr>
              <w:t>Balance - January 1, 2022</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5,299,227</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15,657,641</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16</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131,379</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(31,053</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(1,754</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200" w:type="pct"/>
            <w:shd w:val="clear" w:color="auto" w:fill="CCEEFF"/>
            <w:vAlign w:val="bottom"/>
            <w:hideMark/>
          </w:tcPr>
          <w:p w:rsidR="00000000" w:rsidRDefault="003F57AF">
            <w:pPr>
              <w:jc w:val="right"/>
              <w:rPr>
                <w:rFonts w:eastAsia="Times New Roman"/>
                <w:sz w:val="14"/>
                <w:szCs w:val="14"/>
              </w:rPr>
            </w:pPr>
            <w:r>
              <w:rPr>
                <w:rFonts w:eastAsia="Times New Roman"/>
                <w:sz w:val="14"/>
                <w:szCs w:val="14"/>
              </w:rPr>
              <w:t>    97,931</w:t>
            </w:r>
          </w:p>
        </w:tc>
        <w:tc>
          <w:tcPr>
            <w:tcW w:w="50" w:type="pct"/>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Net income</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1,140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1,140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(255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(255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22,319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145,809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887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887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Redemption of Series A Preferred Stock</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(800,000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(20,000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(20,000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Issuance of Series B Preferred Stock</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1,150,372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26,637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26,638</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Stock issuance costs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(4,037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(4,037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March 31, 2022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4,521,546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1,150,372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15,803,450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134,855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(29,913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(2,009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102,293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Balance - April 1, 2022</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4,521,546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1,150,372</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15,803,450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134,855</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(29,913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(2,009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102,293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Net income</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2,737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2,737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(990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(990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Issuance of stock under the equity incentive plan</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4,685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10,000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15,809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1,257</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1,257</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Redemption of Series A Preferred Stock</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Issuance of Series B Preferred Stock</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49,876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1,223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1,223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Stock issuance costs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(3,776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(3,776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June 30, 2022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4,526,231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1,210,248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15,819,259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133,544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(27,176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(2,999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102,729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Balance - July 1, 2022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4,526,231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1,210,248</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15,819,259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133,544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(27,176</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(2,999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102,729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Net income</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1,056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1,056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(537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(537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132,676</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1,017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1,017</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Issuance of Series B Preferred Stock</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98,968</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2,419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2,419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Stock issuance costs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r>
              <w:rPr>
                <w:rFonts w:eastAsia="Times New Roman"/>
                <w:sz w:val="14"/>
                <w:szCs w:val="14"/>
              </w:rPr>
              <w:t>3,849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(3,849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September 30, 2022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4,526,231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1,309,216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15,951,935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133,120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(26,120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(3,536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102,824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Balance - January 1, 2021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5,475,279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14,121,044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136,781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(33,889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(1,004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101,245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Net loss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(1,964</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(1,964</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345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345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Issuance of stock under the equity incentive plan</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27,682</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161,545</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623</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623</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Stock issuance costs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Exercise of common stock warrants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858,000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6,434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6,435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(3,128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(3,128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March 31, 2021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5,502,961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15,140,589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140,666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(35,853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(659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103,513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Balance - April 1, 2021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5,502,961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15,140,589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140,666</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(35,853</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(659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103,513</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Net loss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(227</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(227</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(405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(405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vAlign w:val="bottom"/>
            <w:hideMark/>
          </w:tcPr>
          <w:p w:rsidR="00000000" w:rsidRDefault="003F57AF">
            <w:pPr>
              <w:pStyle w:val="a3"/>
              <w:spacing w:before="0" w:beforeAutospacing="0" w:after="0" w:afterAutospacing="0"/>
              <w:rPr>
                <w:sz w:val="14"/>
                <w:szCs w:val="14"/>
              </w:rPr>
            </w:pPr>
            <w:r>
              <w:rPr>
                <w:sz w:val="14"/>
                <w:szCs w:val="14"/>
              </w:rPr>
              <w:t>Issuance of stock under the Amended and Restated Equity Incentive Plan</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4,244</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33,724</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Issuance of common stock, net of fees and expenses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178,092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1,360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1,360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1,163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1,163</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Cancellation of shares held in escrow</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(215,822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(4,000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(4,001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(3,638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(3,638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June 30, 2021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5,291,383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15,352,405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135,551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(36,080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(1,064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97,765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Balance - July 1, 2021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5,291,383</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15,352,405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135,551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(36,080</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(1,064</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97,765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rPr>
          <w:hidden/>
        </w:trPr>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Balance</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5,291,383</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5</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15,352,405</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15</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135,551</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(36,080</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(1,064</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(662</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CCEEFF"/>
            <w:vAlign w:val="bottom"/>
            <w:hideMark/>
          </w:tcPr>
          <w:p w:rsidR="00000000" w:rsidRDefault="003F57AF">
            <w:pPr>
              <w:jc w:val="right"/>
              <w:rPr>
                <w:rFonts w:eastAsia="Times New Roman"/>
                <w:vanish/>
                <w:sz w:val="14"/>
                <w:szCs w:val="14"/>
              </w:rPr>
            </w:pPr>
            <w:r>
              <w:rPr>
                <w:rFonts w:eastAsia="Times New Roman"/>
                <w:vanish/>
                <w:sz w:val="14"/>
                <w:szCs w:val="14"/>
              </w:rPr>
              <w:t>97,765</w:t>
            </w:r>
          </w:p>
        </w:tc>
        <w:tc>
          <w:tcPr>
            <w:tcW w:w="0" w:type="auto"/>
            <w:shd w:val="clear" w:color="auto" w:fill="CCEEFF"/>
            <w:vAlign w:val="bottom"/>
            <w:hideMark/>
          </w:tcPr>
          <w:p w:rsidR="00000000" w:rsidRDefault="003F57AF">
            <w:pPr>
              <w:rPr>
                <w:rFonts w:eastAsia="Times New Roman"/>
                <w:vanish/>
                <w:sz w:val="14"/>
                <w:szCs w:val="14"/>
              </w:rPr>
            </w:pPr>
            <w:r>
              <w:rPr>
                <w:rFonts w:eastAsia="Times New Roman"/>
                <w:vanish/>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Net income</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1,505</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1,505</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rPr>
          <w:hidden/>
        </w:trPr>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Net income (loss)</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1,505</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1,505</w:t>
            </w:r>
          </w:p>
        </w:tc>
        <w:tc>
          <w:tcPr>
            <w:tcW w:w="0" w:type="auto"/>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Foreign currency translation adjustment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(475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(475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vAlign w:val="bottom"/>
            <w:hideMark/>
          </w:tcPr>
          <w:p w:rsidR="00000000" w:rsidRDefault="003F57AF">
            <w:pPr>
              <w:pStyle w:val="a3"/>
              <w:spacing w:before="0" w:beforeAutospacing="0" w:after="0" w:afterAutospacing="0"/>
              <w:rPr>
                <w:sz w:val="14"/>
                <w:szCs w:val="14"/>
              </w:rPr>
            </w:pPr>
            <w:r>
              <w:rPr>
                <w:sz w:val="14"/>
                <w:szCs w:val="14"/>
              </w:rPr>
              <w:t>Issuance of stock under the Amended and Restated Equity Incentive Plan</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4,031</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125,410</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Issuance of common stock, net of fees and expenses</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136,395</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1,168</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3F57AF">
            <w:pPr>
              <w:jc w:val="right"/>
              <w:rPr>
                <w:rFonts w:eastAsia="Times New Roman"/>
                <w:sz w:val="14"/>
                <w:szCs w:val="14"/>
              </w:rPr>
            </w:pPr>
            <w:r>
              <w:rPr>
                <w:rFonts w:eastAsia="Times New Roman"/>
                <w:sz w:val="14"/>
                <w:szCs w:val="14"/>
              </w:rPr>
              <w:t>1,169</w:t>
            </w:r>
          </w:p>
        </w:tc>
        <w:tc>
          <w:tcPr>
            <w:tcW w:w="0" w:type="auto"/>
            <w:shd w:val="clear" w:color="auto" w:fill="CCEE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Stock-based compensation, net of cash settlements</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729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3F57AF">
            <w:pPr>
              <w:jc w:val="right"/>
              <w:rPr>
                <w:rFonts w:eastAsia="Times New Roman"/>
                <w:sz w:val="14"/>
                <w:szCs w:val="14"/>
              </w:rPr>
            </w:pPr>
            <w:r>
              <w:rPr>
                <w:rFonts w:eastAsia="Times New Roman"/>
                <w:sz w:val="14"/>
                <w:szCs w:val="14"/>
              </w:rPr>
              <w:t>729</w:t>
            </w:r>
          </w:p>
        </w:tc>
        <w:tc>
          <w:tcPr>
            <w:tcW w:w="0" w:type="auto"/>
            <w:shd w:val="clear" w:color="auto" w:fill="FFFFFF"/>
            <w:vAlign w:val="bottom"/>
            <w:hideMark/>
          </w:tcPr>
          <w:p w:rsidR="00000000" w:rsidRDefault="003F57AF">
            <w:pPr>
              <w:rPr>
                <w:rFonts w:eastAsia="Times New Roman"/>
                <w:sz w:val="14"/>
                <w:szCs w:val="14"/>
              </w:rPr>
            </w:pPr>
            <w:r>
              <w:rPr>
                <w:rFonts w:eastAsia="Times New Roman"/>
                <w:sz w:val="14"/>
                <w:szCs w:val="14"/>
              </w:rPr>
              <w:t> </w:t>
            </w:r>
          </w:p>
        </w:tc>
      </w:tr>
      <w:tr w:rsidR="003F57AF">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Preferred stock dividends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(3,642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14"/>
                <w:szCs w:val="14"/>
              </w:rPr>
            </w:pPr>
            <w:r>
              <w:rPr>
                <w:rFonts w:eastAsia="Times New Roman"/>
                <w:sz w:val="14"/>
                <w:szCs w:val="14"/>
              </w:rPr>
              <w:t>(3,642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14"/>
                <w:szCs w:val="14"/>
              </w:rPr>
            </w:pPr>
            <w:r>
              <w:rPr>
                <w:rFonts w:eastAsia="Times New Roman"/>
                <w:sz w:val="14"/>
                <w:szCs w:val="14"/>
              </w:rPr>
              <w:t>)</w:t>
            </w:r>
          </w:p>
        </w:tc>
      </w:tr>
      <w:tr w:rsidR="003F57AF">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Balance - September 30, 2021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5,295,414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15,614,210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133,806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(34,575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(1,539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(662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14"/>
                <w:szCs w:val="14"/>
              </w:rPr>
            </w:pPr>
            <w:r>
              <w:rPr>
                <w:rFonts w:eastAsia="Times New Roman"/>
                <w:sz w:val="14"/>
                <w:szCs w:val="14"/>
              </w:rPr>
              <w:t>97,051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14"/>
                <w:szCs w:val="14"/>
              </w:rPr>
            </w:pPr>
            <w:r>
              <w:rPr>
                <w:rFonts w:eastAsia="Times New Roman"/>
                <w:sz w:val="14"/>
                <w:szCs w:val="14"/>
              </w:rPr>
              <w:t> </w:t>
            </w:r>
          </w:p>
        </w:tc>
      </w:tr>
      <w:tr w:rsidR="003F57AF">
        <w:trPr>
          <w:hidden/>
        </w:trPr>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xml:space="preserve">Balance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5,295,414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15,614,210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133,806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(34,575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(1,539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(662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14"/>
                <w:szCs w:val="14"/>
              </w:rPr>
            </w:pPr>
            <w:r>
              <w:rPr>
                <w:rFonts w:eastAsia="Times New Roman"/>
                <w:vanish/>
                <w:sz w:val="14"/>
                <w:szCs w:val="14"/>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14"/>
                <w:szCs w:val="14"/>
              </w:rPr>
            </w:pPr>
            <w:r>
              <w:rPr>
                <w:rFonts w:eastAsia="Times New Roman"/>
                <w:vanish/>
                <w:sz w:val="14"/>
                <w:szCs w:val="14"/>
              </w:rPr>
              <w:t>97,051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14"/>
                <w:szCs w:val="14"/>
              </w:rPr>
            </w:pPr>
            <w:r>
              <w:rPr>
                <w:rFonts w:eastAsia="Times New Roman"/>
                <w:vanish/>
                <w:sz w:val="14"/>
                <w:szCs w:val="14"/>
              </w:rPr>
              <w:t> </w:t>
            </w:r>
          </w:p>
        </w:tc>
      </w:tr>
    </w:tbl>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For all periods presented, the preferred stock dividends were paid monthly at the rate of </w:t>
      </w:r>
      <w:r>
        <w:rPr>
          <w:sz w:val="20"/>
          <w:szCs w:val="20"/>
        </w:rPr>
        <w:t>$</w:t>
      </w:r>
      <w:r>
        <w:rPr>
          <w:sz w:val="20"/>
          <w:szCs w:val="20"/>
        </w:rPr>
        <w:t>2.7</w:t>
      </w:r>
      <w:r>
        <w:rPr>
          <w:sz w:val="20"/>
          <w:szCs w:val="20"/>
        </w:rPr>
        <w:t>5</w:t>
      </w:r>
      <w:r>
        <w:rPr>
          <w:sz w:val="20"/>
          <w:szCs w:val="20"/>
        </w:rPr>
        <w:t xml:space="preserve"> and </w:t>
      </w:r>
      <w:r>
        <w:rPr>
          <w:sz w:val="20"/>
          <w:szCs w:val="20"/>
        </w:rPr>
        <w:t>$</w:t>
      </w:r>
      <w:r>
        <w:rPr>
          <w:sz w:val="20"/>
          <w:szCs w:val="20"/>
        </w:rPr>
        <w:t>2.1</w:t>
      </w:r>
      <w:r>
        <w:rPr>
          <w:sz w:val="20"/>
          <w:szCs w:val="20"/>
        </w:rPr>
        <w:t>9</w:t>
      </w:r>
      <w:r>
        <w:rPr>
          <w:sz w:val="20"/>
          <w:szCs w:val="20"/>
        </w:rPr>
        <w:t xml:space="preserve"> for Series A and Series B, respectively, per share per annum.</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See notes to consolidated financial statements.</w:t>
      </w:r>
    </w:p>
    <w:p w:rsidR="00000000" w:rsidRDefault="003F57AF">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9318427"/>
        </w:trPr>
        <w:tc>
          <w:tcPr>
            <w:tcW w:w="5000" w:type="pct"/>
            <w:hideMark/>
          </w:tcPr>
          <w:p w:rsidR="00000000" w:rsidRDefault="003F57AF">
            <w:pPr>
              <w:jc w:val="center"/>
              <w:rPr>
                <w:rFonts w:eastAsia="Times New Roman"/>
                <w:sz w:val="20"/>
                <w:szCs w:val="20"/>
              </w:rPr>
            </w:pPr>
            <w:r>
              <w:rPr>
                <w:rFonts w:eastAsia="Times New Roman"/>
                <w:sz w:val="20"/>
                <w:szCs w:val="20"/>
              </w:rPr>
              <w:t>6</w:t>
            </w:r>
          </w:p>
        </w:tc>
      </w:tr>
    </w:tbl>
    <w:p w:rsidR="00000000" w:rsidRDefault="003F57AF">
      <w:pPr>
        <w:pStyle w:val="a3"/>
        <w:spacing w:before="0" w:beforeAutospacing="0" w:after="0" w:afterAutospacing="0"/>
        <w:divId w:val="244078126"/>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CONSOLIDATED STATEMENTS OF CASH FLOWS (UNAUDITED)</w:t>
      </w:r>
    </w:p>
    <w:p w:rsidR="00000000" w:rsidRDefault="003F57AF">
      <w:pPr>
        <w:pStyle w:val="a3"/>
        <w:spacing w:before="0" w:beforeAutospacing="0" w:after="0" w:afterAutospacing="0"/>
        <w:jc w:val="center"/>
        <w:rPr>
          <w:sz w:val="20"/>
          <w:szCs w:val="20"/>
        </w:rPr>
      </w:pPr>
      <w:r>
        <w:rPr>
          <w:b/>
          <w:bCs/>
          <w:sz w:val="20"/>
          <w:szCs w:val="20"/>
        </w:rPr>
        <w:t>FOR THE NINE MONTHS ENDED SEPTEMBER 30, 2022 AND 2021</w:t>
      </w:r>
    </w:p>
    <w:p w:rsidR="00000000" w:rsidRDefault="003F57AF">
      <w:pPr>
        <w:pStyle w:val="a3"/>
        <w:spacing w:before="0" w:beforeAutospacing="0" w:after="0" w:afterAutospacing="0"/>
        <w:jc w:val="center"/>
        <w:rPr>
          <w:sz w:val="20"/>
          <w:szCs w:val="20"/>
        </w:rPr>
      </w:pPr>
      <w:r>
        <w:rPr>
          <w:sz w:val="20"/>
          <w:szCs w:val="20"/>
        </w:rPr>
        <w:t>($ in thousands)</w:t>
      </w:r>
    </w:p>
    <w:p w:rsidR="00000000" w:rsidRDefault="003F57AF">
      <w:pPr>
        <w:divId w:val="1428387540"/>
        <w:rPr>
          <w:rFonts w:eastAsia="Times New Roman"/>
          <w:sz w:val="2"/>
          <w:szCs w:val="2"/>
        </w:rPr>
      </w:pPr>
      <w:r>
        <w:rPr>
          <w:rFonts w:eastAsia="Times New Roman"/>
          <w:sz w:val="2"/>
          <w:szCs w:val="2"/>
        </w:rPr>
        <w:t> </w:t>
      </w:r>
    </w:p>
    <w:p w:rsidR="00000000" w:rsidRDefault="003F57AF">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Unaudited)"/>
      </w:tblPr>
      <w:tblGrid>
        <w:gridCol w:w="5311"/>
        <w:gridCol w:w="161"/>
        <w:gridCol w:w="100"/>
        <w:gridCol w:w="1158"/>
        <w:gridCol w:w="78"/>
        <w:gridCol w:w="161"/>
        <w:gridCol w:w="100"/>
        <w:gridCol w:w="1158"/>
        <w:gridCol w:w="79"/>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3F57AF">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4,933</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(686</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Adjustments to reconcile net income (loss) to net cash provided by operating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9,120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9,853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2,474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381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715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465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Provision for deferred income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Foreign exchange loss (gain)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238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460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599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3,399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4,006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Adjustment of goodwill</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(1,363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(556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Other assets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Accounts payable and other liabilities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(4,264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(6,959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cash provided by operating activities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15,103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7,210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INVESTING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(2,156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(1,992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Capitalized software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(6,967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(5,277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Cash paid for acquisitions (net)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(12,582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cash used in investing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(9,123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(19,851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FINANCING ACTIVITIES: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Preferred stock dividends paid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r>
              <w:rPr>
                <w:rFonts w:eastAsia="Times New Roman"/>
                <w:sz w:val="20"/>
                <w:szCs w:val="20"/>
              </w:rPr>
              <w:t>11,478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(10,806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(1,140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Repayments of notes payable, net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(769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(745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Stock issuance costs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6,434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Proceeds from issuance of Series B Preferred Stock, net of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30,280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Proceeds from issuance of common stock, net of expenses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2,528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Redemption of Series A Preferred Stock</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(20,005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17,500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Repayment of line of credit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(25,500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(11,144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1,272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EFFECT OF EXCHANGE RATE CHANGES ON CASH</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(309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(243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NET DECREASE IN CASH AND RESTRICTED CASH</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(5,473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(11,612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CASH AND RESTRICTED CASH - Beginning of the period</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10,340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20,925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CASH AND RESTRICTED CASH - End of the period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4,867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9,313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Preferred stock cancelled in connection with an acquisition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Dividends declared, not paid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4,040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3,843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Purchase of prepaid insurance with assumption of note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695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967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Income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237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Interest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See notes to consolidated financial statements.</w:t>
      </w:r>
    </w:p>
    <w:p w:rsidR="00000000" w:rsidRDefault="003F57AF">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64526939"/>
        </w:trPr>
        <w:tc>
          <w:tcPr>
            <w:tcW w:w="5000" w:type="pct"/>
            <w:hideMark/>
          </w:tcPr>
          <w:p w:rsidR="00000000" w:rsidRDefault="003F57AF">
            <w:pPr>
              <w:jc w:val="center"/>
              <w:rPr>
                <w:rFonts w:eastAsia="Times New Roman"/>
                <w:sz w:val="20"/>
                <w:szCs w:val="20"/>
              </w:rPr>
            </w:pPr>
            <w:r>
              <w:rPr>
                <w:rFonts w:eastAsia="Times New Roman"/>
                <w:sz w:val="20"/>
                <w:szCs w:val="20"/>
              </w:rPr>
              <w:t>7</w:t>
            </w:r>
          </w:p>
        </w:tc>
      </w:tr>
    </w:tbl>
    <w:p w:rsidR="00000000" w:rsidRDefault="003F57AF">
      <w:pPr>
        <w:pStyle w:val="a3"/>
        <w:spacing w:before="0" w:beforeAutospacing="0" w:after="0" w:afterAutospacing="0"/>
        <w:divId w:val="338041312"/>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 </w:t>
      </w:r>
    </w:p>
    <w:p w:rsidR="00000000" w:rsidRDefault="003F57AF">
      <w:pPr>
        <w:pStyle w:val="a3"/>
        <w:spacing w:before="0" w:beforeAutospacing="0" w:after="0" w:afterAutospacing="0"/>
        <w:jc w:val="center"/>
        <w:rPr>
          <w:sz w:val="20"/>
          <w:szCs w:val="20"/>
        </w:rPr>
      </w:pPr>
      <w:r>
        <w:rPr>
          <w:b/>
          <w:bCs/>
          <w:sz w:val="20"/>
          <w:szCs w:val="20"/>
        </w:rPr>
        <w:t>CARECLOUD, INC.</w:t>
      </w:r>
    </w:p>
    <w:p w:rsidR="00000000" w:rsidRDefault="003F57AF">
      <w:pPr>
        <w:pStyle w:val="a3"/>
        <w:spacing w:before="0" w:beforeAutospacing="0" w:after="0" w:afterAutospacing="0"/>
        <w:jc w:val="center"/>
        <w:rPr>
          <w:sz w:val="20"/>
          <w:szCs w:val="20"/>
        </w:rPr>
      </w:pPr>
      <w:r>
        <w:rPr>
          <w:b/>
          <w:bCs/>
          <w:sz w:val="20"/>
          <w:szCs w:val="20"/>
        </w:rPr>
        <w:t>NOTES TO CONSOLIDATED FINANCIAL STATEMENTS</w:t>
      </w:r>
    </w:p>
    <w:p w:rsidR="00000000" w:rsidRDefault="003F57AF">
      <w:pPr>
        <w:pStyle w:val="a3"/>
        <w:spacing w:before="0" w:beforeAutospacing="0" w:after="0" w:afterAutospacing="0"/>
        <w:jc w:val="center"/>
        <w:rPr>
          <w:sz w:val="20"/>
          <w:szCs w:val="20"/>
        </w:rPr>
      </w:pPr>
      <w:r>
        <w:rPr>
          <w:b/>
          <w:bCs/>
          <w:sz w:val="20"/>
          <w:szCs w:val="20"/>
        </w:rPr>
        <w:t xml:space="preserve">AS </w:t>
      </w:r>
      <w:r>
        <w:rPr>
          <w:b/>
          <w:bCs/>
          <w:sz w:val="20"/>
          <w:szCs w:val="20"/>
        </w:rPr>
        <w:t>OF AND FOR THE THREE AND NINE MONTHS ENDED SEPTEMBER 30, 2022</w:t>
      </w:r>
    </w:p>
    <w:p w:rsidR="00000000" w:rsidRDefault="003F57AF">
      <w:pPr>
        <w:pStyle w:val="a3"/>
        <w:spacing w:before="0" w:beforeAutospacing="0" w:after="0" w:afterAutospacing="0"/>
        <w:jc w:val="center"/>
        <w:rPr>
          <w:sz w:val="20"/>
          <w:szCs w:val="20"/>
        </w:rPr>
      </w:pPr>
      <w:r>
        <w:rPr>
          <w:b/>
          <w:bCs/>
          <w:sz w:val="20"/>
          <w:szCs w:val="20"/>
        </w:rPr>
        <w:t>AND 2021 (UNAUDITED)</w:t>
      </w:r>
    </w:p>
    <w:p w:rsidR="00000000" w:rsidRDefault="003F57AF">
      <w:pPr>
        <w:pStyle w:val="a3"/>
        <w:spacing w:before="0" w:beforeAutospacing="0" w:after="0" w:afterAutospacing="0"/>
        <w:ind w:left="475"/>
        <w:jc w:val="center"/>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CareCloud, Inc. (“CareCloud”, and together with its consolidated subsidiaries, the “Company,” “we,” “us” and/or “our”</w:t>
      </w:r>
      <w:r>
        <w:rPr>
          <w:sz w:val="20"/>
          <w:szCs w:val="20"/>
        </w:rPr>
        <w:t>) is a healthcare information technology company that provides a full suite of proprietary cloud-based solutions, together with related business services, to healthcare providers and hospitals throughout the United States. The Company’s integrated services</w:t>
      </w:r>
      <w:r>
        <w:rPr>
          <w:sz w:val="20"/>
          <w:szCs w:val="20"/>
        </w:rPr>
        <w:t xml:space="preserve"> are designed to help customers increase revenues, streamline workflows and make better business and clinical decisions, while reducing administrative burdens and operating costs. Our Software-as-a-Service (“SaaS”) platform includes revenue cycle managemen</w:t>
      </w:r>
      <w:r>
        <w:rPr>
          <w:sz w:val="20"/>
          <w:szCs w:val="20"/>
        </w:rPr>
        <w:t>t (“RCM”), practice management (“PM”), electronic health record (“EHR”), business intelligence, telehealth, patient experience management (“PXM”) solutions and complementary software tools and business services for high-performance medical groups and healt</w:t>
      </w:r>
      <w:r>
        <w:rPr>
          <w:sz w:val="20"/>
          <w:szCs w:val="20"/>
        </w:rPr>
        <w:t>h systems. CareCloud has its corporate offices in Somerset, New Jersey and maintains client support teams throughout the U.S., and offshore offices in Pakistan and Azad Jammu and Kashmir, a region administered by Pakistan (the “Pakistan Offices”), and in S</w:t>
      </w:r>
      <w:r>
        <w:rPr>
          <w:sz w:val="20"/>
          <w:szCs w:val="20"/>
        </w:rPr>
        <w:t>ri Lanka.</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caps/>
          <w:sz w:val="20"/>
          <w:szCs w:val="20"/>
        </w:rPr>
      </w:pPr>
      <w:r>
        <w:rPr>
          <w:sz w:val="20"/>
          <w:szCs w:val="20"/>
        </w:rPr>
        <w:t>CareCloud was founded in 1999 under the name Medical Transcription Billing, Corp. and incorporated under the laws of the State of Delaware in 2001. In 2004, the Company formed MTBC Private Limited (or “MTBC Pvt. Ltd.”), a</w:t>
      </w:r>
      <w:r>
        <w:rPr>
          <w:sz w:val="20"/>
          <w:szCs w:val="20"/>
        </w:rPr>
        <w:t xml:space="preserve"> </w:t>
      </w:r>
      <w:r>
        <w:rPr>
          <w:sz w:val="20"/>
          <w:szCs w:val="20"/>
        </w:rPr>
        <w:t>99.9</w:t>
      </w:r>
      <w:r>
        <w:rPr>
          <w:sz w:val="20"/>
          <w:szCs w:val="20"/>
        </w:rPr>
        <w:t>%</w:t>
      </w:r>
      <w:r>
        <w:rPr>
          <w:sz w:val="20"/>
          <w:szCs w:val="20"/>
        </w:rPr>
        <w:t xml:space="preserve"> majority-owned s</w:t>
      </w:r>
      <w:r>
        <w:rPr>
          <w:sz w:val="20"/>
          <w:szCs w:val="20"/>
        </w:rPr>
        <w:t>ubsidiary of CareCloud based in Pakistan. The remaining</w:t>
      </w:r>
      <w:r>
        <w:rPr>
          <w:sz w:val="20"/>
          <w:szCs w:val="20"/>
        </w:rPr>
        <w:t xml:space="preserve"> </w:t>
      </w:r>
      <w:r>
        <w:rPr>
          <w:sz w:val="20"/>
          <w:szCs w:val="20"/>
        </w:rPr>
        <w:t>0.1</w:t>
      </w:r>
      <w:r>
        <w:rPr>
          <w:sz w:val="20"/>
          <w:szCs w:val="20"/>
        </w:rPr>
        <w:t>%</w:t>
      </w:r>
      <w:r>
        <w:rPr>
          <w:sz w:val="20"/>
          <w:szCs w:val="20"/>
        </w:rPr>
        <w:t xml:space="preserve"> of the shares of MTBC Pvt. Ltd. is equally owned by the founder and Executive Chairman of CareCloud and a local employee who is also a director of this entity. Effective April 1, 2022, the Compan</w:t>
      </w:r>
      <w:r>
        <w:rPr>
          <w:sz w:val="20"/>
          <w:szCs w:val="20"/>
        </w:rPr>
        <w:t>y formed MTBC Bagh Private Limited (or “MTBC Bagh Pvt. Ltd.”), a</w:t>
      </w:r>
      <w:r>
        <w:rPr>
          <w:sz w:val="20"/>
          <w:szCs w:val="20"/>
        </w:rPr>
        <w:t xml:space="preserve"> </w:t>
      </w:r>
      <w:r>
        <w:rPr>
          <w:sz w:val="20"/>
          <w:szCs w:val="20"/>
        </w:rPr>
        <w:t>99.8</w:t>
      </w:r>
      <w:r>
        <w:rPr>
          <w:sz w:val="20"/>
          <w:szCs w:val="20"/>
        </w:rPr>
        <w:t>%</w:t>
      </w:r>
      <w:r>
        <w:rPr>
          <w:sz w:val="20"/>
          <w:szCs w:val="20"/>
        </w:rPr>
        <w:t xml:space="preserve"> majority-owned subsidiary of CareCloud based in Azad Jammu and Kashmir, a region administered by Pakistan. The remaining</w:t>
      </w:r>
      <w:r>
        <w:rPr>
          <w:sz w:val="20"/>
          <w:szCs w:val="20"/>
        </w:rPr>
        <w:t xml:space="preserve"> </w:t>
      </w:r>
      <w:r>
        <w:rPr>
          <w:sz w:val="20"/>
          <w:szCs w:val="20"/>
        </w:rPr>
        <w:t>0.2</w:t>
      </w:r>
      <w:r>
        <w:rPr>
          <w:sz w:val="20"/>
          <w:szCs w:val="20"/>
        </w:rPr>
        <w:t>%</w:t>
      </w:r>
      <w:r>
        <w:rPr>
          <w:sz w:val="20"/>
          <w:szCs w:val="20"/>
        </w:rPr>
        <w:t xml:space="preserve"> of the shares of MTBC Bagh Pvt. Ltd. is equally owned by th</w:t>
      </w:r>
      <w:r>
        <w:rPr>
          <w:sz w:val="20"/>
          <w:szCs w:val="20"/>
        </w:rPr>
        <w:t>e founder and Executive Chairman of CareCloud and the same director/employee as above. In 2016, the Company formed MTBC Acquisition Corp. (“MAC”), a Delaware corporation, in connection with its acquisition of substantially all of the assets of MediGain, LL</w:t>
      </w:r>
      <w:r>
        <w:rPr>
          <w:sz w:val="20"/>
          <w:szCs w:val="20"/>
        </w:rPr>
        <w:t>C and its subsidiary, Millennium Practice Management Associates, LLC (together “MediGain”). MAC has a wholly owned subsidiary in Sri Lanka, RCM MediGain Colombo, Pvt. Ltd. In May 2018, the Company formed CareCloud Practice Management, Corp. (“CPM”), a Dela</w:t>
      </w:r>
      <w:r>
        <w:rPr>
          <w:sz w:val="20"/>
          <w:szCs w:val="20"/>
        </w:rPr>
        <w:t>ware corporation, to operate the medical practice management business acquired from Orion Healthcorp.</w:t>
      </w:r>
    </w:p>
    <w:p w:rsidR="00000000" w:rsidRDefault="003F57AF">
      <w:pPr>
        <w:pStyle w:val="a3"/>
        <w:spacing w:before="0" w:beforeAutospacing="0" w:after="0" w:afterAutospacing="0"/>
        <w:jc w:val="both"/>
        <w:rPr>
          <w:caps/>
          <w:sz w:val="20"/>
          <w:szCs w:val="20"/>
        </w:rPr>
      </w:pPr>
      <w:r>
        <w:rPr>
          <w:sz w:val="20"/>
          <w:szCs w:val="20"/>
        </w:rPr>
        <w:t> </w:t>
      </w:r>
    </w:p>
    <w:p w:rsidR="00000000" w:rsidRDefault="003F57AF">
      <w:pPr>
        <w:pStyle w:val="a3"/>
        <w:spacing w:before="0" w:beforeAutospacing="0" w:after="0" w:afterAutospacing="0"/>
        <w:jc w:val="both"/>
        <w:rPr>
          <w:caps/>
          <w:sz w:val="20"/>
          <w:szCs w:val="20"/>
        </w:rPr>
      </w:pPr>
      <w:r>
        <w:rPr>
          <w:sz w:val="20"/>
          <w:szCs w:val="20"/>
        </w:rPr>
        <w:t xml:space="preserve">In </w:t>
      </w:r>
      <w:r>
        <w:rPr>
          <w:sz w:val="20"/>
          <w:szCs w:val="20"/>
        </w:rPr>
        <w:t>January 2020, the Company purchased CareCloud Corporation, a company whose name we took. That company is now known as CareCloud Health, Inc. (“CCH”). In June 2020, the Company purchased Meridian Billing Management Co. and its affiliate Origin Holdings, Inc</w:t>
      </w:r>
      <w:r>
        <w:rPr>
          <w:sz w:val="20"/>
          <w:szCs w:val="20"/>
        </w:rPr>
        <w:t>. (collectively “Meridian” and sometimes referred to as “Meridian Medical Management”). Both companies were subsequently merged and the surviving company was renamed Meridian Medical Management, Inc.</w:t>
      </w:r>
    </w:p>
    <w:p w:rsidR="00000000" w:rsidRDefault="003F57AF">
      <w:pPr>
        <w:pStyle w:val="a3"/>
        <w:spacing w:before="0" w:beforeAutospacing="0" w:after="0" w:afterAutospacing="0"/>
        <w:jc w:val="both"/>
        <w:rPr>
          <w:caps/>
          <w:sz w:val="20"/>
          <w:szCs w:val="20"/>
        </w:rPr>
      </w:pPr>
      <w:r>
        <w:rPr>
          <w:sz w:val="20"/>
          <w:szCs w:val="20"/>
        </w:rPr>
        <w:t> </w:t>
      </w:r>
    </w:p>
    <w:p w:rsidR="00000000" w:rsidRDefault="003F57AF">
      <w:pPr>
        <w:pStyle w:val="a3"/>
        <w:spacing w:before="0" w:beforeAutospacing="0" w:after="0" w:afterAutospacing="0"/>
        <w:jc w:val="both"/>
        <w:rPr>
          <w:caps/>
          <w:sz w:val="20"/>
          <w:szCs w:val="20"/>
        </w:rPr>
      </w:pPr>
      <w:r>
        <w:rPr>
          <w:sz w:val="20"/>
          <w:szCs w:val="20"/>
        </w:rPr>
        <w:t>During March 2021, the Company formed a new wholly-own</w:t>
      </w:r>
      <w:r>
        <w:rPr>
          <w:sz w:val="20"/>
          <w:szCs w:val="20"/>
        </w:rPr>
        <w:t>ed subsidiary, CareCloud Acquisition, Corp. (“CAC”). In June 2021, CAC purchased certain assets and assumed certain liabilities of MedMatica Consulting Associates Inc., (“MedMatica”) and purchased the stock of Santa Rosa Staffing, Inc., (“SRS”). The assets</w:t>
      </w:r>
      <w:r>
        <w:rPr>
          <w:sz w:val="20"/>
          <w:szCs w:val="20"/>
        </w:rPr>
        <w:t xml:space="preserve"> and liabilities of MedMatica were merged into SRS and the company was renamed medSR, Inc. (“medSR”). See Note 3.</w:t>
      </w:r>
    </w:p>
    <w:p w:rsidR="00000000" w:rsidRDefault="003F57AF">
      <w:pPr>
        <w:pStyle w:val="a3"/>
        <w:spacing w:before="0" w:beforeAutospacing="0" w:after="0" w:afterAutospacing="0"/>
        <w:jc w:val="both"/>
        <w:rPr>
          <w:caps/>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2.</w:t>
      </w:r>
      <w:r>
        <w:rPr>
          <w:b/>
          <w:bCs/>
          <w:caps/>
          <w:sz w:val="20"/>
          <w:szCs w:val="20"/>
        </w:rPr>
        <w:t xml:space="preserve"> </w:t>
      </w:r>
      <w:r>
        <w:rPr>
          <w:b/>
          <w:bCs/>
          <w:caps/>
          <w:sz w:val="20"/>
          <w:szCs w:val="20"/>
        </w:rPr>
        <w:t>BASIS OF PRESENTATIO</w:t>
      </w:r>
      <w:r>
        <w:rPr>
          <w:b/>
          <w:bCs/>
          <w:caps/>
          <w:sz w:val="20"/>
          <w:szCs w:val="20"/>
        </w:rPr>
        <w:t>N</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The accompanying unaudited consolidated financial statements have been prepared in accordance with accounting pri</w:t>
      </w:r>
      <w:r>
        <w:rPr>
          <w:sz w:val="20"/>
          <w:szCs w:val="20"/>
        </w:rPr>
        <w:t>nciples generally accepted in the United States of America (“GAAP”) for interim financial reporting and as required by Regulation S-X, Rule 8-03. Accordingly, they do not include all of the information and notes required by GAAP for complete financial stat</w:t>
      </w:r>
      <w:r>
        <w:rPr>
          <w:sz w:val="20"/>
          <w:szCs w:val="20"/>
        </w:rPr>
        <w:t xml:space="preserve">ements. In the opinion of the Company’s management, the accompanying unaudited consolidated financial statements contain all adjustments (consisting of items of a normal and recurring nature) necessary to present fairly the Company’s financial position as </w:t>
      </w:r>
      <w:r>
        <w:rPr>
          <w:sz w:val="20"/>
          <w:szCs w:val="20"/>
        </w:rPr>
        <w:t xml:space="preserve">of September 30, 2022, the results of operations for the three and nine months ended September 30, 2022 and 2021 and cash flows for the nine months ended September 30, 2022 and 2021. When preparing financial statements in conformity with GAAP, the Company </w:t>
      </w:r>
      <w:r>
        <w:rPr>
          <w:sz w:val="20"/>
          <w:szCs w:val="20"/>
        </w:rPr>
        <w:t>must make estimates and assumptions that affect the reported amounts of assets and liabilities, disclosure of contingent assets and liabilities at the date of the financial statements and the reported amounts of revenues and expenses during the reporting p</w:t>
      </w:r>
      <w:r>
        <w:rPr>
          <w:sz w:val="20"/>
          <w:szCs w:val="20"/>
        </w:rPr>
        <w:t>eriod. Actual results could differ significantly from those estimates. The consolidated financial statements include the accounts of the Company and its wholly owned subsidiaries. All intercompany balances and transactions have been eliminated in consolida</w:t>
      </w:r>
      <w:r>
        <w:rPr>
          <w:sz w:val="20"/>
          <w:szCs w:val="20"/>
        </w:rPr>
        <w:t>tion.</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1114009"/>
        </w:trPr>
        <w:tc>
          <w:tcPr>
            <w:tcW w:w="5000" w:type="pct"/>
            <w:hideMark/>
          </w:tcPr>
          <w:p w:rsidR="00000000" w:rsidRDefault="003F57AF">
            <w:pPr>
              <w:jc w:val="center"/>
              <w:rPr>
                <w:rFonts w:eastAsia="Times New Roman"/>
                <w:sz w:val="20"/>
                <w:szCs w:val="20"/>
              </w:rPr>
            </w:pPr>
            <w:r>
              <w:rPr>
                <w:rFonts w:eastAsia="Times New Roman"/>
                <w:sz w:val="20"/>
                <w:szCs w:val="20"/>
              </w:rPr>
              <w:t>8</w:t>
            </w:r>
          </w:p>
        </w:tc>
      </w:tr>
    </w:tbl>
    <w:p w:rsidR="00000000" w:rsidRDefault="003F57AF">
      <w:pPr>
        <w:pStyle w:val="a3"/>
        <w:spacing w:before="0" w:beforeAutospacing="0" w:after="0" w:afterAutospacing="0"/>
        <w:divId w:val="2094349585"/>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accompanying unaudited consolidated financial statements and notes thereto should be read in conjunction with the audited consolidated financial statements for the year ended December 31, 2021, which are included in the Company’s Annual </w:t>
      </w:r>
      <w:r>
        <w:rPr>
          <w:sz w:val="20"/>
          <w:szCs w:val="20"/>
        </w:rPr>
        <w:t>Report on Form 10-K, filed with the SEC on March 14, 2022.</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i/>
          <w:iCs/>
          <w:sz w:val="20"/>
          <w:szCs w:val="20"/>
        </w:rPr>
        <w:t>Recent Accounting Pronouncement</w:t>
      </w:r>
      <w:r>
        <w:rPr>
          <w:b/>
          <w:bCs/>
          <w:i/>
          <w:iCs/>
          <w:sz w:val="20"/>
          <w:szCs w:val="20"/>
        </w:rPr>
        <w:t>s</w:t>
      </w:r>
      <w:r>
        <w:rPr>
          <w:sz w:val="20"/>
          <w:szCs w:val="20"/>
        </w:rPr>
        <w:t xml:space="preserve"> — From time to time, new accounting pronouncements are issued by the Financial Accounting Standards Board (“FASB”) and are adopted by us as of the specified effec</w:t>
      </w:r>
      <w:r>
        <w:rPr>
          <w:sz w:val="20"/>
          <w:szCs w:val="20"/>
        </w:rPr>
        <w:t>tive date. Unless otherwise discussed, we believe that the impact of recently adopted and recently issued accounting pronouncements will not have a material impact on our consolidated financial position, results of operations and cash flows.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In June 2016</w:t>
      </w:r>
      <w:r>
        <w:rPr>
          <w:sz w:val="20"/>
          <w:szCs w:val="20"/>
        </w:rPr>
        <w:t xml:space="preserve">, the FASB issued ASU 2016-13, including subsequent codification improvements, </w:t>
      </w:r>
      <w:r>
        <w:rPr>
          <w:i/>
          <w:iCs/>
          <w:sz w:val="20"/>
          <w:szCs w:val="20"/>
        </w:rPr>
        <w:t xml:space="preserve">Financial Instruments – Credit Losses: Measurement of Credit Losses on Financial Instruments. </w:t>
      </w:r>
      <w:r>
        <w:rPr>
          <w:sz w:val="20"/>
          <w:szCs w:val="20"/>
        </w:rPr>
        <w:t>The guidance in Accounting Standards Update (“ASU”) 2016-13 replaces the incurred l</w:t>
      </w:r>
      <w:r>
        <w:rPr>
          <w:sz w:val="20"/>
          <w:szCs w:val="20"/>
        </w:rPr>
        <w:t>oss impairment methodology under current GAAP. The new impairment model requires immediate recognition of estimated credit losses expected to occur for most financial assets and certain other instruments. It will apply to all entities. For trade receivable</w:t>
      </w:r>
      <w:r>
        <w:rPr>
          <w:sz w:val="20"/>
          <w:szCs w:val="20"/>
        </w:rPr>
        <w:t>s, loans and held-to-maturity debt securities, entities will be required to estimate lifetime expected credit losses. This may result in the earlier recognition of credit losses. In November 2019, the FASB issued ASU No. 2019-10, which delays this standard</w:t>
      </w:r>
      <w:r>
        <w:rPr>
          <w:sz w:val="20"/>
          <w:szCs w:val="20"/>
        </w:rPr>
        <w:t>’s effective date for SEC smaller reporting companies to the fiscal years beginning on or after December 15, 2022. The Company is in the process of determining if this update will have a significant impact on the consolidated financial statements.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 </w:t>
      </w:r>
      <w:r>
        <w:rPr>
          <w:sz w:val="20"/>
          <w:szCs w:val="20"/>
        </w:rPr>
        <w:t xml:space="preserve">August 2020, the FASB issued ASU 2020-06, </w:t>
      </w:r>
      <w:r>
        <w:rPr>
          <w:i/>
          <w:iCs/>
          <w:sz w:val="20"/>
          <w:szCs w:val="20"/>
        </w:rPr>
        <w:t>Debt—Debt with Conversion and Other Options (Subtopic 470-20) and Derivatives and Hedging—Contracts in Entity’s Own Equity (Subtopic 815-40).</w:t>
      </w:r>
      <w:r>
        <w:rPr>
          <w:sz w:val="20"/>
          <w:szCs w:val="20"/>
        </w:rPr>
        <w:t xml:space="preserve"> This ASU simplifies the accounting for certain financial instruments wit</w:t>
      </w:r>
      <w:r>
        <w:rPr>
          <w:sz w:val="20"/>
          <w:szCs w:val="20"/>
        </w:rPr>
        <w:t>h characteristics of liabilities and equity, including convertible instruments and contracts on an entity’s own equity. The Company adopted this guidance effective January 1, 2022. There was no impact on the consolidated financial statements as a result of</w:t>
      </w:r>
      <w:r>
        <w:rPr>
          <w:sz w:val="20"/>
          <w:szCs w:val="20"/>
        </w:rPr>
        <w:t xml:space="preserve"> this standard.</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 October 2021, the FASB issued ASU 2021-08, </w:t>
      </w:r>
      <w:r>
        <w:rPr>
          <w:i/>
          <w:iCs/>
          <w:sz w:val="20"/>
          <w:szCs w:val="20"/>
        </w:rPr>
        <w:t>Business Combinations (Topic 805) – Accounting for Contract Assets and Contract Liabilities from Contracts with Customers.</w:t>
      </w:r>
      <w:r>
        <w:rPr>
          <w:sz w:val="20"/>
          <w:szCs w:val="20"/>
        </w:rPr>
        <w:t xml:space="preserve"> The amendments in this update require acquiring entities to apply Top</w:t>
      </w:r>
      <w:r>
        <w:rPr>
          <w:sz w:val="20"/>
          <w:szCs w:val="20"/>
        </w:rPr>
        <w:t>ic 606 to recognize and measure contract assets and contract liabilities in a business combination. The amendments are effective for public business entities for fiscal years beginning after December 15, 2022. The Company is in the process of determining i</w:t>
      </w:r>
      <w:r>
        <w:rPr>
          <w:sz w:val="20"/>
          <w:szCs w:val="20"/>
        </w:rPr>
        <w:t>f this update will have a significant impact on its consolidated financial statements.</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1565752"/>
        </w:trPr>
        <w:tc>
          <w:tcPr>
            <w:tcW w:w="5000" w:type="pct"/>
            <w:hideMark/>
          </w:tcPr>
          <w:p w:rsidR="00000000" w:rsidRDefault="003F57AF">
            <w:pPr>
              <w:jc w:val="center"/>
              <w:rPr>
                <w:rFonts w:eastAsia="Times New Roman"/>
                <w:sz w:val="20"/>
                <w:szCs w:val="20"/>
              </w:rPr>
            </w:pPr>
            <w:r>
              <w:rPr>
                <w:rFonts w:eastAsia="Times New Roman"/>
                <w:sz w:val="20"/>
                <w:szCs w:val="20"/>
              </w:rPr>
              <w:t>9</w:t>
            </w:r>
          </w:p>
        </w:tc>
      </w:tr>
    </w:tbl>
    <w:p w:rsidR="00000000" w:rsidRDefault="003F57AF">
      <w:pPr>
        <w:pStyle w:val="a3"/>
        <w:spacing w:before="0" w:beforeAutospacing="0" w:after="0" w:afterAutospacing="0"/>
        <w:divId w:val="1828471828"/>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b/>
          <w:bCs/>
          <w:sz w:val="20"/>
          <w:szCs w:val="20"/>
          <w:u w:val="single"/>
        </w:rPr>
        <w:t>2021 Acquisition</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 xml:space="preserve">On June 1, 2021, CAC entered into an Asset and Stock Purchase Agreement (“Purchase Agreement”) with MedMatica and its sole </w:t>
      </w:r>
      <w:r>
        <w:rPr>
          <w:sz w:val="20"/>
          <w:szCs w:val="20"/>
        </w:rPr>
        <w:t>shareholder. Pursuant to the Purchase Agreement, CAC acquired (i) all of the issued and outstanding capital stock of SRS, a Delaware corporation, and (ii) all of the MedMatica assets that were used in MedMatica’s and SRS’ business. Certain MedMatica liabil</w:t>
      </w:r>
      <w:r>
        <w:rPr>
          <w:sz w:val="20"/>
          <w:szCs w:val="20"/>
        </w:rPr>
        <w:t xml:space="preserve">ities were also assumed under the Purchase Agreement. The total cash consideration was </w:t>
      </w:r>
      <w:r>
        <w:rPr>
          <w:sz w:val="20"/>
          <w:szCs w:val="20"/>
        </w:rPr>
        <w:t>$</w:t>
      </w:r>
      <w:r>
        <w:rPr>
          <w:sz w:val="20"/>
          <w:szCs w:val="20"/>
        </w:rPr>
        <w:t>1</w:t>
      </w:r>
      <w:r>
        <w:rPr>
          <w:sz w:val="20"/>
          <w:szCs w:val="20"/>
        </w:rPr>
        <w:t>0</w:t>
      </w:r>
      <w:r>
        <w:rPr>
          <w:sz w:val="20"/>
          <w:szCs w:val="20"/>
        </w:rPr>
        <w:t xml:space="preserve"> million plus a working capital adjustment of approximately </w:t>
      </w:r>
      <w:r>
        <w:rPr>
          <w:sz w:val="20"/>
          <w:szCs w:val="20"/>
        </w:rPr>
        <w:t>$</w:t>
      </w:r>
      <w:r>
        <w:rPr>
          <w:sz w:val="20"/>
          <w:szCs w:val="20"/>
        </w:rPr>
        <w:t>3.</w:t>
      </w:r>
      <w:r>
        <w:rPr>
          <w:sz w:val="20"/>
          <w:szCs w:val="20"/>
        </w:rPr>
        <w:t>8</w:t>
      </w:r>
      <w:r>
        <w:rPr>
          <w:sz w:val="20"/>
          <w:szCs w:val="20"/>
        </w:rPr>
        <w:t xml:space="preserve"> million. The Purchase Agreement also provides that if during the 18-month period commencing on June 1</w:t>
      </w:r>
      <w:r>
        <w:rPr>
          <w:sz w:val="20"/>
          <w:szCs w:val="20"/>
        </w:rPr>
        <w:t xml:space="preserve">, 2021 (the “Earn-Out Period”), certain EBITDA and revenue targets with respect to the assets and capital stock purchased under the Purchase Agreement are achieved, then CAC shall pay MedMatica an earn-out up to a maximum of </w:t>
      </w:r>
      <w:r>
        <w:rPr>
          <w:sz w:val="20"/>
          <w:szCs w:val="20"/>
        </w:rPr>
        <w:t>$</w:t>
      </w:r>
      <w:r>
        <w:rPr>
          <w:sz w:val="20"/>
          <w:szCs w:val="20"/>
        </w:rPr>
        <w:t>8</w:t>
      </w:r>
      <w:r>
        <w:rPr>
          <w:sz w:val="20"/>
          <w:szCs w:val="20"/>
        </w:rPr>
        <w:t xml:space="preserve"> million. Further, if during </w:t>
      </w:r>
      <w:r>
        <w:rPr>
          <w:sz w:val="20"/>
          <w:szCs w:val="20"/>
        </w:rPr>
        <w:t xml:space="preserve">the Earn-Out Period, certain additional and increased EBITDA and revenue targets with respect to the assets and capital stock purchased under the Purchase Agreement are achieved, then CAC shall pay MedMatica an additional earn-out, up to a maximum of </w:t>
      </w:r>
      <w:r>
        <w:rPr>
          <w:sz w:val="20"/>
          <w:szCs w:val="20"/>
        </w:rPr>
        <w:t>$</w:t>
      </w:r>
      <w:r>
        <w:rPr>
          <w:sz w:val="20"/>
          <w:szCs w:val="20"/>
        </w:rPr>
        <w:t>5</w:t>
      </w:r>
      <w:r>
        <w:rPr>
          <w:sz w:val="20"/>
          <w:szCs w:val="20"/>
        </w:rPr>
        <w:t xml:space="preserve"> mi</w:t>
      </w:r>
      <w:r>
        <w:rPr>
          <w:sz w:val="20"/>
          <w:szCs w:val="20"/>
        </w:rPr>
        <w:t>llion.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MedMatica and SRS were in the business of providing a broad range of specialty consulting services to hospitals and large healthcare groups, including certain consulting services related to healthcare IT application services and implementations, m</w:t>
      </w:r>
      <w:r>
        <w:rPr>
          <w:sz w:val="20"/>
          <w:szCs w:val="20"/>
        </w:rPr>
        <w:t>edical practice management, and revenue cycle management. The acquisition has been accounted for as a business combination.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 summary of the total consideration is as follows:</w:t>
      </w:r>
    </w:p>
    <w:p w:rsidR="00000000" w:rsidRDefault="003F57AF">
      <w:pPr>
        <w:pStyle w:val="a3"/>
        <w:spacing w:before="0" w:beforeAutospacing="0" w:after="0" w:afterAutospacing="0"/>
        <w:jc w:val="both"/>
        <w:rPr>
          <w:sz w:val="20"/>
          <w:szCs w:val="20"/>
        </w:rPr>
      </w:pPr>
      <w:r>
        <w:rPr>
          <w:sz w:val="20"/>
          <w:szCs w:val="20"/>
        </w:rPr>
        <w:t> </w:t>
      </w:r>
      <w:r>
        <w:rPr>
          <w:vanish/>
          <w:sz w:val="20"/>
          <w:szCs w:val="20"/>
        </w:rPr>
        <w:t xml:space="preserve">SUMMARY </w:t>
      </w:r>
      <w:r>
        <w:rPr>
          <w:vanish/>
          <w:sz w:val="20"/>
          <w:szCs w:val="20"/>
        </w:rPr>
        <w:t>OF TOTAL CONSIDERATION ON BUSINESS CONSIDERATIO</w:t>
      </w:r>
      <w:r>
        <w:rPr>
          <w:vanish/>
          <w:sz w:val="20"/>
          <w:szCs w:val="20"/>
        </w:rPr>
        <w:t>N</w:t>
      </w:r>
    </w:p>
    <w:tbl>
      <w:tblPr>
        <w:tblW w:w="3500" w:type="pct"/>
        <w:tblCellMar>
          <w:left w:w="0" w:type="dxa"/>
          <w:right w:w="0" w:type="dxa"/>
        </w:tblCellMar>
        <w:tblLook w:val="04A0" w:firstRow="1" w:lastRow="0" w:firstColumn="1" w:lastColumn="0" w:noHBand="0" w:noVBand="1"/>
      </w:tblPr>
      <w:tblGrid>
        <w:gridCol w:w="4407"/>
        <w:gridCol w:w="104"/>
        <w:gridCol w:w="100"/>
        <w:gridCol w:w="1153"/>
        <w:gridCol w:w="50"/>
      </w:tblGrid>
      <w:tr w:rsidR="00000000">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u w:val="single"/>
              </w:rPr>
              <w:t>medSR Purchase Price</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3F57AF">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5,605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purchase price allocation.</w:t>
      </w:r>
    </w:p>
    <w:p w:rsidR="00000000" w:rsidRDefault="003F57AF">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w:t>
      </w:r>
      <w:r>
        <w:rPr>
          <w:vanish/>
          <w:sz w:val="20"/>
          <w:szCs w:val="20"/>
        </w:rPr>
        <w:t>E</w:t>
      </w:r>
      <w:r>
        <w:rPr>
          <w:vanish/>
          <w:sz w:val="20"/>
          <w:szCs w:val="20"/>
        </w:rPr>
        <w:t>D</w:t>
      </w:r>
    </w:p>
    <w:tbl>
      <w:tblPr>
        <w:tblW w:w="3500" w:type="pct"/>
        <w:tblCellMar>
          <w:left w:w="0" w:type="dxa"/>
          <w:right w:w="0" w:type="dxa"/>
        </w:tblCellMar>
        <w:tblLook w:val="04A0" w:firstRow="1" w:lastRow="0" w:firstColumn="1" w:lastColumn="0" w:noHBand="0" w:noVBand="1"/>
      </w:tblPr>
      <w:tblGrid>
        <w:gridCol w:w="4401"/>
        <w:gridCol w:w="99"/>
        <w:gridCol w:w="101"/>
        <w:gridCol w:w="1146"/>
        <w:gridCol w:w="67"/>
      </w:tblGrid>
      <w:tr w:rsidR="00000000">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3F57AF">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2,696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2,491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11,931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acquired accounts receivable is recorded at fair value, which represents amounts that have subsequently been paid or were expected to be paid by clients. The fair value of customer relationships was based on the estimated discounted cash flows generated by</w:t>
      </w:r>
      <w:r>
        <w:rPr>
          <w:sz w:val="20"/>
          <w:szCs w:val="20"/>
        </w:rPr>
        <w:t xml:space="preserve"> these intangibles. The goodwill represents the Company’s ability to have an expanded local presence in additional markets and operational synergies that we expect to achieve that would not be available to other market participants. The goodwill from this </w:t>
      </w:r>
      <w:r>
        <w:rPr>
          <w:sz w:val="20"/>
          <w:szCs w:val="20"/>
        </w:rPr>
        <w:t>acquisition is deductible ratably for income tax purposes over fifteen years. The purchase agreement provides that if revenue and EBITDA over the next 18 months exceeds certain specified amounts, there will be an earn-out payment to the seller equal to suc</w:t>
      </w:r>
      <w:r>
        <w:rPr>
          <w:sz w:val="20"/>
          <w:szCs w:val="20"/>
        </w:rPr>
        <w:t xml:space="preserve">h excess, up to </w:t>
      </w:r>
      <w:r>
        <w:rPr>
          <w:sz w:val="20"/>
          <w:szCs w:val="20"/>
        </w:rPr>
        <w:t>$</w:t>
      </w:r>
      <w:r>
        <w:rPr>
          <w:sz w:val="20"/>
          <w:szCs w:val="20"/>
        </w:rPr>
        <w:t>1</w:t>
      </w:r>
      <w:r>
        <w:rPr>
          <w:sz w:val="20"/>
          <w:szCs w:val="20"/>
        </w:rPr>
        <w:t>3</w:t>
      </w:r>
      <w:r>
        <w:rPr>
          <w:sz w:val="20"/>
          <w:szCs w:val="20"/>
        </w:rPr>
        <w:t xml:space="preserve"> million. It was estimated that the probable payment will be approximately </w:t>
      </w:r>
      <w:r>
        <w:rPr>
          <w:sz w:val="20"/>
          <w:szCs w:val="20"/>
        </w:rPr>
        <w:t>$</w:t>
      </w:r>
      <w:r>
        <w:rPr>
          <w:sz w:val="20"/>
          <w:szCs w:val="20"/>
        </w:rPr>
        <w:t>5.</w:t>
      </w:r>
      <w:r>
        <w:rPr>
          <w:sz w:val="20"/>
          <w:szCs w:val="20"/>
        </w:rPr>
        <w:t>6</w:t>
      </w:r>
      <w:r>
        <w:rPr>
          <w:sz w:val="20"/>
          <w:szCs w:val="20"/>
        </w:rPr>
        <w:t xml:space="preserve"> million and this amount was recorded as part of the purchase price allocation as contingent consideration. At September 30, 2022 and December 31, 2021, the C</w:t>
      </w:r>
      <w:r>
        <w:rPr>
          <w:sz w:val="20"/>
          <w:szCs w:val="20"/>
        </w:rPr>
        <w:t xml:space="preserve">ompany determined that the fair value of the contingent consideration was approximately </w:t>
      </w:r>
      <w:r>
        <w:rPr>
          <w:sz w:val="20"/>
          <w:szCs w:val="20"/>
        </w:rPr>
        <w:t>$</w:t>
      </w:r>
      <w:r>
        <w:rPr>
          <w:sz w:val="20"/>
          <w:szCs w:val="20"/>
        </w:rPr>
        <w:t>200,00</w:t>
      </w:r>
      <w:r>
        <w:rPr>
          <w:sz w:val="20"/>
          <w:szCs w:val="20"/>
        </w:rPr>
        <w:t>0</w:t>
      </w:r>
      <w:r>
        <w:rPr>
          <w:sz w:val="20"/>
          <w:szCs w:val="20"/>
        </w:rPr>
        <w:t xml:space="preserve"> and </w:t>
      </w:r>
      <w:r>
        <w:rPr>
          <w:sz w:val="20"/>
          <w:szCs w:val="20"/>
        </w:rPr>
        <w:t>$</w:t>
      </w:r>
      <w:r>
        <w:rPr>
          <w:sz w:val="20"/>
          <w:szCs w:val="20"/>
        </w:rPr>
        <w:t>3.</w:t>
      </w:r>
      <w:r>
        <w:rPr>
          <w:sz w:val="20"/>
          <w:szCs w:val="20"/>
        </w:rPr>
        <w:t>1</w:t>
      </w:r>
      <w:r>
        <w:rPr>
          <w:sz w:val="20"/>
          <w:szCs w:val="20"/>
        </w:rPr>
        <w:t xml:space="preserve"> million, respectively, based in part on the actual operating results since the acquisition. The difference in the contingent consideration between Dec</w:t>
      </w:r>
      <w:r>
        <w:rPr>
          <w:sz w:val="20"/>
          <w:szCs w:val="20"/>
        </w:rPr>
        <w:t>ember 31, 2021 and September 30, 2022 has been recorded as a change in contingent consideration in the consolidated statements of operations.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640910"/>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3F57AF">
      <w:pPr>
        <w:pStyle w:val="a3"/>
        <w:spacing w:before="0" w:beforeAutospacing="0" w:after="0" w:afterAutospacing="0"/>
        <w:divId w:val="907376123"/>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w:t>
      </w:r>
      <w:r>
        <w:rPr>
          <w:sz w:val="20"/>
          <w:szCs w:val="20"/>
        </w:rPr>
        <w:t>5</w:t>
      </w:r>
      <w:r>
        <w:rPr>
          <w:sz w:val="20"/>
          <w:szCs w:val="20"/>
        </w:rPr>
        <w:t xml:space="preserve"> million of the purchase price was held in escrow, which represented </w:t>
      </w:r>
      <w:r>
        <w:rPr>
          <w:sz w:val="20"/>
          <w:szCs w:val="20"/>
        </w:rPr>
        <w:t>$</w:t>
      </w:r>
      <w:r>
        <w:rPr>
          <w:sz w:val="20"/>
          <w:szCs w:val="20"/>
        </w:rPr>
        <w:t>50</w:t>
      </w:r>
      <w:r>
        <w:rPr>
          <w:sz w:val="20"/>
          <w:szCs w:val="20"/>
        </w:rPr>
        <w:t>0,00</w:t>
      </w:r>
      <w:r>
        <w:rPr>
          <w:sz w:val="20"/>
          <w:szCs w:val="20"/>
        </w:rPr>
        <w:t>0</w:t>
      </w:r>
      <w:r>
        <w:rPr>
          <w:sz w:val="20"/>
          <w:szCs w:val="20"/>
        </w:rPr>
        <w:t xml:space="preserve"> to be paid upon the achievement of agreed-upon revenue and backlog milestones, and the balance to be held for up to</w:t>
      </w:r>
      <w:r>
        <w:rPr>
          <w:sz w:val="20"/>
          <w:szCs w:val="20"/>
        </w:rPr>
        <w:t xml:space="preserve"> </w:t>
      </w:r>
      <w:r>
        <w:rPr>
          <w:sz w:val="20"/>
          <w:szCs w:val="20"/>
        </w:rPr>
        <w:t>18 month</w:t>
      </w:r>
      <w:r>
        <w:rPr>
          <w:sz w:val="20"/>
          <w:szCs w:val="20"/>
        </w:rPr>
        <w:t>s</w:t>
      </w:r>
      <w:r>
        <w:rPr>
          <w:sz w:val="20"/>
          <w:szCs w:val="20"/>
        </w:rPr>
        <w:t xml:space="preserve"> to satisfy certain indemnification obligations. During the third quarter of 2021, the initial portion of the escrow was sett</w:t>
      </w:r>
      <w:r>
        <w:rPr>
          <w:sz w:val="20"/>
          <w:szCs w:val="20"/>
        </w:rPr>
        <w:t xml:space="preserve">led whereby </w:t>
      </w:r>
      <w:r>
        <w:rPr>
          <w:sz w:val="20"/>
          <w:szCs w:val="20"/>
        </w:rPr>
        <w:t>$</w:t>
      </w:r>
      <w:r>
        <w:rPr>
          <w:sz w:val="20"/>
          <w:szCs w:val="20"/>
        </w:rPr>
        <w:t>250,00</w:t>
      </w:r>
      <w:r>
        <w:rPr>
          <w:sz w:val="20"/>
          <w:szCs w:val="20"/>
        </w:rPr>
        <w:t>0</w:t>
      </w:r>
      <w:r>
        <w:rPr>
          <w:sz w:val="20"/>
          <w:szCs w:val="20"/>
        </w:rPr>
        <w:t xml:space="preserve"> was paid to the seller and </w:t>
      </w:r>
      <w:r>
        <w:rPr>
          <w:sz w:val="20"/>
          <w:szCs w:val="20"/>
        </w:rPr>
        <w:t>$</w:t>
      </w:r>
      <w:r>
        <w:rPr>
          <w:sz w:val="20"/>
          <w:szCs w:val="20"/>
        </w:rPr>
        <w:t>250,00</w:t>
      </w:r>
      <w:r>
        <w:rPr>
          <w:sz w:val="20"/>
          <w:szCs w:val="20"/>
        </w:rPr>
        <w:t>0</w:t>
      </w:r>
      <w:r>
        <w:rPr>
          <w:sz w:val="20"/>
          <w:szCs w:val="20"/>
        </w:rPr>
        <w:t xml:space="preserve"> was offset against the working capital adjustment. An additional </w:t>
      </w:r>
      <w:r>
        <w:rPr>
          <w:sz w:val="20"/>
          <w:szCs w:val="20"/>
        </w:rPr>
        <w:t>$</w:t>
      </w:r>
      <w:r>
        <w:rPr>
          <w:sz w:val="20"/>
          <w:szCs w:val="20"/>
        </w:rPr>
        <w:t>71,00</w:t>
      </w:r>
      <w:r>
        <w:rPr>
          <w:sz w:val="20"/>
          <w:szCs w:val="20"/>
        </w:rPr>
        <w:t>0</w:t>
      </w:r>
      <w:r>
        <w:rPr>
          <w:sz w:val="20"/>
          <w:szCs w:val="20"/>
        </w:rPr>
        <w:t xml:space="preserve"> that was held in escrow was also paid. The balance of the </w:t>
      </w:r>
      <w:r>
        <w:rPr>
          <w:sz w:val="20"/>
          <w:szCs w:val="20"/>
        </w:rPr>
        <w:t>$</w:t>
      </w:r>
      <w:r>
        <w:rPr>
          <w:sz w:val="20"/>
          <w:szCs w:val="20"/>
        </w:rPr>
        <w:t>1</w:t>
      </w:r>
      <w:r>
        <w:rPr>
          <w:sz w:val="20"/>
          <w:szCs w:val="20"/>
        </w:rPr>
        <w:t>.0 million escrow is included in consideration payable and restric</w:t>
      </w:r>
      <w:r>
        <w:rPr>
          <w:sz w:val="20"/>
          <w:szCs w:val="20"/>
        </w:rPr>
        <w:t xml:space="preserve">ted cash in the consolidated balance sheets at December 31, 2021 and September 30, 2022. Approximately </w:t>
      </w:r>
      <w:r>
        <w:rPr>
          <w:sz w:val="20"/>
          <w:szCs w:val="20"/>
        </w:rPr>
        <w:t>$</w:t>
      </w:r>
      <w:r>
        <w:rPr>
          <w:sz w:val="20"/>
          <w:szCs w:val="20"/>
        </w:rPr>
        <w:t>12.</w:t>
      </w:r>
      <w:r>
        <w:rPr>
          <w:sz w:val="20"/>
          <w:szCs w:val="20"/>
        </w:rPr>
        <w:t>3</w:t>
      </w:r>
      <w:r>
        <w:rPr>
          <w:sz w:val="20"/>
          <w:szCs w:val="20"/>
        </w:rPr>
        <w:t xml:space="preserve"> million in cash was paid at closing.</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R</w:t>
      </w:r>
      <w:r>
        <w:rPr>
          <w:sz w:val="20"/>
          <w:szCs w:val="20"/>
        </w:rPr>
        <w:t xml:space="preserve">evenue earned from the clients obtained from the medSR acquisition was approximately </w:t>
      </w:r>
      <w:r>
        <w:rPr>
          <w:sz w:val="20"/>
          <w:szCs w:val="20"/>
        </w:rPr>
        <w:t>$</w:t>
      </w:r>
      <w:r>
        <w:rPr>
          <w:sz w:val="20"/>
          <w:szCs w:val="20"/>
        </w:rPr>
        <w:t>6.</w:t>
      </w:r>
      <w:r>
        <w:rPr>
          <w:sz w:val="20"/>
          <w:szCs w:val="20"/>
        </w:rPr>
        <w:t>4</w:t>
      </w:r>
      <w:r>
        <w:rPr>
          <w:sz w:val="20"/>
          <w:szCs w:val="20"/>
        </w:rPr>
        <w:t xml:space="preserve"> million and </w:t>
      </w:r>
      <w:r>
        <w:rPr>
          <w:sz w:val="20"/>
          <w:szCs w:val="20"/>
        </w:rPr>
        <w:t>$</w:t>
      </w:r>
      <w:r>
        <w:rPr>
          <w:sz w:val="20"/>
          <w:szCs w:val="20"/>
        </w:rPr>
        <w:t>22.</w:t>
      </w:r>
      <w:r>
        <w:rPr>
          <w:sz w:val="20"/>
          <w:szCs w:val="20"/>
        </w:rPr>
        <w:t>2</w:t>
      </w:r>
      <w:r>
        <w:rPr>
          <w:sz w:val="20"/>
          <w:szCs w:val="20"/>
        </w:rPr>
        <w:t xml:space="preserve"> million for the three and nine months ended September 30, 2022, respectively.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medSR acquisition added additional clients to the Company’s customer base and, similar to previous acquisitions, broadened the Company’s presence in the healthcare information technology industry through expansion of its customer base and by increasing ava</w:t>
      </w:r>
      <w:r>
        <w:rPr>
          <w:sz w:val="20"/>
          <w:szCs w:val="20"/>
        </w:rPr>
        <w:t>ilable customer relationship resources and specialized trained staff.</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The unaudited pro forma information below represents the consolidated results of operations as if the medSR acquisition occurred on Januar</w:t>
      </w:r>
      <w:r>
        <w:rPr>
          <w:sz w:val="20"/>
          <w:szCs w:val="20"/>
        </w:rPr>
        <w:t>y 1, 2021. The pro forma information has been included for comparative purposes and is not indicative of results of operations that the Company would have had if the acquisition occurred on the above date, nor is it necessarily indicative of future results</w:t>
      </w:r>
      <w:r>
        <w:rPr>
          <w:sz w:val="20"/>
          <w:szCs w:val="20"/>
        </w:rPr>
        <w:t xml:space="preserve">. The unaudited pro forma information reflects material, non-recurring pro forma adjustments directly attributable to the business combination. The difference between the actual revenue and the pro forma revenue is approximately </w:t>
      </w:r>
      <w:r>
        <w:rPr>
          <w:sz w:val="20"/>
          <w:szCs w:val="20"/>
        </w:rPr>
        <w:t>$</w:t>
      </w:r>
      <w:r>
        <w:rPr>
          <w:sz w:val="20"/>
          <w:szCs w:val="20"/>
        </w:rPr>
        <w:t>17.</w:t>
      </w:r>
      <w:r>
        <w:rPr>
          <w:sz w:val="20"/>
          <w:szCs w:val="20"/>
        </w:rPr>
        <w:t>8</w:t>
      </w:r>
      <w:r>
        <w:rPr>
          <w:sz w:val="20"/>
          <w:szCs w:val="20"/>
        </w:rPr>
        <w:t xml:space="preserve"> million of additional</w:t>
      </w:r>
      <w:r>
        <w:rPr>
          <w:sz w:val="20"/>
          <w:szCs w:val="20"/>
        </w:rPr>
        <w:t xml:space="preserve"> revenue recorded by medSR for the nine months ended September 30, 2021. Other differences arise from amortizing purchased intangibles using the double declining balance method.</w:t>
      </w:r>
    </w:p>
    <w:p w:rsidR="00000000" w:rsidRDefault="003F57AF">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250" w:type="pct"/>
        <w:tblCellMar>
          <w:left w:w="0" w:type="dxa"/>
          <w:right w:w="0" w:type="dxa"/>
        </w:tblCellMar>
        <w:tblLook w:val="04A0" w:firstRow="1" w:lastRow="0" w:firstColumn="1" w:lastColumn="0" w:noHBand="0" w:noVBand="1"/>
      </w:tblPr>
      <w:tblGrid>
        <w:gridCol w:w="3095"/>
        <w:gridCol w:w="131"/>
        <w:gridCol w:w="100"/>
        <w:gridCol w:w="696"/>
        <w:gridCol w:w="67"/>
        <w:gridCol w:w="126"/>
        <w:gridCol w:w="100"/>
        <w:gridCol w:w="696"/>
        <w:gridCol w:w="67"/>
        <w:gridCol w:w="127"/>
        <w:gridCol w:w="100"/>
        <w:gridCol w:w="697"/>
        <w:gridCol w:w="67"/>
        <w:gridCol w:w="127"/>
        <w:gridCol w:w="100"/>
        <w:gridCol w:w="697"/>
        <w:gridCol w:w="67"/>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sz w:val="20"/>
                <w:szCs w:val="20"/>
              </w:rPr>
            </w:pPr>
            <w:r>
              <w:rPr>
                <w:b/>
                <w:bCs/>
                <w:sz w:val="20"/>
                <w:szCs w:val="20"/>
              </w:rPr>
              <w:t xml:space="preserve">Three Months Ended </w:t>
            </w:r>
          </w:p>
          <w:p w:rsidR="00000000" w:rsidRDefault="003F57A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sz w:val="20"/>
                <w:szCs w:val="20"/>
              </w:rPr>
            </w:pPr>
            <w:r>
              <w:rPr>
                <w:b/>
                <w:bCs/>
                <w:sz w:val="20"/>
                <w:szCs w:val="20"/>
              </w:rPr>
              <w:t xml:space="preserve">Nine Months Ended </w:t>
            </w:r>
          </w:p>
          <w:p w:rsidR="00000000" w:rsidRDefault="003F57A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2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119,929</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income</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1,128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1,682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5,195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(2,721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(1,960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(6,467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(10,349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(0.18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r>
              <w:rPr>
                <w:rFonts w:eastAsia="Times New Roman"/>
                <w:sz w:val="20"/>
                <w:szCs w:val="20"/>
              </w:rPr>
              <w:t>0.43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(0.72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4.</w:t>
      </w:r>
      <w:r>
        <w:rPr>
          <w:b/>
          <w:bCs/>
          <w:caps/>
          <w:sz w:val="20"/>
          <w:szCs w:val="20"/>
        </w:rPr>
        <w:t xml:space="preserve"> </w:t>
      </w:r>
      <w:r>
        <w:rPr>
          <w:b/>
          <w:bCs/>
          <w:caps/>
          <w:sz w:val="20"/>
          <w:szCs w:val="20"/>
        </w:rPr>
        <w:t>GOODWILL AND INTANGIBLE ASSETS-NE</w:t>
      </w:r>
      <w:r>
        <w:rPr>
          <w:b/>
          <w:bCs/>
          <w:caps/>
          <w:sz w:val="20"/>
          <w:szCs w:val="20"/>
        </w:rPr>
        <w:t>T</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nine months ended September 30, 2022 and the year end</w:t>
      </w:r>
      <w:r>
        <w:rPr>
          <w:sz w:val="20"/>
          <w:szCs w:val="20"/>
        </w:rPr>
        <w:t>ed December 31, 2021:</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INTANGIBLE ASSETS AND GOODWIL</w:t>
      </w:r>
      <w:r>
        <w:rPr>
          <w:vanish/>
          <w:sz w:val="20"/>
          <w:szCs w:val="20"/>
        </w:rPr>
        <w:t>L</w:t>
      </w:r>
    </w:p>
    <w:tbl>
      <w:tblPr>
        <w:tblW w:w="4250" w:type="pct"/>
        <w:tblCellMar>
          <w:left w:w="0" w:type="dxa"/>
          <w:right w:w="0" w:type="dxa"/>
        </w:tblCellMar>
        <w:tblLook w:val="04A0" w:firstRow="1" w:lastRow="0" w:firstColumn="1" w:lastColumn="0" w:noHBand="0" w:noVBand="1"/>
      </w:tblPr>
      <w:tblGrid>
        <w:gridCol w:w="3945"/>
        <w:gridCol w:w="132"/>
        <w:gridCol w:w="101"/>
        <w:gridCol w:w="1262"/>
        <w:gridCol w:w="62"/>
        <w:gridCol w:w="132"/>
        <w:gridCol w:w="101"/>
        <w:gridCol w:w="1262"/>
        <w:gridCol w:w="63"/>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September 30, 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December 31, 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57AF">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 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3F57AF">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61,186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Acquisition, net of adjustments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11,895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06102657"/>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3F57AF">
      <w:pPr>
        <w:pStyle w:val="a3"/>
        <w:spacing w:before="0" w:beforeAutospacing="0" w:after="0" w:afterAutospacing="0"/>
        <w:divId w:val="1608730649"/>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Intangible </w:t>
      </w:r>
      <w:r>
        <w:rPr>
          <w:sz w:val="20"/>
          <w:szCs w:val="20"/>
        </w:rPr>
        <w:t>assets include customer contracts and relationships and covenants not-to-compete acquired in connection with acquisitions, as well as trademarks acquired and software costs. Intangible assets – net as of September 30, 2022, and December 31, 2021 consist of</w:t>
      </w:r>
      <w:r>
        <w:rPr>
          <w:sz w:val="20"/>
          <w:szCs w:val="20"/>
        </w:rPr>
        <w:t xml:space="preserve"> the following:</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FINITE-LIVED INTANGIBLE ASSET</w:t>
      </w:r>
      <w:r>
        <w:rPr>
          <w:vanish/>
          <w:sz w:val="20"/>
          <w:szCs w:val="20"/>
        </w:rPr>
        <w:t>S</w:t>
      </w:r>
    </w:p>
    <w:tbl>
      <w:tblPr>
        <w:tblW w:w="4500" w:type="pct"/>
        <w:tblCellMar>
          <w:left w:w="0" w:type="dxa"/>
          <w:right w:w="0" w:type="dxa"/>
        </w:tblCellMar>
        <w:tblLook w:val="04A0" w:firstRow="1" w:lastRow="0" w:firstColumn="1" w:lastColumn="0" w:noHBand="0" w:noVBand="1"/>
      </w:tblPr>
      <w:tblGrid>
        <w:gridCol w:w="4178"/>
        <w:gridCol w:w="142"/>
        <w:gridCol w:w="101"/>
        <w:gridCol w:w="1338"/>
        <w:gridCol w:w="67"/>
        <w:gridCol w:w="142"/>
        <w:gridCol w:w="101"/>
        <w:gridCol w:w="1338"/>
        <w:gridCol w:w="68"/>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September 30, 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December 31, 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 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3F57AF">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19,302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13,196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8,399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8,396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76,534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70,425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46,775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39,647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29,759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30,778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Other </w:t>
      </w:r>
      <w:r>
        <w:rPr>
          <w:sz w:val="20"/>
          <w:szCs w:val="20"/>
        </w:rPr>
        <w:t xml:space="preserve">intangible assets primarily represent acquired software and purchased intangibles. Amortization expense was approximately </w:t>
      </w:r>
      <w:r>
        <w:rPr>
          <w:sz w:val="20"/>
          <w:szCs w:val="20"/>
        </w:rPr>
        <w:t>$</w:t>
      </w:r>
      <w:r>
        <w:rPr>
          <w:sz w:val="20"/>
          <w:szCs w:val="20"/>
        </w:rPr>
        <w:t>7.</w:t>
      </w:r>
      <w:r>
        <w:rPr>
          <w:sz w:val="20"/>
          <w:szCs w:val="20"/>
        </w:rPr>
        <w:t>3</w:t>
      </w:r>
      <w:r>
        <w:rPr>
          <w:sz w:val="20"/>
          <w:szCs w:val="20"/>
        </w:rPr>
        <w:t xml:space="preserve"> million and </w:t>
      </w:r>
      <w:r>
        <w:rPr>
          <w:sz w:val="20"/>
          <w:szCs w:val="20"/>
        </w:rPr>
        <w:t>$</w:t>
      </w:r>
      <w:r>
        <w:rPr>
          <w:sz w:val="20"/>
          <w:szCs w:val="20"/>
        </w:rPr>
        <w:t>8.</w:t>
      </w:r>
      <w:r>
        <w:rPr>
          <w:sz w:val="20"/>
          <w:szCs w:val="20"/>
        </w:rPr>
        <w:t>0</w:t>
      </w:r>
      <w:r>
        <w:rPr>
          <w:sz w:val="20"/>
          <w:szCs w:val="20"/>
        </w:rPr>
        <w:t xml:space="preserve"> million for the nine months ended September 30, 2022 and 2021, respectively. The weighted-average amortization p</w:t>
      </w:r>
      <w:r>
        <w:rPr>
          <w:sz w:val="20"/>
          <w:szCs w:val="20"/>
        </w:rPr>
        <w:t>eriod is</w:t>
      </w:r>
      <w:r>
        <w:rPr>
          <w:sz w:val="20"/>
          <w:szCs w:val="20"/>
        </w:rPr>
        <w:t xml:space="preserve"> </w:t>
      </w:r>
      <w:r>
        <w:rPr>
          <w:sz w:val="20"/>
          <w:szCs w:val="20"/>
        </w:rPr>
        <w:t>three year</w:t>
      </w:r>
      <w:r>
        <w:rPr>
          <w:sz w:val="20"/>
          <w:szCs w:val="20"/>
        </w:rPr>
        <w:t>s</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As of September 30, 2022, future amortization scheduled to be expensed is as follows: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vanish/>
          <w:sz w:val="20"/>
          <w:szCs w:val="20"/>
        </w:rPr>
        <w:t>SCHEDULE OF FINITE-LIVED INTANGIBLE ASSETS, FUTURE AMORTIZATION EXPENS</w:t>
      </w:r>
      <w:r>
        <w:rPr>
          <w:b/>
          <w:bCs/>
          <w:vanish/>
          <w:sz w:val="20"/>
          <w:szCs w:val="20"/>
        </w:rPr>
        <w:t>E</w:t>
      </w:r>
    </w:p>
    <w:tbl>
      <w:tblPr>
        <w:tblW w:w="3000" w:type="pct"/>
        <w:tblCellMar>
          <w:left w:w="0" w:type="dxa"/>
          <w:right w:w="0" w:type="dxa"/>
        </w:tblCellMar>
        <w:tblLook w:val="04A0" w:firstRow="1" w:lastRow="0" w:firstColumn="1" w:lastColumn="0" w:noHBand="0" w:noVBand="1"/>
      </w:tblPr>
      <w:tblGrid>
        <w:gridCol w:w="3471"/>
        <w:gridCol w:w="83"/>
        <w:gridCol w:w="101"/>
        <w:gridCol w:w="1279"/>
        <w:gridCol w:w="50"/>
      </w:tblGrid>
      <w:tr w:rsidR="00000000">
        <w:trPr>
          <w:hidden/>
        </w:trPr>
        <w:tc>
          <w:tcPr>
            <w:tcW w:w="0" w:type="auto"/>
            <w:tcBorders>
              <w:bottom w:val="single" w:sz="12" w:space="0" w:color="000000"/>
            </w:tcBorders>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u w:val="single"/>
              </w:rPr>
              <w:t>Years ending December 31,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500" w:type="pct"/>
            <w:shd w:val="clear" w:color="auto" w:fill="CCEEFF"/>
            <w:vAlign w:val="bottom"/>
            <w:hideMark/>
          </w:tcPr>
          <w:p w:rsidR="00000000" w:rsidRDefault="003F57AF">
            <w:pPr>
              <w:rPr>
                <w:rFonts w:eastAsia="Times New Roman"/>
                <w:sz w:val="20"/>
                <w:szCs w:val="20"/>
              </w:rPr>
            </w:pPr>
            <w:r>
              <w:rPr>
                <w:rFonts w:eastAsia="Times New Roman"/>
                <w:sz w:val="20"/>
                <w:szCs w:val="20"/>
              </w:rPr>
              <w:t>2022 (three months)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3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4,016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12,275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8,122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3,996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1,050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29,759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5.</w:t>
      </w:r>
      <w:r>
        <w:rPr>
          <w:b/>
          <w:bCs/>
          <w:caps/>
          <w:sz w:val="20"/>
          <w:szCs w:val="20"/>
        </w:rPr>
        <w:t xml:space="preserve"> </w:t>
      </w:r>
      <w:r>
        <w:rPr>
          <w:b/>
          <w:bCs/>
          <w:caps/>
          <w:sz w:val="20"/>
          <w:szCs w:val="20"/>
        </w:rPr>
        <w:t>NET LOSS PER COMMON SHAR</w:t>
      </w:r>
      <w:r>
        <w:rPr>
          <w:b/>
          <w:bCs/>
          <w:caps/>
          <w:sz w:val="20"/>
          <w:szCs w:val="20"/>
        </w:rPr>
        <w:t>E</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ind w:left="45"/>
        <w:jc w:val="both"/>
        <w:rPr>
          <w:sz w:val="20"/>
          <w:szCs w:val="20"/>
        </w:rPr>
      </w:pPr>
      <w:r>
        <w:rPr>
          <w:sz w:val="20"/>
          <w:szCs w:val="20"/>
        </w:rPr>
        <w:t xml:space="preserve">The following table reconciles the </w:t>
      </w:r>
      <w:r>
        <w:rPr>
          <w:sz w:val="20"/>
          <w:szCs w:val="20"/>
        </w:rPr>
        <w:t>weighted-average shares outstanding for basic and diluted net loss per share for the three and nine months ended September 30, 2022 and 2021:</w:t>
      </w:r>
    </w:p>
    <w:p w:rsidR="00000000" w:rsidRDefault="003F57AF">
      <w:pPr>
        <w:pStyle w:val="a3"/>
        <w:spacing w:before="0" w:beforeAutospacing="0" w:after="0" w:afterAutospacing="0"/>
        <w:ind w:left="45"/>
        <w:jc w:val="both"/>
        <w:rPr>
          <w:sz w:val="20"/>
          <w:szCs w:val="20"/>
        </w:rPr>
      </w:pPr>
      <w:r>
        <w:rPr>
          <w:sz w:val="20"/>
          <w:szCs w:val="20"/>
        </w:rPr>
        <w:t> </w:t>
      </w:r>
    </w:p>
    <w:p w:rsidR="00000000" w:rsidRDefault="003F57AF">
      <w:pPr>
        <w:pStyle w:val="a3"/>
        <w:spacing w:before="0" w:beforeAutospacing="0" w:after="0" w:afterAutospacing="0"/>
        <w:ind w:left="45"/>
        <w:jc w:val="both"/>
        <w:rPr>
          <w:sz w:val="20"/>
          <w:szCs w:val="20"/>
        </w:rPr>
      </w:pPr>
      <w:r>
        <w:rPr>
          <w:vanish/>
          <w:sz w:val="20"/>
          <w:szCs w:val="20"/>
        </w:rPr>
        <w:t>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4688"/>
        <w:gridCol w:w="50"/>
        <w:gridCol w:w="100"/>
        <w:gridCol w:w="900"/>
        <w:gridCol w:w="67"/>
        <w:gridCol w:w="50"/>
        <w:gridCol w:w="100"/>
        <w:gridCol w:w="900"/>
        <w:gridCol w:w="67"/>
        <w:gridCol w:w="50"/>
        <w:gridCol w:w="100"/>
        <w:gridCol w:w="900"/>
        <w:gridCol w:w="67"/>
        <w:gridCol w:w="50"/>
        <w:gridCol w:w="100"/>
        <w:gridCol w:w="900"/>
        <w:gridCol w:w="67"/>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 xml:space="preserve">Three </w:t>
            </w:r>
            <w:r>
              <w:rPr>
                <w:rFonts w:eastAsia="Times New Roman"/>
                <w:b/>
                <w:bCs/>
                <w:sz w:val="20"/>
                <w:szCs w:val="20"/>
              </w:rPr>
              <w:t>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(2,793</w:t>
            </w:r>
          </w:p>
        </w:tc>
        <w:tc>
          <w:tcPr>
            <w:tcW w:w="5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(2,137</w:t>
            </w:r>
          </w:p>
        </w:tc>
        <w:tc>
          <w:tcPr>
            <w:tcW w:w="5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(6,729</w:t>
            </w:r>
          </w:p>
        </w:tc>
        <w:tc>
          <w:tcPr>
            <w:tcW w:w="5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400" w:type="pct"/>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(11,094</w:t>
            </w:r>
          </w:p>
        </w:tc>
        <w:tc>
          <w:tcPr>
            <w:tcW w:w="50" w:type="pct"/>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15,148,721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14,737,103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15,070,913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14,419,968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(0.18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(0.15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(0.45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(0.77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ind w:left="45"/>
        <w:jc w:val="both"/>
        <w:rPr>
          <w:sz w:val="20"/>
          <w:szCs w:val="20"/>
        </w:rPr>
      </w:pPr>
      <w:r>
        <w:rPr>
          <w:sz w:val="20"/>
          <w:szCs w:val="20"/>
        </w:rPr>
        <w:t> </w:t>
      </w:r>
    </w:p>
    <w:p w:rsidR="00000000" w:rsidRDefault="003F57AF">
      <w:pPr>
        <w:pStyle w:val="a3"/>
        <w:spacing w:before="0" w:beforeAutospacing="0" w:after="0" w:afterAutospacing="0"/>
        <w:jc w:val="both"/>
        <w:rPr>
          <w:caps/>
          <w:sz w:val="20"/>
          <w:szCs w:val="20"/>
        </w:rPr>
      </w:pPr>
      <w:r>
        <w:rPr>
          <w:sz w:val="20"/>
          <w:szCs w:val="20"/>
        </w:rPr>
        <w:t> </w:t>
      </w:r>
    </w:p>
    <w:p w:rsidR="00000000" w:rsidRDefault="003F57AF">
      <w:pPr>
        <w:pStyle w:val="a3"/>
        <w:spacing w:before="0" w:beforeAutospacing="0" w:after="0" w:afterAutospacing="0"/>
        <w:jc w:val="both"/>
        <w:rPr>
          <w:caps/>
          <w:sz w:val="20"/>
          <w:szCs w:val="20"/>
        </w:rPr>
      </w:pPr>
      <w:r>
        <w:rPr>
          <w:sz w:val="20"/>
          <w:szCs w:val="20"/>
        </w:rPr>
        <w:t>At September 30, 2022, the</w:t>
      </w:r>
      <w:r>
        <w:rPr>
          <w:sz w:val="20"/>
          <w:szCs w:val="20"/>
        </w:rPr>
        <w:t xml:space="preserve"> </w:t>
      </w:r>
      <w:r>
        <w:rPr>
          <w:sz w:val="20"/>
          <w:szCs w:val="20"/>
        </w:rPr>
        <w:t>480,52</w:t>
      </w:r>
      <w:r>
        <w:rPr>
          <w:sz w:val="20"/>
          <w:szCs w:val="20"/>
        </w:rPr>
        <w:t>6</w:t>
      </w:r>
      <w:r>
        <w:rPr>
          <w:sz w:val="20"/>
          <w:szCs w:val="20"/>
        </w:rPr>
        <w:t xml:space="preserve"> </w:t>
      </w:r>
      <w:r>
        <w:rPr>
          <w:sz w:val="20"/>
          <w:szCs w:val="20"/>
        </w:rPr>
        <w:t>unvested equity restricted stock units (“RSUs”) as discussed in Note 12 and</w:t>
      </w:r>
      <w:r>
        <w:rPr>
          <w:sz w:val="20"/>
          <w:szCs w:val="20"/>
        </w:rPr>
        <w:t xml:space="preserve"> </w:t>
      </w:r>
      <w:r>
        <w:rPr>
          <w:sz w:val="20"/>
          <w:szCs w:val="20"/>
        </w:rPr>
        <w:t>1,253,48</w:t>
      </w:r>
      <w:r>
        <w:rPr>
          <w:sz w:val="20"/>
          <w:szCs w:val="20"/>
        </w:rPr>
        <w:t>9</w:t>
      </w:r>
      <w:r>
        <w:rPr>
          <w:sz w:val="20"/>
          <w:szCs w:val="20"/>
        </w:rPr>
        <w:t xml:space="preserve"> unexercised warrants expiring between October 2022 and September 2023 with exercise prices between </w:t>
      </w:r>
      <w:r>
        <w:rPr>
          <w:sz w:val="20"/>
          <w:szCs w:val="20"/>
        </w:rPr>
        <w:t>$</w:t>
      </w:r>
      <w:r>
        <w:rPr>
          <w:sz w:val="20"/>
          <w:szCs w:val="20"/>
        </w:rPr>
        <w:t>3.9</w:t>
      </w:r>
      <w:r>
        <w:rPr>
          <w:sz w:val="20"/>
          <w:szCs w:val="20"/>
        </w:rPr>
        <w:t>2</w:t>
      </w:r>
      <w:r>
        <w:rPr>
          <w:sz w:val="20"/>
          <w:szCs w:val="20"/>
        </w:rPr>
        <w:t xml:space="preserve"> to </w:t>
      </w:r>
      <w:r>
        <w:rPr>
          <w:sz w:val="20"/>
          <w:szCs w:val="20"/>
        </w:rPr>
        <w:t>$</w:t>
      </w:r>
      <w:r>
        <w:rPr>
          <w:sz w:val="20"/>
          <w:szCs w:val="20"/>
        </w:rPr>
        <w:t>10.0</w:t>
      </w:r>
      <w:r>
        <w:rPr>
          <w:sz w:val="20"/>
          <w:szCs w:val="20"/>
        </w:rPr>
        <w:t>0</w:t>
      </w:r>
      <w:r>
        <w:rPr>
          <w:sz w:val="20"/>
          <w:szCs w:val="20"/>
        </w:rPr>
        <w:t xml:space="preserve"> have been excluded from the above calculations as they </w:t>
      </w:r>
      <w:r>
        <w:rPr>
          <w:sz w:val="20"/>
          <w:szCs w:val="20"/>
        </w:rPr>
        <w:t>were anti-dilutive. At September 30, 2021, the</w:t>
      </w:r>
      <w:r>
        <w:rPr>
          <w:sz w:val="20"/>
          <w:szCs w:val="20"/>
        </w:rPr>
        <w:t xml:space="preserve"> </w:t>
      </w:r>
      <w:r>
        <w:rPr>
          <w:sz w:val="20"/>
          <w:szCs w:val="20"/>
        </w:rPr>
        <w:t>280,49</w:t>
      </w:r>
      <w:r>
        <w:rPr>
          <w:sz w:val="20"/>
          <w:szCs w:val="20"/>
        </w:rPr>
        <w:t>6</w:t>
      </w:r>
      <w:r>
        <w:rPr>
          <w:sz w:val="20"/>
          <w:szCs w:val="20"/>
        </w:rPr>
        <w:t xml:space="preserve"> unvested equity RSUs and</w:t>
      </w:r>
      <w:r>
        <w:rPr>
          <w:sz w:val="20"/>
          <w:szCs w:val="20"/>
        </w:rPr>
        <w:t xml:space="preserve"> </w:t>
      </w:r>
      <w:r>
        <w:rPr>
          <w:sz w:val="20"/>
          <w:szCs w:val="20"/>
        </w:rPr>
        <w:t>3,152,14</w:t>
      </w:r>
      <w:r>
        <w:rPr>
          <w:sz w:val="20"/>
          <w:szCs w:val="20"/>
        </w:rPr>
        <w:t>0</w:t>
      </w:r>
      <w:r>
        <w:rPr>
          <w:sz w:val="20"/>
          <w:szCs w:val="20"/>
        </w:rPr>
        <w:t xml:space="preserve"> unexercised warrants have been excluded from the above calculations as they were anti-dilutive. Vested RSUs, vested restricted shares and exercised warrants have been</w:t>
      </w:r>
      <w:r>
        <w:rPr>
          <w:sz w:val="20"/>
          <w:szCs w:val="20"/>
        </w:rPr>
        <w:t xml:space="preserve"> included in the above calculations.</w:t>
      </w:r>
    </w:p>
    <w:p w:rsidR="00000000" w:rsidRDefault="003F57AF">
      <w:pPr>
        <w:pStyle w:val="a3"/>
        <w:spacing w:before="0" w:beforeAutospacing="0" w:after="0" w:afterAutospacing="0"/>
        <w:jc w:val="both"/>
        <w:rPr>
          <w:caps/>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939338"/>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3F57AF">
      <w:pPr>
        <w:pStyle w:val="a3"/>
        <w:spacing w:before="0" w:beforeAutospacing="0" w:after="0" w:afterAutospacing="0"/>
        <w:divId w:val="1492797474"/>
        <w:rPr>
          <w:sz w:val="20"/>
          <w:szCs w:val="20"/>
        </w:rPr>
      </w:pPr>
      <w:r>
        <w:rPr>
          <w:sz w:val="20"/>
          <w:szCs w:val="20"/>
        </w:rPr>
        <w:t> </w:t>
      </w:r>
    </w:p>
    <w:p w:rsidR="00000000" w:rsidRDefault="003F57AF">
      <w:pPr>
        <w:pStyle w:val="a3"/>
        <w:spacing w:before="0" w:beforeAutospacing="0" w:after="0" w:afterAutospacing="0"/>
        <w:ind w:left="475"/>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6.</w:t>
      </w:r>
      <w:r>
        <w:rPr>
          <w:b/>
          <w:bCs/>
          <w:caps/>
          <w:sz w:val="20"/>
          <w:szCs w:val="20"/>
        </w:rPr>
        <w:t xml:space="preserve"> </w:t>
      </w:r>
      <w:r>
        <w:rPr>
          <w:b/>
          <w:bCs/>
          <w:caps/>
          <w:sz w:val="20"/>
          <w:szCs w:val="20"/>
        </w:rPr>
        <w:t>DEB</w:t>
      </w:r>
      <w:r>
        <w:rPr>
          <w:b/>
          <w:bCs/>
          <w:caps/>
          <w:sz w:val="20"/>
          <w:szCs w:val="20"/>
        </w:rPr>
        <w:t>T</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SVB </w:t>
      </w:r>
      <w:r>
        <w:rPr>
          <w:sz w:val="20"/>
          <w:szCs w:val="20"/>
        </w:rPr>
        <w:t xml:space="preserve">— During October 2017, the Company opened a revolving line of credit with Silicon Valley Bank (“SVB”) under a three-year </w:t>
      </w:r>
      <w:r>
        <w:rPr>
          <w:sz w:val="20"/>
          <w:szCs w:val="20"/>
        </w:rPr>
        <w:t>agreement. The SVB credit facility is a secured revolving line of credit where borrowings are based on a formula of</w:t>
      </w:r>
      <w:r>
        <w:rPr>
          <w:sz w:val="20"/>
          <w:szCs w:val="20"/>
        </w:rPr>
        <w:t xml:space="preserve"> </w:t>
      </w:r>
      <w:r>
        <w:rPr>
          <w:sz w:val="20"/>
          <w:szCs w:val="20"/>
        </w:rPr>
        <w:t>200</w:t>
      </w:r>
      <w:r>
        <w:rPr>
          <w:sz w:val="20"/>
          <w:szCs w:val="20"/>
        </w:rPr>
        <w:t>%</w:t>
      </w:r>
      <w:r>
        <w:rPr>
          <w:sz w:val="20"/>
          <w:szCs w:val="20"/>
        </w:rPr>
        <w:t xml:space="preserve"> of repeatable revenue adjusted by an annualized attrition rate as defined in the credit agreement. During the third quarter of 2018, th</w:t>
      </w:r>
      <w:r>
        <w:rPr>
          <w:sz w:val="20"/>
          <w:szCs w:val="20"/>
        </w:rPr>
        <w:t xml:space="preserve">e credit line was increased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the term was extended for an additional year. During the third quarter of 2021, the credit line was further increased to </w:t>
      </w:r>
      <w:r>
        <w:rPr>
          <w:sz w:val="20"/>
          <w:szCs w:val="20"/>
        </w:rPr>
        <w:t>$</w:t>
      </w:r>
      <w:r>
        <w:rPr>
          <w:sz w:val="20"/>
          <w:szCs w:val="20"/>
        </w:rPr>
        <w:t>2</w:t>
      </w:r>
      <w:r>
        <w:rPr>
          <w:sz w:val="20"/>
          <w:szCs w:val="20"/>
        </w:rPr>
        <w:t>0</w:t>
      </w:r>
      <w:r>
        <w:rPr>
          <w:sz w:val="20"/>
          <w:szCs w:val="20"/>
        </w:rPr>
        <w:t xml:space="preserve"> million and the term was extended for another year. As of September </w:t>
      </w:r>
      <w:r>
        <w:rPr>
          <w:sz w:val="20"/>
          <w:szCs w:val="20"/>
        </w:rPr>
        <w:t>30, 2022, there was</w:t>
      </w:r>
      <w:r>
        <w:rPr>
          <w:sz w:val="20"/>
          <w:szCs w:val="20"/>
        </w:rPr>
        <w:t xml:space="preserve"> </w:t>
      </w:r>
      <w:r>
        <w:rPr>
          <w:sz w:val="20"/>
          <w:szCs w:val="20"/>
        </w:rPr>
        <w:t>n</w:t>
      </w:r>
      <w:r>
        <w:rPr>
          <w:sz w:val="20"/>
          <w:szCs w:val="20"/>
        </w:rPr>
        <w:t>o</w:t>
      </w:r>
      <w:r>
        <w:rPr>
          <w:sz w:val="20"/>
          <w:szCs w:val="20"/>
        </w:rPr>
        <w:t xml:space="preserve"> borrowing under the credit facility. Interest on the SVB revolving line of credit is currently charged at the prime rate plus</w:t>
      </w:r>
      <w:r>
        <w:rPr>
          <w:sz w:val="20"/>
          <w:szCs w:val="20"/>
        </w:rPr>
        <w:t xml:space="preserve"> </w:t>
      </w:r>
      <w:r>
        <w:rPr>
          <w:sz w:val="20"/>
          <w:szCs w:val="20"/>
        </w:rPr>
        <w:t>1.50</w:t>
      </w:r>
      <w:r>
        <w:rPr>
          <w:sz w:val="20"/>
          <w:szCs w:val="20"/>
        </w:rPr>
        <w:t>%</w:t>
      </w:r>
      <w:r>
        <w:rPr>
          <w:sz w:val="20"/>
          <w:szCs w:val="20"/>
        </w:rPr>
        <w:t xml:space="preserve"> with a minimum rate of</w:t>
      </w:r>
      <w:r>
        <w:rPr>
          <w:sz w:val="20"/>
          <w:szCs w:val="20"/>
        </w:rPr>
        <w:t xml:space="preserve"> </w:t>
      </w:r>
      <w:r>
        <w:rPr>
          <w:sz w:val="20"/>
          <w:szCs w:val="20"/>
        </w:rPr>
        <w:t>6.50</w:t>
      </w:r>
      <w:r>
        <w:rPr>
          <w:sz w:val="20"/>
          <w:szCs w:val="20"/>
        </w:rPr>
        <w:t>%</w:t>
      </w:r>
      <w:r>
        <w:rPr>
          <w:sz w:val="20"/>
          <w:szCs w:val="20"/>
        </w:rPr>
        <w:t>.</w:t>
      </w:r>
      <w:r>
        <w:rPr>
          <w:sz w:val="20"/>
          <w:szCs w:val="20"/>
        </w:rPr>
        <w:t xml:space="preserve"> </w:t>
      </w:r>
      <w:r>
        <w:rPr>
          <w:sz w:val="20"/>
          <w:szCs w:val="20"/>
        </w:rPr>
        <w:t>There is also a fee of one-half of 1% annually for the unused portion o</w:t>
      </w:r>
      <w:r>
        <w:rPr>
          <w:sz w:val="20"/>
          <w:szCs w:val="20"/>
        </w:rPr>
        <w:t>f the credit lin</w:t>
      </w:r>
      <w:r>
        <w:rPr>
          <w:sz w:val="20"/>
          <w:szCs w:val="20"/>
        </w:rPr>
        <w:t>e</w:t>
      </w:r>
      <w:r>
        <w:rPr>
          <w:sz w:val="20"/>
          <w:szCs w:val="20"/>
        </w:rPr>
        <w:t>. The debt is secured by all of the Company’s domestic assets and</w:t>
      </w:r>
      <w:r>
        <w:rPr>
          <w:sz w:val="20"/>
          <w:szCs w:val="20"/>
        </w:rPr>
        <w:t xml:space="preserve"> </w:t>
      </w:r>
      <w:r>
        <w:rPr>
          <w:sz w:val="20"/>
          <w:szCs w:val="20"/>
        </w:rPr>
        <w:t>65</w:t>
      </w:r>
      <w:r>
        <w:rPr>
          <w:sz w:val="20"/>
          <w:szCs w:val="20"/>
        </w:rPr>
        <w:t>%</w:t>
      </w:r>
      <w:r>
        <w:rPr>
          <w:sz w:val="20"/>
          <w:szCs w:val="20"/>
        </w:rPr>
        <w:t xml:space="preserve"> of the shares in its offshore subsidiaries. Future acquisitions are subject to approval by SVB.</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In connection with the original SVB debt agreement, the Company paid SV</w:t>
      </w:r>
      <w:r>
        <w:rPr>
          <w:sz w:val="20"/>
          <w:szCs w:val="20"/>
        </w:rPr>
        <w:t xml:space="preserve">B approximately </w:t>
      </w:r>
      <w:r>
        <w:rPr>
          <w:sz w:val="20"/>
          <w:szCs w:val="20"/>
        </w:rPr>
        <w:t>$</w:t>
      </w:r>
      <w:r>
        <w:rPr>
          <w:sz w:val="20"/>
          <w:szCs w:val="20"/>
        </w:rPr>
        <w:t>50,00</w:t>
      </w:r>
      <w:r>
        <w:rPr>
          <w:sz w:val="20"/>
          <w:szCs w:val="20"/>
        </w:rPr>
        <w:t>0</w:t>
      </w:r>
      <w:r>
        <w:rPr>
          <w:sz w:val="20"/>
          <w:szCs w:val="20"/>
        </w:rPr>
        <w:t xml:space="preserve"> of fees upfront and issued warrants for SVB to purchase</w:t>
      </w:r>
      <w:r>
        <w:rPr>
          <w:sz w:val="20"/>
          <w:szCs w:val="20"/>
        </w:rPr>
        <w:t xml:space="preserve"> </w:t>
      </w:r>
      <w:r>
        <w:rPr>
          <w:sz w:val="20"/>
          <w:szCs w:val="20"/>
        </w:rPr>
        <w:t>125,00</w:t>
      </w:r>
      <w:r>
        <w:rPr>
          <w:sz w:val="20"/>
          <w:szCs w:val="20"/>
        </w:rPr>
        <w:t>0</w:t>
      </w:r>
      <w:r>
        <w:rPr>
          <w:sz w:val="20"/>
          <w:szCs w:val="20"/>
        </w:rPr>
        <w:t xml:space="preserve"> shares of its common stock. Based on the terms in the original SVB credit agreement, these warrants had a strike price equal to </w:t>
      </w:r>
      <w:r>
        <w:rPr>
          <w:sz w:val="20"/>
          <w:szCs w:val="20"/>
        </w:rPr>
        <w:t>$</w:t>
      </w:r>
      <w:r>
        <w:rPr>
          <w:sz w:val="20"/>
          <w:szCs w:val="20"/>
        </w:rPr>
        <w:t>3.9</w:t>
      </w:r>
      <w:r>
        <w:rPr>
          <w:sz w:val="20"/>
          <w:szCs w:val="20"/>
        </w:rPr>
        <w:t>2</w:t>
      </w:r>
      <w:r>
        <w:rPr>
          <w:sz w:val="20"/>
          <w:szCs w:val="20"/>
        </w:rPr>
        <w:t>. They also had a</w:t>
      </w:r>
      <w:r>
        <w:rPr>
          <w:sz w:val="20"/>
          <w:szCs w:val="20"/>
        </w:rPr>
        <w:t xml:space="preserve"> </w:t>
      </w:r>
      <w:r>
        <w:rPr>
          <w:sz w:val="20"/>
          <w:szCs w:val="20"/>
        </w:rPr>
        <w:t>fiv</w:t>
      </w:r>
      <w:r>
        <w:rPr>
          <w:sz w:val="20"/>
          <w:szCs w:val="20"/>
        </w:rPr>
        <w:t>e</w:t>
      </w:r>
      <w:r>
        <w:rPr>
          <w:sz w:val="20"/>
          <w:szCs w:val="20"/>
        </w:rPr>
        <w:t>-year exercis</w:t>
      </w:r>
      <w:r>
        <w:rPr>
          <w:sz w:val="20"/>
          <w:szCs w:val="20"/>
        </w:rPr>
        <w:t xml:space="preserve">e window and net exercise rights, and were valued at </w:t>
      </w:r>
      <w:r>
        <w:rPr>
          <w:sz w:val="20"/>
          <w:szCs w:val="20"/>
        </w:rPr>
        <w:t>$</w:t>
      </w:r>
      <w:r>
        <w:rPr>
          <w:sz w:val="20"/>
          <w:szCs w:val="20"/>
        </w:rPr>
        <w:t>3.1</w:t>
      </w:r>
      <w:r>
        <w:rPr>
          <w:sz w:val="20"/>
          <w:szCs w:val="20"/>
        </w:rPr>
        <w:t>2</w:t>
      </w:r>
      <w:r>
        <w:rPr>
          <w:sz w:val="20"/>
          <w:szCs w:val="20"/>
        </w:rPr>
        <w:t xml:space="preserve"> per warrant. As a result of the revision in the SVB credit line, which increased the credit line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reduced the interest rate by 25 basis points, the Company paid ap</w:t>
      </w:r>
      <w:r>
        <w:rPr>
          <w:sz w:val="20"/>
          <w:szCs w:val="20"/>
        </w:rPr>
        <w:t xml:space="preserve">proximately </w:t>
      </w:r>
      <w:r>
        <w:rPr>
          <w:sz w:val="20"/>
          <w:szCs w:val="20"/>
        </w:rPr>
        <w:t>$</w:t>
      </w:r>
      <w:r>
        <w:rPr>
          <w:sz w:val="20"/>
          <w:szCs w:val="20"/>
        </w:rPr>
        <w:t>50,00</w:t>
      </w:r>
      <w:r>
        <w:rPr>
          <w:sz w:val="20"/>
          <w:szCs w:val="20"/>
        </w:rPr>
        <w:t>0</w:t>
      </w:r>
      <w:r>
        <w:rPr>
          <w:sz w:val="20"/>
          <w:szCs w:val="20"/>
        </w:rPr>
        <w:t xml:space="preserve"> of fees upfront and issued an additional</w:t>
      </w:r>
      <w:r>
        <w:rPr>
          <w:sz w:val="20"/>
          <w:szCs w:val="20"/>
        </w:rPr>
        <w:t xml:space="preserve"> </w:t>
      </w:r>
      <w:r>
        <w:rPr>
          <w:sz w:val="20"/>
          <w:szCs w:val="20"/>
        </w:rPr>
        <w:t>28,48</w:t>
      </w:r>
      <w:r>
        <w:rPr>
          <w:sz w:val="20"/>
          <w:szCs w:val="20"/>
        </w:rPr>
        <w:t>9</w:t>
      </w:r>
      <w:r>
        <w:rPr>
          <w:sz w:val="20"/>
          <w:szCs w:val="20"/>
        </w:rPr>
        <w:t xml:space="preserve"> warrants, with a strike price equal to </w:t>
      </w:r>
      <w:r>
        <w:rPr>
          <w:sz w:val="20"/>
          <w:szCs w:val="20"/>
        </w:rPr>
        <w:t>$</w:t>
      </w:r>
      <w:r>
        <w:rPr>
          <w:sz w:val="20"/>
          <w:szCs w:val="20"/>
        </w:rPr>
        <w:t>5.2</w:t>
      </w:r>
      <w:r>
        <w:rPr>
          <w:sz w:val="20"/>
          <w:szCs w:val="20"/>
        </w:rPr>
        <w:t>6</w:t>
      </w:r>
      <w:r>
        <w:rPr>
          <w:sz w:val="20"/>
          <w:szCs w:val="20"/>
        </w:rPr>
        <w:t>, a</w:t>
      </w:r>
      <w:r>
        <w:rPr>
          <w:sz w:val="20"/>
          <w:szCs w:val="20"/>
        </w:rPr>
        <w:t xml:space="preserve"> </w:t>
      </w:r>
      <w:r>
        <w:rPr>
          <w:sz w:val="20"/>
          <w:szCs w:val="20"/>
        </w:rPr>
        <w:t>fiv</w:t>
      </w:r>
      <w:r>
        <w:rPr>
          <w:sz w:val="20"/>
          <w:szCs w:val="20"/>
        </w:rPr>
        <w:t>e</w:t>
      </w:r>
      <w:r>
        <w:rPr>
          <w:sz w:val="20"/>
          <w:szCs w:val="20"/>
        </w:rPr>
        <w:t xml:space="preserve">-year exercise window and net exercise rights. The additional warrants were valued at </w:t>
      </w:r>
      <w:r>
        <w:rPr>
          <w:sz w:val="20"/>
          <w:szCs w:val="20"/>
        </w:rPr>
        <w:t>$</w:t>
      </w:r>
      <w:r>
        <w:rPr>
          <w:sz w:val="20"/>
          <w:szCs w:val="20"/>
        </w:rPr>
        <w:t>3.5</w:t>
      </w:r>
      <w:r>
        <w:rPr>
          <w:sz w:val="20"/>
          <w:szCs w:val="20"/>
        </w:rPr>
        <w:t>8</w:t>
      </w:r>
      <w:r>
        <w:rPr>
          <w:sz w:val="20"/>
          <w:szCs w:val="20"/>
        </w:rPr>
        <w:t xml:space="preserve"> per warrant. The SVB credit agreement contai</w:t>
      </w:r>
      <w:r>
        <w:rPr>
          <w:sz w:val="20"/>
          <w:szCs w:val="20"/>
        </w:rPr>
        <w:t xml:space="preserve">ns various covenants and conditions governing the revolving line of credit including a current annual fee of </w:t>
      </w:r>
      <w:r>
        <w:rPr>
          <w:sz w:val="20"/>
          <w:szCs w:val="20"/>
        </w:rPr>
        <w:t>$</w:t>
      </w:r>
      <w:r>
        <w:rPr>
          <w:sz w:val="20"/>
          <w:szCs w:val="20"/>
        </w:rPr>
        <w:t>100,00</w:t>
      </w:r>
      <w:r>
        <w:rPr>
          <w:sz w:val="20"/>
          <w:szCs w:val="20"/>
        </w:rPr>
        <w:t>0</w:t>
      </w:r>
      <w:r>
        <w:rPr>
          <w:sz w:val="20"/>
          <w:szCs w:val="20"/>
        </w:rPr>
        <w:t>. These covenants include a minimum level of adjusted EBITDA and a minimum liquidity ratio. At September 30, 2022 and 2021, the Company was</w:t>
      </w:r>
      <w:r>
        <w:rPr>
          <w:sz w:val="20"/>
          <w:szCs w:val="20"/>
        </w:rPr>
        <w:t xml:space="preserve"> in compliance with all covenants.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During January 2022, the agreement with SVB was modified to allow the Company to issue Series B Preferred Stock and pay monthly dividends on this stock, to use a portion of the offering proceeds to redeem a portion of t</w:t>
      </w:r>
      <w:r>
        <w:rPr>
          <w:sz w:val="20"/>
          <w:szCs w:val="20"/>
        </w:rPr>
        <w:t>he Series A Preferred Stock that is outstanding and to allow for the potential exchange of shares of Series A Preferred Stock for Series B Preferred Stock.</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w:t>
      </w:r>
      <w:r>
        <w:rPr>
          <w:sz w:val="20"/>
          <w:szCs w:val="20"/>
        </w:rPr>
        <w:t xml:space="preserve"> and in Pakistan. The vehicle financing notes have three to</w:t>
      </w:r>
      <w:r>
        <w:rPr>
          <w:sz w:val="20"/>
          <w:szCs w:val="20"/>
        </w:rPr>
        <w:t xml:space="preserve"> </w:t>
      </w:r>
      <w:r>
        <w:rPr>
          <w:sz w:val="20"/>
          <w:szCs w:val="20"/>
        </w:rPr>
        <w:t>six year term</w:t>
      </w:r>
      <w:r>
        <w:rPr>
          <w:sz w:val="20"/>
          <w:szCs w:val="20"/>
        </w:rPr>
        <w:t>s</w:t>
      </w:r>
      <w:r>
        <w:rPr>
          <w:sz w:val="20"/>
          <w:szCs w:val="20"/>
        </w:rPr>
        <w:t xml:space="preserve"> and were issued at current market rates.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curr</w:t>
      </w:r>
      <w:r>
        <w:rPr>
          <w:sz w:val="20"/>
          <w:szCs w:val="20"/>
        </w:rPr>
        <w:t>ently</w:t>
      </w:r>
      <w:r>
        <w:rPr>
          <w:sz w:val="20"/>
          <w:szCs w:val="20"/>
        </w:rPr>
        <w:t xml:space="preserve"> </w:t>
      </w:r>
      <w:r>
        <w:rPr>
          <w:sz w:val="20"/>
          <w:szCs w:val="20"/>
        </w:rPr>
        <w:t>4.55</w:t>
      </w:r>
      <w:r>
        <w:rPr>
          <w:sz w:val="20"/>
          <w:szCs w:val="20"/>
        </w:rPr>
        <w:t>%</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7.</w:t>
      </w:r>
      <w:r>
        <w:rPr>
          <w:b/>
          <w:bCs/>
          <w:caps/>
          <w:sz w:val="20"/>
          <w:szCs w:val="20"/>
        </w:rPr>
        <w:t xml:space="preserve"> </w:t>
      </w:r>
      <w:r>
        <w:rPr>
          <w:b/>
          <w:bCs/>
          <w:caps/>
          <w:sz w:val="20"/>
          <w:szCs w:val="20"/>
        </w:rPr>
        <w:t>LEASE</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 xml:space="preserve">We </w:t>
      </w:r>
      <w:r>
        <w:rPr>
          <w:sz w:val="20"/>
          <w:szCs w:val="20"/>
        </w:rPr>
        <w:t xml:space="preserve">determine if an arrangement is a lease at inception. We have operating leases for office and temporary living space as well as for some office equipment. Operating leases are included in operating lease right-of-use (“ROU”) assets, current operating lease </w:t>
      </w:r>
      <w:r>
        <w:rPr>
          <w:sz w:val="20"/>
          <w:szCs w:val="20"/>
        </w:rPr>
        <w:t>liability and non-current operating lease liability in our consolidated balance sheets as of September 30, 2022 and December 31, 2021. The Company does not have any finance leases.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ROU assets represent our right to use an underlying asset for the lease t</w:t>
      </w:r>
      <w:r>
        <w:rPr>
          <w:sz w:val="20"/>
          <w:szCs w:val="20"/>
        </w:rPr>
        <w:t>erm and lease liabilities represent our obligation to make lease payments arising from the lease. ROU assets and liabilities are recognized at the lease commencement date based on the estimated present value of lease payments over the lease term.</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As most</w:t>
      </w:r>
      <w:r>
        <w:rPr>
          <w:sz w:val="20"/>
          <w:szCs w:val="20"/>
        </w:rPr>
        <w:t xml:space="preserve"> of our leases do not provide an implicit rate, we use our estimated incremental borrowing rates, which are derived from information available at the lease commencement date, in determining the present value of lease payments. We give consideration to our </w:t>
      </w:r>
      <w:r>
        <w:rPr>
          <w:sz w:val="20"/>
          <w:szCs w:val="20"/>
        </w:rPr>
        <w:t>bank financing arrangements, geographical location and collateralization of assets when calculating our incremental borrowing rates.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Our lease terms include options to extend the lease when we believe that we may want the right to exercise that option. L</w:t>
      </w:r>
      <w:r>
        <w:rPr>
          <w:sz w:val="20"/>
          <w:szCs w:val="20"/>
        </w:rPr>
        <w:t>eases with a term of less than 12 months are not recorded in the consolidated balance sheets. Our lease agreements do not contain any residual value guarantees. For real estate leases, we account for the lease and non-lease components as a single lease com</w:t>
      </w:r>
      <w:r>
        <w:rPr>
          <w:sz w:val="20"/>
          <w:szCs w:val="20"/>
        </w:rPr>
        <w:t>ponent. Some leases include escalation clauses and termination options that are factored in the determination of the lease payments when appropriate.</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1045594"/>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3F57AF">
      <w:pPr>
        <w:pStyle w:val="a3"/>
        <w:spacing w:before="0" w:beforeAutospacing="0" w:after="0" w:afterAutospacing="0"/>
        <w:divId w:val="1062213853"/>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If a lease is modified after the effective date, the operating lease ROU asset and liability are</w:t>
      </w:r>
      <w:r>
        <w:rPr>
          <w:sz w:val="20"/>
          <w:szCs w:val="20"/>
        </w:rPr>
        <w:t xml:space="preserve"> re-measured using the current incremental borrowing rate. We review our incremental borrowing rate for our portfolio of leases on a quarterly basis. During the three and nine months ended September 30, 2022, there were approximately </w:t>
      </w:r>
      <w:r>
        <w:rPr>
          <w:sz w:val="20"/>
          <w:szCs w:val="20"/>
        </w:rPr>
        <w:t>$</w:t>
      </w:r>
      <w:r>
        <w:rPr>
          <w:sz w:val="20"/>
          <w:szCs w:val="20"/>
        </w:rPr>
        <w:t>257,00</w:t>
      </w:r>
      <w:r>
        <w:rPr>
          <w:sz w:val="20"/>
          <w:szCs w:val="20"/>
        </w:rPr>
        <w:t>0</w:t>
      </w:r>
      <w:r>
        <w:rPr>
          <w:sz w:val="20"/>
          <w:szCs w:val="20"/>
        </w:rPr>
        <w:t xml:space="preserve"> and </w:t>
      </w:r>
      <w:r>
        <w:rPr>
          <w:sz w:val="20"/>
          <w:szCs w:val="20"/>
        </w:rPr>
        <w:t>$</w:t>
      </w:r>
      <w:r>
        <w:rPr>
          <w:sz w:val="20"/>
          <w:szCs w:val="20"/>
        </w:rPr>
        <w:t>786,00</w:t>
      </w:r>
      <w:r>
        <w:rPr>
          <w:sz w:val="20"/>
          <w:szCs w:val="20"/>
        </w:rPr>
        <w:t>0</w:t>
      </w:r>
      <w:r>
        <w:rPr>
          <w:sz w:val="20"/>
          <w:szCs w:val="20"/>
        </w:rPr>
        <w:t>,</w:t>
      </w:r>
      <w:r>
        <w:rPr>
          <w:sz w:val="20"/>
          <w:szCs w:val="20"/>
        </w:rPr>
        <w:t xml:space="preserve"> respectively, of unoccupied lease charges. During the three and nine months ended September 30, 2021, there were approximately </w:t>
      </w:r>
      <w:r>
        <w:rPr>
          <w:sz w:val="20"/>
          <w:szCs w:val="20"/>
        </w:rPr>
        <w:t>$</w:t>
      </w:r>
      <w:r>
        <w:rPr>
          <w:sz w:val="20"/>
          <w:szCs w:val="20"/>
        </w:rPr>
        <w:t>220,00</w:t>
      </w:r>
      <w:r>
        <w:rPr>
          <w:sz w:val="20"/>
          <w:szCs w:val="20"/>
        </w:rPr>
        <w:t>0</w:t>
      </w:r>
      <w:r>
        <w:rPr>
          <w:sz w:val="20"/>
          <w:szCs w:val="20"/>
        </w:rPr>
        <w:t xml:space="preserve"> and </w:t>
      </w:r>
      <w:r>
        <w:rPr>
          <w:sz w:val="20"/>
          <w:szCs w:val="20"/>
        </w:rPr>
        <w:t>$</w:t>
      </w:r>
      <w:r>
        <w:rPr>
          <w:sz w:val="20"/>
          <w:szCs w:val="20"/>
        </w:rPr>
        <w:t>686,00</w:t>
      </w:r>
      <w:r>
        <w:rPr>
          <w:sz w:val="20"/>
          <w:szCs w:val="20"/>
        </w:rPr>
        <w:t>0</w:t>
      </w:r>
      <w:r>
        <w:rPr>
          <w:sz w:val="20"/>
          <w:szCs w:val="20"/>
        </w:rPr>
        <w:t>, respectively, of unoccupied lease charges for two of the Company’s facilities. During the nine months end</w:t>
      </w:r>
      <w:r>
        <w:rPr>
          <w:sz w:val="20"/>
          <w:szCs w:val="20"/>
        </w:rPr>
        <w:t xml:space="preserve">ed September 30, 2022, there was a gain on lease termination of approximately </w:t>
      </w:r>
      <w:r>
        <w:rPr>
          <w:sz w:val="20"/>
          <w:szCs w:val="20"/>
        </w:rPr>
        <w:t>$</w:t>
      </w:r>
      <w:r>
        <w:rPr>
          <w:sz w:val="20"/>
          <w:szCs w:val="20"/>
        </w:rPr>
        <w:t>105,00</w:t>
      </w:r>
      <w:r>
        <w:rPr>
          <w:sz w:val="20"/>
          <w:szCs w:val="20"/>
        </w:rPr>
        <w:t>0</w:t>
      </w:r>
      <w:r>
        <w:rPr>
          <w:sz w:val="20"/>
          <w:szCs w:val="20"/>
        </w:rPr>
        <w:t xml:space="preserve">. During the nine months ended September 30, 2021, the Company recorded approximately </w:t>
      </w:r>
      <w:r>
        <w:rPr>
          <w:sz w:val="20"/>
          <w:szCs w:val="20"/>
        </w:rPr>
        <w:t>$</w:t>
      </w:r>
      <w:r>
        <w:rPr>
          <w:sz w:val="20"/>
          <w:szCs w:val="20"/>
        </w:rPr>
        <w:t>775,00</w:t>
      </w:r>
      <w:r>
        <w:rPr>
          <w:sz w:val="20"/>
          <w:szCs w:val="20"/>
        </w:rPr>
        <w:t>0</w:t>
      </w:r>
      <w:r>
        <w:rPr>
          <w:sz w:val="20"/>
          <w:szCs w:val="20"/>
        </w:rPr>
        <w:t xml:space="preserve"> of impairment charges on a vendor contract.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During the three and nine mon</w:t>
      </w:r>
      <w:r>
        <w:rPr>
          <w:sz w:val="20"/>
          <w:szCs w:val="20"/>
        </w:rPr>
        <w:t xml:space="preserve">ths ended September 30, 2022, a facility lease was terminated in conjunction with the Company ceasing its document storage services resulting in additional costs of approximately </w:t>
      </w:r>
      <w:r>
        <w:rPr>
          <w:sz w:val="20"/>
          <w:szCs w:val="20"/>
        </w:rPr>
        <w:t>$</w:t>
      </w:r>
      <w:r>
        <w:rPr>
          <w:sz w:val="20"/>
          <w:szCs w:val="20"/>
        </w:rPr>
        <w:t>51,00</w:t>
      </w:r>
      <w:r>
        <w:rPr>
          <w:sz w:val="20"/>
          <w:szCs w:val="20"/>
        </w:rPr>
        <w:t>0</w:t>
      </w:r>
      <w:r>
        <w:rPr>
          <w:sz w:val="20"/>
          <w:szCs w:val="20"/>
        </w:rPr>
        <w:t xml:space="preserve"> and </w:t>
      </w:r>
      <w:r>
        <w:rPr>
          <w:sz w:val="20"/>
          <w:szCs w:val="20"/>
        </w:rPr>
        <w:t>$</w:t>
      </w:r>
      <w:r>
        <w:rPr>
          <w:sz w:val="20"/>
          <w:szCs w:val="20"/>
        </w:rPr>
        <w:t>248,00</w:t>
      </w:r>
      <w:r>
        <w:rPr>
          <w:sz w:val="20"/>
          <w:szCs w:val="20"/>
        </w:rPr>
        <w:t>0</w:t>
      </w:r>
      <w:r>
        <w:rPr>
          <w:sz w:val="20"/>
          <w:szCs w:val="20"/>
        </w:rPr>
        <w:t>, respectively. This amount is included in Net loss on le</w:t>
      </w:r>
      <w:r>
        <w:rPr>
          <w:sz w:val="20"/>
          <w:szCs w:val="20"/>
        </w:rPr>
        <w:t>ase terminations, impairment and unoccupied lease charges in the consolidated statements of operations.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During </w:t>
      </w:r>
      <w:r>
        <w:rPr>
          <w:sz w:val="20"/>
          <w:szCs w:val="20"/>
        </w:rPr>
        <w:t>the third quarter of 2021, the Company decided to terminate one of its leases in Pakistan which expired as of the end of the year. The Company did not renew this lease and consolidated its employees into the remaining facilities. As a result of the termina</w:t>
      </w:r>
      <w:r>
        <w:rPr>
          <w:sz w:val="20"/>
          <w:szCs w:val="20"/>
        </w:rPr>
        <w:t xml:space="preserve">tion, the Company incurred a loss of approximately </w:t>
      </w:r>
      <w:r>
        <w:rPr>
          <w:sz w:val="20"/>
          <w:szCs w:val="20"/>
        </w:rPr>
        <w:t>$</w:t>
      </w:r>
      <w:r>
        <w:rPr>
          <w:sz w:val="20"/>
          <w:szCs w:val="20"/>
        </w:rPr>
        <w:t>18,00</w:t>
      </w:r>
      <w:r>
        <w:rPr>
          <w:sz w:val="20"/>
          <w:szCs w:val="20"/>
        </w:rPr>
        <w:t>0</w:t>
      </w:r>
      <w:r>
        <w:rPr>
          <w:sz w:val="20"/>
          <w:szCs w:val="20"/>
        </w:rPr>
        <w:t xml:space="preserve"> which has been included in Net loss on lease termination, impairment and unoccupied lease charges in the September 30, 2021 consolidated statements of operations.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Lease expense is included in dir</w:t>
      </w:r>
      <w:r>
        <w:rPr>
          <w:sz w:val="20"/>
          <w:szCs w:val="20"/>
        </w:rPr>
        <w:t>ect operating costs and general and administrative expenses in the consolidated statements of operations based on the nature of the expense. As of September 30, 2022, we had 32 leased properties, five in Medical Practice Management and 27 in Healthcare IT,</w:t>
      </w:r>
      <w:r>
        <w:rPr>
          <w:sz w:val="20"/>
          <w:szCs w:val="20"/>
        </w:rPr>
        <w:t xml:space="preserve"> with remaining terms ranging from less than one year to fourteen years. Our lease terms are determined taking into account lease renewal options, the Company’s anticipated operating plans and leases that are on a month-to-month basis. The Company also has</w:t>
      </w:r>
      <w:r>
        <w:rPr>
          <w:sz w:val="20"/>
          <w:szCs w:val="20"/>
        </w:rPr>
        <w:t xml:space="preserve"> some related party leases – see Note 9.</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components of lease expense were as follows: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LEASE EXPENS</w:t>
      </w:r>
      <w:r>
        <w:rPr>
          <w:vanish/>
          <w:sz w:val="20"/>
          <w:szCs w:val="20"/>
        </w:rPr>
        <w:t>E</w:t>
      </w:r>
    </w:p>
    <w:tbl>
      <w:tblPr>
        <w:tblW w:w="4500" w:type="pct"/>
        <w:tblCellMar>
          <w:left w:w="0" w:type="dxa"/>
          <w:right w:w="0" w:type="dxa"/>
        </w:tblCellMar>
        <w:tblLook w:val="04A0" w:firstRow="1" w:lastRow="0" w:firstColumn="1" w:lastColumn="0" w:noHBand="0" w:noVBand="1"/>
      </w:tblPr>
      <w:tblGrid>
        <w:gridCol w:w="3280"/>
        <w:gridCol w:w="141"/>
        <w:gridCol w:w="100"/>
        <w:gridCol w:w="740"/>
        <w:gridCol w:w="67"/>
        <w:gridCol w:w="142"/>
        <w:gridCol w:w="100"/>
        <w:gridCol w:w="740"/>
        <w:gridCol w:w="67"/>
        <w:gridCol w:w="142"/>
        <w:gridCol w:w="100"/>
        <w:gridCol w:w="740"/>
        <w:gridCol w:w="67"/>
        <w:gridCol w:w="142"/>
        <w:gridCol w:w="100"/>
        <w:gridCol w:w="740"/>
        <w:gridCol w:w="67"/>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sz w:val="20"/>
                <w:szCs w:val="20"/>
              </w:rPr>
            </w:pPr>
            <w:r>
              <w:rPr>
                <w:b/>
                <w:bCs/>
                <w:sz w:val="20"/>
                <w:szCs w:val="20"/>
              </w:rPr>
              <w:t>Three Months Ended</w:t>
            </w:r>
          </w:p>
          <w:p w:rsidR="00000000" w:rsidRDefault="003F57A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sz w:val="20"/>
                <w:szCs w:val="20"/>
              </w:rPr>
            </w:pPr>
            <w:r>
              <w:rPr>
                <w:b/>
                <w:bCs/>
                <w:sz w:val="20"/>
                <w:szCs w:val="20"/>
              </w:rPr>
              <w:t>Nine Months Ended</w:t>
            </w:r>
          </w:p>
          <w:p w:rsidR="00000000" w:rsidRDefault="003F57A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3F57AF">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921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2,798</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3,181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Total-net lease cost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930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1,099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2,901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3,271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2022 or the beginning of the lease was less than 12 months. Variable lease costs include utilities, real estate taxes and common area maintenance costs.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87560874"/>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3F57AF">
      <w:pPr>
        <w:pStyle w:val="a3"/>
        <w:spacing w:before="0" w:beforeAutospacing="0" w:after="0" w:afterAutospacing="0"/>
        <w:divId w:val="1293975266"/>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Supplemental balance sheet information related to leases is as follows: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SUPPLEMENTAL BALANCE SHEET INFORMATION RELATED TO LEASE</w:t>
      </w:r>
      <w:r>
        <w:rPr>
          <w:vanish/>
          <w:sz w:val="20"/>
          <w:szCs w:val="20"/>
        </w:rPr>
        <w:t>S</w:t>
      </w:r>
    </w:p>
    <w:tbl>
      <w:tblPr>
        <w:tblW w:w="4750" w:type="pct"/>
        <w:tblCellMar>
          <w:left w:w="0" w:type="dxa"/>
          <w:right w:w="0" w:type="dxa"/>
        </w:tblCellMar>
        <w:tblLook w:val="04A0" w:firstRow="1" w:lastRow="0" w:firstColumn="1" w:lastColumn="0" w:noHBand="0" w:noVBand="1"/>
      </w:tblPr>
      <w:tblGrid>
        <w:gridCol w:w="4375"/>
        <w:gridCol w:w="114"/>
        <w:gridCol w:w="101"/>
        <w:gridCol w:w="1376"/>
        <w:gridCol w:w="167"/>
        <w:gridCol w:w="114"/>
        <w:gridCol w:w="101"/>
        <w:gridCol w:w="1376"/>
        <w:gridCol w:w="167"/>
      </w:tblGrid>
      <w:tr w:rsidR="00000000">
        <w:tc>
          <w:tcPr>
            <w:tcW w:w="0" w:type="auto"/>
            <w:vAlign w:val="bottom"/>
            <w:hideMark/>
          </w:tcPr>
          <w:p w:rsidR="00000000" w:rsidRDefault="003F57AF">
            <w:pPr>
              <w:rPr>
                <w:rFonts w:eastAsia="Times New Roman"/>
                <w:b/>
                <w:bCs/>
                <w:i/>
                <w:iCs/>
                <w:sz w:val="20"/>
                <w:szCs w:val="20"/>
              </w:rPr>
            </w:pPr>
            <w:r>
              <w:rPr>
                <w:rFonts w:eastAsia="Times New Roman"/>
                <w:b/>
                <w:bCs/>
                <w:i/>
                <w:i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 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6"/>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4,679</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6,940</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2,554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2,907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4,545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5,461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8,508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7,242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10,535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(2,474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(3,574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(89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4,679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6,940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40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Operating lease right-of-use assets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4,679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6,940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w:t>
            </w:r>
            <w:r>
              <w:rPr>
                <w:rFonts w:eastAsia="Times New Roman"/>
                <w:sz w:val="20"/>
                <w:szCs w:val="20"/>
              </w:rPr>
              <w:t>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w:t>
            </w:r>
            <w:r>
              <w:rPr>
                <w:rFonts w:eastAsia="Times New Roman"/>
                <w:sz w:val="20"/>
                <w:szCs w:val="20"/>
              </w:rPr>
              <w:t>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vanish/>
                <w:sz w:val="20"/>
                <w:szCs w:val="20"/>
              </w:rPr>
            </w:pPr>
            <w:r>
              <w:rPr>
                <w:rFonts w:eastAsia="Times New Roman"/>
                <w:vanish/>
                <w:sz w:val="20"/>
                <w:szCs w:val="20"/>
              </w:rPr>
              <w:t>Weighted average discount rate: Operating leases</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F57AF">
            <w:pPr>
              <w:jc w:val="right"/>
              <w:rPr>
                <w:rFonts w:eastAsia="Times New Roman"/>
                <w:vanish/>
                <w:sz w:val="20"/>
                <w:szCs w:val="20"/>
              </w:rPr>
            </w:pPr>
            <w:r>
              <w:rPr>
                <w:rFonts w:eastAsia="Times New Roman"/>
                <w:vanish/>
                <w:sz w:val="20"/>
                <w:szCs w:val="20"/>
              </w:rPr>
              <w:t>7.02</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3F57AF">
            <w:pPr>
              <w:jc w:val="right"/>
              <w:rPr>
                <w:rFonts w:eastAsia="Times New Roman"/>
                <w:vanish/>
                <w:sz w:val="20"/>
                <w:szCs w:val="20"/>
              </w:rPr>
            </w:pPr>
            <w:r>
              <w:rPr>
                <w:rFonts w:eastAsia="Times New Roman"/>
                <w:vanish/>
                <w:sz w:val="20"/>
                <w:szCs w:val="20"/>
              </w:rPr>
              <w:t>6.76</w:t>
            </w:r>
          </w:p>
        </w:tc>
        <w:tc>
          <w:tcPr>
            <w:tcW w:w="0" w:type="auto"/>
            <w:shd w:val="clear" w:color="auto" w:fill="CCEEFF"/>
            <w:vAlign w:val="bottom"/>
            <w:hideMark/>
          </w:tcPr>
          <w:p w:rsidR="00000000" w:rsidRDefault="003F57AF">
            <w:pPr>
              <w:rPr>
                <w:rFonts w:eastAsia="Times New Roman"/>
                <w:vanish/>
                <w:sz w:val="20"/>
                <w:szCs w:val="20"/>
              </w:rPr>
            </w:pPr>
            <w:r>
              <w:rPr>
                <w:rFonts w:eastAsia="Times New Roman"/>
                <w:vanish/>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is as follows: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SUPPLEMENTAL CASH FLOW AND OTHER INFORMATION RELATED TO LEASE</w:t>
      </w:r>
      <w:r>
        <w:rPr>
          <w:vanish/>
          <w:sz w:val="20"/>
          <w:szCs w:val="20"/>
        </w:rPr>
        <w:t>S</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Three Months Ended</w:t>
            </w:r>
          </w:p>
          <w:p w:rsidR="00000000" w:rsidRDefault="003F57AF">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Nine Months Ended</w:t>
            </w:r>
          </w:p>
          <w:p w:rsidR="00000000" w:rsidRDefault="003F57AF">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1,228</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1,316</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3,598</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4,048</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leases, excluding impairments and terminations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315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513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2,063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Maturities </w:t>
      </w:r>
      <w:r>
        <w:rPr>
          <w:sz w:val="20"/>
          <w:szCs w:val="20"/>
        </w:rPr>
        <w:t>of lease liabilities are as follows: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vanish/>
          <w:sz w:val="20"/>
          <w:szCs w:val="20"/>
        </w:rPr>
        <w:t>SCHEDULE OF MATURITIES OF LEASE LIABILITIE</w:t>
      </w:r>
      <w:r>
        <w:rPr>
          <w:vanish/>
          <w:sz w:val="20"/>
          <w:szCs w:val="20"/>
        </w:rPr>
        <w:t>S</w:t>
      </w:r>
    </w:p>
    <w:tbl>
      <w:tblPr>
        <w:tblW w:w="3500" w:type="pct"/>
        <w:tblCellMar>
          <w:left w:w="0" w:type="dxa"/>
          <w:right w:w="0" w:type="dxa"/>
        </w:tblCellMar>
        <w:tblLook w:val="04A0" w:firstRow="1" w:lastRow="0" w:firstColumn="1" w:lastColumn="0" w:noHBand="0" w:noVBand="1"/>
      </w:tblPr>
      <w:tblGrid>
        <w:gridCol w:w="4169"/>
        <w:gridCol w:w="99"/>
        <w:gridCol w:w="101"/>
        <w:gridCol w:w="1378"/>
        <w:gridCol w:w="67"/>
      </w:tblGrid>
      <w:tr w:rsidR="00000000">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u w:val="single"/>
              </w:rPr>
              <w:t>Operating leases - Years ending December 31,</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3600" w:type="pct"/>
            <w:shd w:val="clear" w:color="auto" w:fill="CCEEFF"/>
            <w:vAlign w:val="bottom"/>
            <w:hideMark/>
          </w:tcPr>
          <w:p w:rsidR="00000000" w:rsidRDefault="003F57AF">
            <w:pPr>
              <w:rPr>
                <w:rFonts w:eastAsia="Times New Roman"/>
                <w:sz w:val="20"/>
                <w:szCs w:val="20"/>
              </w:rPr>
            </w:pPr>
            <w:r>
              <w:rPr>
                <w:rFonts w:eastAsia="Times New Roman"/>
                <w:sz w:val="20"/>
                <w:szCs w:val="20"/>
              </w:rPr>
              <w:t>2022 (three months)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2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1,072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2,187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237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1,756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6,780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(1,319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5,461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(2,554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2,907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5552825"/>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3F57AF">
      <w:pPr>
        <w:pStyle w:val="a3"/>
        <w:spacing w:before="0" w:beforeAutospacing="0" w:after="0" w:afterAutospacing="0"/>
        <w:divId w:val="1169754513"/>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8.</w:t>
      </w:r>
      <w:r>
        <w:rPr>
          <w:b/>
          <w:bCs/>
          <w:caps/>
          <w:sz w:val="20"/>
          <w:szCs w:val="20"/>
        </w:rPr>
        <w:t xml:space="preserve"> </w:t>
      </w:r>
      <w:r>
        <w:rPr>
          <w:b/>
          <w:bCs/>
          <w:caps/>
          <w:sz w:val="20"/>
          <w:szCs w:val="20"/>
        </w:rPr>
        <w:t>COMMITMENTS AND CONTINGENCIE</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b/>
          <w:bCs/>
          <w:sz w:val="20"/>
          <w:szCs w:val="20"/>
        </w:rPr>
        <w:t>Legal Proceedings</w:t>
      </w:r>
      <w:r>
        <w:rPr>
          <w:sz w:val="20"/>
          <w:szCs w:val="20"/>
        </w:rPr>
        <w:t xml:space="preserve"> — On May 30, 2018, the Superior Court of New Jersey, Chancery Division, Somerset County (the “Chancery Court”) denied CareCloud’s and MTBC Acquisition Corp.’s (“MAC’s”) request to enjoin an arbitration proc</w:t>
      </w:r>
      <w:r>
        <w:rPr>
          <w:sz w:val="20"/>
          <w:szCs w:val="20"/>
        </w:rPr>
        <w:t>eeding demanded by Randolph Pain Relief and Wellness Center (“RPRWC”) related to RCM services provided by parties unaffiliated with CareCloud or MAC. On June 15, 2018, CareCloud and MAC filed an appeal of the Chancery Court’s decision with the New Jersey S</w:t>
      </w:r>
      <w:r>
        <w:rPr>
          <w:sz w:val="20"/>
          <w:szCs w:val="20"/>
        </w:rPr>
        <w:t xml:space="preserve">uperior Court, Appellate Division. On July 19, 2018, the Chancery Court ordered that the arbitration be stayed pending CareCloud’s and MAC’s appeal. On appeal, CareCloud and MAC contended they were never party to the billing services agreement giving rise </w:t>
      </w:r>
      <w:r>
        <w:rPr>
          <w:sz w:val="20"/>
          <w:szCs w:val="20"/>
        </w:rPr>
        <w:t>to the arbitration claim, did not assume the obligations of Millennium Practice Management Associates, Inc. (“MPMA”) under such agreement, and any agreement to arbitrate disputes arising under such agreement did not apply to CareCloud or MAC as RPRWC termi</w:t>
      </w:r>
      <w:r>
        <w:rPr>
          <w:sz w:val="20"/>
          <w:szCs w:val="20"/>
        </w:rPr>
        <w:t>nated the agreement before the applicable asset purchase agreement took effect. On January 30, 2019, the parties conducted oral arguments before the Appellate Division.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On April 23, 2019, the Appellate Division affirmed in part and reversed in part the t</w:t>
      </w:r>
      <w:r>
        <w:rPr>
          <w:sz w:val="20"/>
          <w:szCs w:val="20"/>
        </w:rPr>
        <w:t>rial court’s order. The Appellate Division upheld the portion of the trial court’s order requiring MAC to participate in the arbitration based on the trial court’s finding that MAC had assumed MPMA’s contractual responsibilities. The Appellate Division rev</w:t>
      </w:r>
      <w:r>
        <w:rPr>
          <w:sz w:val="20"/>
          <w:szCs w:val="20"/>
        </w:rPr>
        <w:t>ersed the trial court’s order requiring CareCloud to participate in the arbitration on the grounds that insufficient facts had been provided by RPRWC from which the court could conclude CareCloud was required to participate in the arbitration. As a result,</w:t>
      </w:r>
      <w:r>
        <w:rPr>
          <w:sz w:val="20"/>
          <w:szCs w:val="20"/>
        </w:rPr>
        <w:t xml:space="preserve"> the Appellate Division remanded the issue of whether Company is required to participate in the arbitration back to the trial court for further proceedings.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parties completed discovery in the remanded matter on November 29, 2019, and thereafter both CareCloud and RPRWC filed cross-motions for summary judgment in their favor. On February 6, 2020, the Chancery Court denied RPRWC’s motion for summary judgment and</w:t>
      </w:r>
      <w:r>
        <w:rPr>
          <w:sz w:val="20"/>
          <w:szCs w:val="20"/>
        </w:rPr>
        <w:t xml:space="preserve"> granted CareCloud’s cross-motion for summary judgment. The Chancery Court held that CareCloud cannot be compelled to participate in the Arbitration. RPRWC has informed CareCloud that it does not intend to appeal the Chancery Court’s ruling and that it int</w:t>
      </w:r>
      <w:r>
        <w:rPr>
          <w:sz w:val="20"/>
          <w:szCs w:val="20"/>
        </w:rPr>
        <w:t>ends to move forward solely against MAC. On March 25, 2020, the Chancery Court lifted the stay of arbitration relative to RPRWC and MAC. In its arbitration demand, RPRWC alleges that MPMA, a subsidiary of MediGain, LLC, breached the terms of the billing se</w:t>
      </w:r>
      <w:r>
        <w:rPr>
          <w:sz w:val="20"/>
          <w:szCs w:val="20"/>
        </w:rPr>
        <w:t xml:space="preserve">rvices agreement the parties had entered into and sought compensatory damages of </w:t>
      </w:r>
      <w:r>
        <w:rPr>
          <w:sz w:val="20"/>
          <w:szCs w:val="20"/>
        </w:rPr>
        <w:t>$</w:t>
      </w:r>
      <w:r>
        <w:rPr>
          <w:sz w:val="20"/>
          <w:szCs w:val="20"/>
        </w:rPr>
        <w:t>6.</w:t>
      </w:r>
      <w:r>
        <w:rPr>
          <w:sz w:val="20"/>
          <w:szCs w:val="20"/>
        </w:rPr>
        <w:t>6</w:t>
      </w:r>
      <w:r>
        <w:rPr>
          <w:sz w:val="20"/>
          <w:szCs w:val="20"/>
        </w:rPr>
        <w:t xml:space="preserve"> million and costs.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On May 28, 2020, the arbitrator handling the matter conducted a scheduling conference with the parties in order to establish deadlines for the partie</w:t>
      </w:r>
      <w:r>
        <w:rPr>
          <w:sz w:val="20"/>
          <w:szCs w:val="20"/>
        </w:rPr>
        <w:t>s to exchange discovery requests and responses. During the conference, the arbitrator directed RPRWC to produce a statement of damages on which it bases its claim. RPRWC disclosed its statement of damages to MAC on June 12, 2020. RPRWC’s June 12, 2020 stat</w:t>
      </w:r>
      <w:r>
        <w:rPr>
          <w:sz w:val="20"/>
          <w:szCs w:val="20"/>
        </w:rPr>
        <w:t xml:space="preserve">ement of damages increased its alleged damages from </w:t>
      </w:r>
      <w:r>
        <w:rPr>
          <w:sz w:val="20"/>
          <w:szCs w:val="20"/>
        </w:rPr>
        <w:t>$</w:t>
      </w:r>
      <w:r>
        <w:rPr>
          <w:sz w:val="20"/>
          <w:szCs w:val="20"/>
        </w:rPr>
        <w:t>6.</w:t>
      </w:r>
      <w:r>
        <w:rPr>
          <w:sz w:val="20"/>
          <w:szCs w:val="20"/>
        </w:rPr>
        <w:t>6</w:t>
      </w:r>
      <w:r>
        <w:rPr>
          <w:sz w:val="20"/>
          <w:szCs w:val="20"/>
        </w:rPr>
        <w:t xml:space="preserve"> million and costs to </w:t>
      </w:r>
      <w:r>
        <w:rPr>
          <w:sz w:val="20"/>
          <w:szCs w:val="20"/>
        </w:rPr>
        <w:t>$</w:t>
      </w:r>
      <w:r>
        <w:rPr>
          <w:sz w:val="20"/>
          <w:szCs w:val="20"/>
        </w:rPr>
        <w:t>2</w:t>
      </w:r>
      <w:r>
        <w:rPr>
          <w:sz w:val="20"/>
          <w:szCs w:val="20"/>
        </w:rPr>
        <w:t>0</w:t>
      </w:r>
      <w:r>
        <w:rPr>
          <w:sz w:val="20"/>
          <w:szCs w:val="20"/>
        </w:rPr>
        <w:t xml:space="preserve"> million and costs. On July 24, 2020, RPRWC disclosed a declaration to MAC, in which RPRWC estimates its damages to be approximately </w:t>
      </w:r>
      <w:r>
        <w:rPr>
          <w:sz w:val="20"/>
          <w:szCs w:val="20"/>
        </w:rPr>
        <w:t>$</w:t>
      </w:r>
      <w:r>
        <w:rPr>
          <w:sz w:val="20"/>
          <w:szCs w:val="20"/>
        </w:rPr>
        <w:t>1</w:t>
      </w:r>
      <w:r>
        <w:rPr>
          <w:sz w:val="20"/>
          <w:szCs w:val="20"/>
        </w:rPr>
        <w:t>1</w:t>
      </w:r>
      <w:r>
        <w:rPr>
          <w:sz w:val="20"/>
          <w:szCs w:val="20"/>
        </w:rPr>
        <w:t xml:space="preserve"> million plus costs. RPRWC then served </w:t>
      </w:r>
      <w:r>
        <w:rPr>
          <w:sz w:val="20"/>
          <w:szCs w:val="20"/>
        </w:rPr>
        <w:t xml:space="preserve">expert reports in November 2021, whereby RPRWC’s expert alleged that damages were estimated to be in the range of </w:t>
      </w:r>
      <w:r>
        <w:rPr>
          <w:sz w:val="20"/>
          <w:szCs w:val="20"/>
        </w:rPr>
        <w:t>$</w:t>
      </w:r>
      <w:r>
        <w:rPr>
          <w:sz w:val="20"/>
          <w:szCs w:val="20"/>
        </w:rPr>
        <w:t>9.</w:t>
      </w:r>
      <w:r>
        <w:rPr>
          <w:sz w:val="20"/>
          <w:szCs w:val="20"/>
        </w:rPr>
        <w:t>8</w:t>
      </w:r>
      <w:r>
        <w:rPr>
          <w:sz w:val="20"/>
          <w:szCs w:val="20"/>
        </w:rPr>
        <w:t xml:space="preserve"> million to </w:t>
      </w:r>
      <w:r>
        <w:rPr>
          <w:sz w:val="20"/>
          <w:szCs w:val="20"/>
        </w:rPr>
        <w:t>$</w:t>
      </w:r>
      <w:r>
        <w:rPr>
          <w:sz w:val="20"/>
          <w:szCs w:val="20"/>
        </w:rPr>
        <w:t>10.</w:t>
      </w:r>
      <w:r>
        <w:rPr>
          <w:sz w:val="20"/>
          <w:szCs w:val="20"/>
        </w:rPr>
        <w:t>8</w:t>
      </w:r>
      <w:r>
        <w:rPr>
          <w:sz w:val="20"/>
          <w:szCs w:val="20"/>
        </w:rPr>
        <w:t xml:space="preserve"> million. MAC has served an expert report refuting the alleged damages. A hearing was held in this matter over four days </w:t>
      </w:r>
      <w:r>
        <w:rPr>
          <w:sz w:val="20"/>
          <w:szCs w:val="20"/>
        </w:rPr>
        <w:t>in June 2022. Testimony regarding alleged damages, and MAC’s defenses and refutation of the alleged damages thereto, was given at the hearing in line with the expert reports exchanged in discovery. Written closing arguments were submitted by both parties t</w:t>
      </w:r>
      <w:r>
        <w:rPr>
          <w:sz w:val="20"/>
          <w:szCs w:val="20"/>
        </w:rPr>
        <w:t>o the arbitrator in October 2022.</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While the allegations of breach of contract made by RPRWC are the subject of the ongoing legal proceedings, MAC believes RPRWC’s allegations lack merit on numerous grounds. MAC continues to vigorously defend against RPRW</w:t>
      </w:r>
      <w:r>
        <w:rPr>
          <w:sz w:val="20"/>
          <w:szCs w:val="20"/>
        </w:rPr>
        <w:t xml:space="preserve">C’s claim and is currently awaiting the arbitrator’s ruling. Based on RPRWC’s most recent calculation of its claimed damages, the possible loss arising from this matter may be between </w:t>
      </w:r>
      <w:r>
        <w:rPr>
          <w:sz w:val="20"/>
          <w:szCs w:val="20"/>
        </w:rPr>
        <w:t>$</w:t>
      </w:r>
      <w:r>
        <w:rPr>
          <w:sz w:val="20"/>
          <w:szCs w:val="20"/>
        </w:rPr>
        <w:t>0</w:t>
      </w:r>
      <w:r>
        <w:rPr>
          <w:sz w:val="20"/>
          <w:szCs w:val="20"/>
        </w:rPr>
        <w:t xml:space="preserve"> to </w:t>
      </w:r>
      <w:r>
        <w:rPr>
          <w:sz w:val="20"/>
          <w:szCs w:val="20"/>
        </w:rPr>
        <w:t>$</w:t>
      </w:r>
      <w:r>
        <w:rPr>
          <w:sz w:val="20"/>
          <w:szCs w:val="20"/>
        </w:rPr>
        <w:t>10.</w:t>
      </w:r>
      <w:r>
        <w:rPr>
          <w:sz w:val="20"/>
          <w:szCs w:val="20"/>
        </w:rPr>
        <w:t>8</w:t>
      </w:r>
      <w:r>
        <w:rPr>
          <w:sz w:val="20"/>
          <w:szCs w:val="20"/>
        </w:rPr>
        <w:t xml:space="preserve"> million. However, since MAC is not a significant subsidiary </w:t>
      </w:r>
      <w:r>
        <w:rPr>
          <w:sz w:val="20"/>
          <w:szCs w:val="20"/>
        </w:rPr>
        <w:t>of CareCloud pursuant to Rule 1-02(w) of Regulation S-X, and CareCloud is not a party to this proceeding, we do not expect any outcome to have a material impact on the Company’s consolidated financial statements.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line="252" w:lineRule="auto"/>
        <w:jc w:val="both"/>
        <w:rPr>
          <w:sz w:val="20"/>
          <w:szCs w:val="20"/>
        </w:rPr>
      </w:pPr>
      <w:r>
        <w:rPr>
          <w:sz w:val="20"/>
          <w:szCs w:val="20"/>
        </w:rPr>
        <w:t>From time to time, we may become involved</w:t>
      </w:r>
      <w:r>
        <w:rPr>
          <w:sz w:val="20"/>
          <w:szCs w:val="20"/>
        </w:rPr>
        <w:t xml:space="preserve"> in other legal proceedings arising in the ordinary course of our business. Including the proceeding described above, we are not presently a party to any legal proceedings that, in the opinion of our management, would individually or taken together have a </w:t>
      </w:r>
      <w:r>
        <w:rPr>
          <w:sz w:val="20"/>
          <w:szCs w:val="20"/>
        </w:rPr>
        <w:t>material adverse effect on our business, consolidated results of operations, financial position or cash flows of the Company.</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3005558"/>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3F57AF">
      <w:pPr>
        <w:pStyle w:val="a3"/>
        <w:spacing w:before="0" w:beforeAutospacing="0" w:after="0" w:afterAutospacing="0"/>
        <w:divId w:val="1545560334"/>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9.</w:t>
      </w:r>
      <w:r>
        <w:rPr>
          <w:b/>
          <w:bCs/>
          <w:caps/>
          <w:sz w:val="20"/>
          <w:szCs w:val="20"/>
        </w:rPr>
        <w:t xml:space="preserve"> </w:t>
      </w:r>
      <w:r>
        <w:rPr>
          <w:b/>
          <w:bCs/>
          <w:caps/>
          <w:sz w:val="20"/>
          <w:szCs w:val="20"/>
        </w:rPr>
        <w:t>RELATED PARTIE</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The Company had sales to a related party, a physician who is the wife of the Executive Chairman. Re</w:t>
      </w:r>
      <w:r>
        <w:rPr>
          <w:sz w:val="20"/>
          <w:szCs w:val="20"/>
        </w:rPr>
        <w:t xml:space="preserve">venues from this customer were approximately </w:t>
      </w:r>
      <w:r>
        <w:rPr>
          <w:sz w:val="20"/>
          <w:szCs w:val="20"/>
        </w:rPr>
        <w:t>$</w:t>
      </w:r>
      <w:r>
        <w:rPr>
          <w:sz w:val="20"/>
          <w:szCs w:val="20"/>
        </w:rPr>
        <w:t>16,00</w:t>
      </w:r>
      <w:r>
        <w:rPr>
          <w:sz w:val="20"/>
          <w:szCs w:val="20"/>
        </w:rPr>
        <w:t>0</w:t>
      </w:r>
      <w:r>
        <w:rPr>
          <w:sz w:val="20"/>
          <w:szCs w:val="20"/>
        </w:rPr>
        <w:t xml:space="preserve"> and </w:t>
      </w:r>
      <w:r>
        <w:rPr>
          <w:sz w:val="20"/>
          <w:szCs w:val="20"/>
        </w:rPr>
        <w:t>$</w:t>
      </w:r>
      <w:r>
        <w:rPr>
          <w:sz w:val="20"/>
          <w:szCs w:val="20"/>
        </w:rPr>
        <w:t>15,00</w:t>
      </w:r>
      <w:r>
        <w:rPr>
          <w:sz w:val="20"/>
          <w:szCs w:val="20"/>
        </w:rPr>
        <w:t>0</w:t>
      </w:r>
      <w:r>
        <w:rPr>
          <w:sz w:val="20"/>
          <w:szCs w:val="20"/>
        </w:rPr>
        <w:t xml:space="preserve"> for the nine months ended September 30, 2022 and 2021, respectively and </w:t>
      </w:r>
      <w:r>
        <w:rPr>
          <w:sz w:val="20"/>
          <w:szCs w:val="20"/>
        </w:rPr>
        <w:t>$</w:t>
      </w:r>
      <w:r>
        <w:rPr>
          <w:sz w:val="20"/>
          <w:szCs w:val="20"/>
        </w:rPr>
        <w:t>5,00</w:t>
      </w:r>
      <w:r>
        <w:rPr>
          <w:sz w:val="20"/>
          <w:szCs w:val="20"/>
        </w:rPr>
        <w:t>0</w:t>
      </w:r>
      <w:r>
        <w:rPr>
          <w:sz w:val="20"/>
          <w:szCs w:val="20"/>
        </w:rPr>
        <w:t xml:space="preserve"> and </w:t>
      </w:r>
      <w:r>
        <w:rPr>
          <w:sz w:val="20"/>
          <w:szCs w:val="20"/>
        </w:rPr>
        <w:t>$</w:t>
      </w:r>
      <w:r>
        <w:rPr>
          <w:sz w:val="20"/>
          <w:szCs w:val="20"/>
        </w:rPr>
        <w:t>6,00</w:t>
      </w:r>
      <w:r>
        <w:rPr>
          <w:sz w:val="20"/>
          <w:szCs w:val="20"/>
        </w:rPr>
        <w:t>0</w:t>
      </w:r>
      <w:r>
        <w:rPr>
          <w:sz w:val="20"/>
          <w:szCs w:val="20"/>
        </w:rPr>
        <w:t xml:space="preserve"> for the three months ended September 30, 2022 and 2021, respectively. As of September 30, 2022, and D</w:t>
      </w:r>
      <w:r>
        <w:rPr>
          <w:sz w:val="20"/>
          <w:szCs w:val="20"/>
        </w:rPr>
        <w:t xml:space="preserve">ecember 31, 2021, the receivable balance due from this customer was approximately </w:t>
      </w:r>
      <w:r>
        <w:rPr>
          <w:sz w:val="20"/>
          <w:szCs w:val="20"/>
        </w:rPr>
        <w:t>$</w:t>
      </w:r>
      <w:r>
        <w:rPr>
          <w:sz w:val="20"/>
          <w:szCs w:val="20"/>
        </w:rPr>
        <w:t>6,00</w:t>
      </w:r>
      <w:r>
        <w:rPr>
          <w:sz w:val="20"/>
          <w:szCs w:val="20"/>
        </w:rPr>
        <w:t>0</w:t>
      </w:r>
      <w:r>
        <w:rPr>
          <w:sz w:val="20"/>
          <w:szCs w:val="20"/>
        </w:rPr>
        <w:t xml:space="preserve"> and </w:t>
      </w:r>
      <w:r>
        <w:rPr>
          <w:sz w:val="20"/>
          <w:szCs w:val="20"/>
        </w:rPr>
        <w:t>$</w:t>
      </w:r>
      <w:r>
        <w:rPr>
          <w:sz w:val="20"/>
          <w:szCs w:val="20"/>
        </w:rPr>
        <w:t>3,00</w:t>
      </w:r>
      <w:r>
        <w:rPr>
          <w:sz w:val="20"/>
          <w:szCs w:val="20"/>
        </w:rPr>
        <w:t>0</w:t>
      </w:r>
      <w:r>
        <w:rPr>
          <w:sz w:val="20"/>
          <w:szCs w:val="20"/>
        </w:rPr>
        <w:t>, respectively.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 xml:space="preserve">Company was a party to a nonexclusive aircraft dry lease agreement with Kashmir Air, Inc. (“KAI”), which was owned by the Executive Chairman. The Company recorded an expense of approximately </w:t>
      </w:r>
      <w:r>
        <w:rPr>
          <w:sz w:val="20"/>
          <w:szCs w:val="20"/>
        </w:rPr>
        <w:t>$</w:t>
      </w:r>
      <w:r>
        <w:rPr>
          <w:sz w:val="20"/>
          <w:szCs w:val="20"/>
        </w:rPr>
        <w:t>20,00</w:t>
      </w:r>
      <w:r>
        <w:rPr>
          <w:sz w:val="20"/>
          <w:szCs w:val="20"/>
        </w:rPr>
        <w:t>0</w:t>
      </w:r>
      <w:r>
        <w:rPr>
          <w:sz w:val="20"/>
          <w:szCs w:val="20"/>
        </w:rPr>
        <w:t xml:space="preserve"> and </w:t>
      </w:r>
      <w:r>
        <w:rPr>
          <w:sz w:val="20"/>
          <w:szCs w:val="20"/>
        </w:rPr>
        <w:t>$</w:t>
      </w:r>
      <w:r>
        <w:rPr>
          <w:sz w:val="20"/>
          <w:szCs w:val="20"/>
        </w:rPr>
        <w:t>80,00</w:t>
      </w:r>
      <w:r>
        <w:rPr>
          <w:sz w:val="20"/>
          <w:szCs w:val="20"/>
        </w:rPr>
        <w:t>0</w:t>
      </w:r>
      <w:r>
        <w:rPr>
          <w:sz w:val="20"/>
          <w:szCs w:val="20"/>
        </w:rPr>
        <w:t xml:space="preserve"> for the three and nine months ended September</w:t>
      </w:r>
      <w:r>
        <w:rPr>
          <w:sz w:val="20"/>
          <w:szCs w:val="20"/>
        </w:rPr>
        <w:t xml:space="preserve"> 30, 2021, respectively. The lease for the aircraft was renewed as of April 1, 2021 and terminated on August 31, 2021. As a result of the lease termination, the Company incurred a loss of approximately </w:t>
      </w:r>
      <w:r>
        <w:rPr>
          <w:sz w:val="20"/>
          <w:szCs w:val="20"/>
        </w:rPr>
        <w:t>$</w:t>
      </w:r>
      <w:r>
        <w:rPr>
          <w:sz w:val="20"/>
          <w:szCs w:val="20"/>
        </w:rPr>
        <w:t>185,00</w:t>
      </w:r>
      <w:r>
        <w:rPr>
          <w:sz w:val="20"/>
          <w:szCs w:val="20"/>
        </w:rPr>
        <w:t>0</w:t>
      </w:r>
      <w:r>
        <w:rPr>
          <w:sz w:val="20"/>
          <w:szCs w:val="20"/>
        </w:rPr>
        <w:t>, which has been included in Net loss on lease</w:t>
      </w:r>
      <w:r>
        <w:rPr>
          <w:sz w:val="20"/>
          <w:szCs w:val="20"/>
        </w:rPr>
        <w:t xml:space="preserve"> termination, impairment and unoccupied lease charges in the September 30, 2021 consolidated statements of operations. As of September 30, 2022, there was no liability outstanding to KAI.</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Company leases its corporate offices in New Jersey, its tempor</w:t>
      </w:r>
      <w:r>
        <w:rPr>
          <w:sz w:val="20"/>
          <w:szCs w:val="20"/>
        </w:rPr>
        <w:t>ary housing for its foreign visitors, a printing and mailing facility and its backup operations center in Bagh, Pakistan and an apartment for temporary housing in Dubai, the UAE, from the Executive Chairman. The related party rent expense for the nine mont</w:t>
      </w:r>
      <w:r>
        <w:rPr>
          <w:sz w:val="20"/>
          <w:szCs w:val="20"/>
        </w:rPr>
        <w:t xml:space="preserve">hs ended September 30, 2022 and 2021 was approximately </w:t>
      </w:r>
      <w:r>
        <w:rPr>
          <w:sz w:val="20"/>
          <w:szCs w:val="20"/>
        </w:rPr>
        <w:t>$</w:t>
      </w:r>
      <w:r>
        <w:rPr>
          <w:sz w:val="20"/>
          <w:szCs w:val="20"/>
        </w:rPr>
        <w:t>149,00</w:t>
      </w:r>
      <w:r>
        <w:rPr>
          <w:sz w:val="20"/>
          <w:szCs w:val="20"/>
        </w:rPr>
        <w:t>0</w:t>
      </w:r>
      <w:r>
        <w:rPr>
          <w:sz w:val="20"/>
          <w:szCs w:val="20"/>
        </w:rPr>
        <w:t xml:space="preserve"> and </w:t>
      </w:r>
      <w:r>
        <w:rPr>
          <w:sz w:val="20"/>
          <w:szCs w:val="20"/>
        </w:rPr>
        <w:t>$</w:t>
      </w:r>
      <w:r>
        <w:rPr>
          <w:sz w:val="20"/>
          <w:szCs w:val="20"/>
        </w:rPr>
        <w:t>140,00</w:t>
      </w:r>
      <w:r>
        <w:rPr>
          <w:sz w:val="20"/>
          <w:szCs w:val="20"/>
        </w:rPr>
        <w:t>0</w:t>
      </w:r>
      <w:r>
        <w:rPr>
          <w:sz w:val="20"/>
          <w:szCs w:val="20"/>
        </w:rPr>
        <w:t xml:space="preserve">, respectively, and was approximately </w:t>
      </w:r>
      <w:r>
        <w:rPr>
          <w:sz w:val="20"/>
          <w:szCs w:val="20"/>
        </w:rPr>
        <w:t>$</w:t>
      </w:r>
      <w:r>
        <w:rPr>
          <w:sz w:val="20"/>
          <w:szCs w:val="20"/>
        </w:rPr>
        <w:t>49,00</w:t>
      </w:r>
      <w:r>
        <w:rPr>
          <w:sz w:val="20"/>
          <w:szCs w:val="20"/>
        </w:rPr>
        <w:t>0</w:t>
      </w:r>
      <w:r>
        <w:rPr>
          <w:sz w:val="20"/>
          <w:szCs w:val="20"/>
        </w:rPr>
        <w:t xml:space="preserve"> and </w:t>
      </w:r>
      <w:r>
        <w:rPr>
          <w:sz w:val="20"/>
          <w:szCs w:val="20"/>
        </w:rPr>
        <w:t>$</w:t>
      </w:r>
      <w:r>
        <w:rPr>
          <w:sz w:val="20"/>
          <w:szCs w:val="20"/>
        </w:rPr>
        <w:t>47,00</w:t>
      </w:r>
      <w:r>
        <w:rPr>
          <w:sz w:val="20"/>
          <w:szCs w:val="20"/>
        </w:rPr>
        <w:t>0</w:t>
      </w:r>
      <w:r>
        <w:rPr>
          <w:sz w:val="20"/>
          <w:szCs w:val="20"/>
        </w:rPr>
        <w:t xml:space="preserve"> for the three months ended September 30, 2022 and 2021, respectively, and is included in direct operating costs, general a</w:t>
      </w:r>
      <w:r>
        <w:rPr>
          <w:sz w:val="20"/>
          <w:szCs w:val="20"/>
        </w:rPr>
        <w:t xml:space="preserve">nd administrative expense and research and development expense in the consolidated statements of operations. During the nine months ended September 30, 2022 and 2021, the Company spent approximately </w:t>
      </w:r>
      <w:r>
        <w:rPr>
          <w:sz w:val="20"/>
          <w:szCs w:val="20"/>
        </w:rPr>
        <w:t>$</w:t>
      </w:r>
      <w:r>
        <w:rPr>
          <w:sz w:val="20"/>
          <w:szCs w:val="20"/>
        </w:rPr>
        <w:t>633,00</w:t>
      </w:r>
      <w:r>
        <w:rPr>
          <w:sz w:val="20"/>
          <w:szCs w:val="20"/>
        </w:rPr>
        <w:t>0</w:t>
      </w:r>
      <w:r>
        <w:rPr>
          <w:sz w:val="20"/>
          <w:szCs w:val="20"/>
        </w:rPr>
        <w:t xml:space="preserve"> and </w:t>
      </w:r>
      <w:r>
        <w:rPr>
          <w:sz w:val="20"/>
          <w:szCs w:val="20"/>
        </w:rPr>
        <w:t>$</w:t>
      </w:r>
      <w:r>
        <w:rPr>
          <w:sz w:val="20"/>
          <w:szCs w:val="20"/>
        </w:rPr>
        <w:t>1.</w:t>
      </w:r>
      <w:r>
        <w:rPr>
          <w:sz w:val="20"/>
          <w:szCs w:val="20"/>
        </w:rPr>
        <w:t>4</w:t>
      </w:r>
      <w:r>
        <w:rPr>
          <w:sz w:val="20"/>
          <w:szCs w:val="20"/>
        </w:rPr>
        <w:t xml:space="preserve"> million to upgrade the related party le</w:t>
      </w:r>
      <w:r>
        <w:rPr>
          <w:sz w:val="20"/>
          <w:szCs w:val="20"/>
        </w:rPr>
        <w:t xml:space="preserve">ased facilities. Current assets-related party in the consolidated balance sheets includes security deposits related to the leases of the Company’s corporate offices in the amount of approximately </w:t>
      </w:r>
      <w:r>
        <w:rPr>
          <w:sz w:val="20"/>
          <w:szCs w:val="20"/>
        </w:rPr>
        <w:t>$</w:t>
      </w:r>
      <w:r>
        <w:rPr>
          <w:sz w:val="20"/>
          <w:szCs w:val="20"/>
        </w:rPr>
        <w:t>16,00</w:t>
      </w:r>
      <w:r>
        <w:rPr>
          <w:sz w:val="20"/>
          <w:szCs w:val="20"/>
        </w:rPr>
        <w:t>0</w:t>
      </w:r>
      <w:r>
        <w:rPr>
          <w:sz w:val="20"/>
          <w:szCs w:val="20"/>
        </w:rPr>
        <w:t xml:space="preserve"> and </w:t>
      </w:r>
      <w:r>
        <w:rPr>
          <w:sz w:val="20"/>
          <w:szCs w:val="20"/>
        </w:rPr>
        <w:t>$</w:t>
      </w:r>
      <w:r>
        <w:rPr>
          <w:sz w:val="20"/>
          <w:szCs w:val="20"/>
        </w:rPr>
        <w:t>13,00</w:t>
      </w:r>
      <w:r>
        <w:rPr>
          <w:sz w:val="20"/>
          <w:szCs w:val="20"/>
        </w:rPr>
        <w:t>0</w:t>
      </w:r>
      <w:r>
        <w:rPr>
          <w:sz w:val="20"/>
          <w:szCs w:val="20"/>
        </w:rPr>
        <w:t xml:space="preserve"> as of September 30, 2022 and December 31</w:t>
      </w:r>
      <w:r>
        <w:rPr>
          <w:sz w:val="20"/>
          <w:szCs w:val="20"/>
        </w:rPr>
        <w:t>, 2021, respectively.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Included in the ROU asset at September 30, 2022 is approximately </w:t>
      </w:r>
      <w:r>
        <w:rPr>
          <w:sz w:val="20"/>
          <w:szCs w:val="20"/>
        </w:rPr>
        <w:t>$</w:t>
      </w:r>
      <w:r>
        <w:rPr>
          <w:sz w:val="20"/>
          <w:szCs w:val="20"/>
        </w:rPr>
        <w:t>360,00</w:t>
      </w:r>
      <w:r>
        <w:rPr>
          <w:sz w:val="20"/>
          <w:szCs w:val="20"/>
        </w:rPr>
        <w:t>0</w:t>
      </w:r>
      <w:r>
        <w:rPr>
          <w:sz w:val="20"/>
          <w:szCs w:val="20"/>
        </w:rPr>
        <w:t xml:space="preserve"> applicable to the related party leases. Included in the current and non-current operating lease liability at September 30, 2022 is approximately </w:t>
      </w:r>
      <w:r>
        <w:rPr>
          <w:sz w:val="20"/>
          <w:szCs w:val="20"/>
        </w:rPr>
        <w:t>$</w:t>
      </w:r>
      <w:r>
        <w:rPr>
          <w:sz w:val="20"/>
          <w:szCs w:val="20"/>
        </w:rPr>
        <w:t>183,00</w:t>
      </w:r>
      <w:r>
        <w:rPr>
          <w:sz w:val="20"/>
          <w:szCs w:val="20"/>
        </w:rPr>
        <w:t>0</w:t>
      </w:r>
      <w:r>
        <w:rPr>
          <w:sz w:val="20"/>
          <w:szCs w:val="20"/>
        </w:rPr>
        <w:t xml:space="preserve"> and </w:t>
      </w:r>
      <w:r>
        <w:rPr>
          <w:sz w:val="20"/>
          <w:szCs w:val="20"/>
        </w:rPr>
        <w:t>$</w:t>
      </w:r>
      <w:r>
        <w:rPr>
          <w:sz w:val="20"/>
          <w:szCs w:val="20"/>
        </w:rPr>
        <w:t>171,00</w:t>
      </w:r>
      <w:r>
        <w:rPr>
          <w:sz w:val="20"/>
          <w:szCs w:val="20"/>
        </w:rPr>
        <w:t>0</w:t>
      </w:r>
      <w:r>
        <w:rPr>
          <w:sz w:val="20"/>
          <w:szCs w:val="20"/>
        </w:rPr>
        <w:t>, respectively, applicable to the related party leases.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Included in the ROU asset at December 31, 2021 is approximately </w:t>
      </w:r>
      <w:r>
        <w:rPr>
          <w:sz w:val="20"/>
          <w:szCs w:val="20"/>
        </w:rPr>
        <w:t>$</w:t>
      </w:r>
      <w:r>
        <w:rPr>
          <w:sz w:val="20"/>
          <w:szCs w:val="20"/>
        </w:rPr>
        <w:t>483,00</w:t>
      </w:r>
      <w:r>
        <w:rPr>
          <w:sz w:val="20"/>
          <w:szCs w:val="20"/>
        </w:rPr>
        <w:t>0</w:t>
      </w:r>
      <w:r>
        <w:rPr>
          <w:sz w:val="20"/>
          <w:szCs w:val="20"/>
        </w:rPr>
        <w:t xml:space="preserve"> applicable to the related party leases. Included in the current and non-current operating lease liability at December</w:t>
      </w:r>
      <w:r>
        <w:rPr>
          <w:sz w:val="20"/>
          <w:szCs w:val="20"/>
        </w:rPr>
        <w:t xml:space="preserve"> 31, 2021 is approximately </w:t>
      </w:r>
      <w:r>
        <w:rPr>
          <w:sz w:val="20"/>
          <w:szCs w:val="20"/>
        </w:rPr>
        <w:t>$</w:t>
      </w:r>
      <w:r>
        <w:rPr>
          <w:sz w:val="20"/>
          <w:szCs w:val="20"/>
        </w:rPr>
        <w:t>174,00</w:t>
      </w:r>
      <w:r>
        <w:rPr>
          <w:sz w:val="20"/>
          <w:szCs w:val="20"/>
        </w:rPr>
        <w:t>0</w:t>
      </w:r>
      <w:r>
        <w:rPr>
          <w:sz w:val="20"/>
          <w:szCs w:val="20"/>
        </w:rPr>
        <w:t xml:space="preserve"> and </w:t>
      </w:r>
      <w:r>
        <w:rPr>
          <w:sz w:val="20"/>
          <w:szCs w:val="20"/>
        </w:rPr>
        <w:t>$</w:t>
      </w:r>
      <w:r>
        <w:rPr>
          <w:sz w:val="20"/>
          <w:szCs w:val="20"/>
        </w:rPr>
        <w:t>305,00</w:t>
      </w:r>
      <w:r>
        <w:rPr>
          <w:sz w:val="20"/>
          <w:szCs w:val="20"/>
        </w:rPr>
        <w:t>0</w:t>
      </w:r>
      <w:r>
        <w:rPr>
          <w:sz w:val="20"/>
          <w:szCs w:val="20"/>
        </w:rPr>
        <w:t>, respectively, applicable to the related party leases.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During 2020, a New Jersey corporation, talkMD Clinicians, PA (“talkMD”), was formed by the wife of the Executive Chairman, who is a licensed physician</w:t>
      </w:r>
      <w:r>
        <w:rPr>
          <w:sz w:val="20"/>
          <w:szCs w:val="20"/>
        </w:rPr>
        <w:t>, to provide telehealth services. talkMD was determined to be a variable interest entity (“VIE”) for financial reporting purposes because the entity will be controlled by the Company. As of September 30, 2022, talkMD had not yet commenced operations. Cumul</w:t>
      </w:r>
      <w:r>
        <w:rPr>
          <w:sz w:val="20"/>
          <w:szCs w:val="20"/>
        </w:rPr>
        <w:t xml:space="preserve">atively, the Company has paid approximately </w:t>
      </w:r>
      <w:r>
        <w:rPr>
          <w:sz w:val="20"/>
          <w:szCs w:val="20"/>
        </w:rPr>
        <w:t>$</w:t>
      </w:r>
      <w:r>
        <w:rPr>
          <w:sz w:val="20"/>
          <w:szCs w:val="20"/>
        </w:rPr>
        <w:t>4,00</w:t>
      </w:r>
      <w:r>
        <w:rPr>
          <w:sz w:val="20"/>
          <w:szCs w:val="20"/>
        </w:rPr>
        <w:t>0</w:t>
      </w:r>
      <w:r>
        <w:rPr>
          <w:sz w:val="20"/>
          <w:szCs w:val="20"/>
        </w:rPr>
        <w:t xml:space="preserve"> on behalf of talkMD for income taxes.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03225691"/>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3F57AF">
      <w:pPr>
        <w:pStyle w:val="a3"/>
        <w:spacing w:before="0" w:beforeAutospacing="0" w:after="0" w:afterAutospacing="0"/>
        <w:divId w:val="595358241"/>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sz w:val="20"/>
          <w:szCs w:val="20"/>
        </w:rPr>
      </w:pPr>
      <w:r>
        <w:rPr>
          <w:b/>
          <w:bCs/>
          <w:sz w:val="20"/>
          <w:szCs w:val="20"/>
        </w:rPr>
        <w:t>10.</w:t>
      </w:r>
      <w:r>
        <w:rPr>
          <w:b/>
          <w:bCs/>
          <w:sz w:val="20"/>
          <w:szCs w:val="20"/>
        </w:rPr>
        <w:t xml:space="preserve"> </w:t>
      </w:r>
      <w:r>
        <w:rPr>
          <w:b/>
          <w:bCs/>
          <w:sz w:val="20"/>
          <w:szCs w:val="20"/>
        </w:rPr>
        <w:t>SHAREHOLDERS’ EQUIT</w:t>
      </w:r>
      <w:r>
        <w:rPr>
          <w:b/>
          <w:bCs/>
          <w:sz w:val="20"/>
          <w:szCs w:val="20"/>
        </w:rPr>
        <w:t>Y</w:t>
      </w:r>
    </w:p>
    <w:p w:rsidR="00000000" w:rsidRDefault="003F57AF">
      <w:pPr>
        <w:pStyle w:val="a3"/>
        <w:spacing w:before="0" w:beforeAutospacing="0" w:after="0" w:afterAutospacing="0"/>
        <w:ind w:left="475"/>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During 2022, the Company sold</w:t>
      </w:r>
      <w:r>
        <w:rPr>
          <w:sz w:val="20"/>
          <w:szCs w:val="20"/>
        </w:rPr>
        <w:t xml:space="preserve"> </w:t>
      </w:r>
      <w:r>
        <w:rPr>
          <w:sz w:val="20"/>
          <w:szCs w:val="20"/>
        </w:rPr>
        <w:t>1,299,21</w:t>
      </w:r>
      <w:r>
        <w:rPr>
          <w:sz w:val="20"/>
          <w:szCs w:val="20"/>
        </w:rPr>
        <w:t>6</w:t>
      </w:r>
      <w:r>
        <w:rPr>
          <w:sz w:val="20"/>
          <w:szCs w:val="20"/>
        </w:rPr>
        <w:t xml:space="preserve"> shares of</w:t>
      </w:r>
      <w:r>
        <w:rPr>
          <w:sz w:val="20"/>
          <w:szCs w:val="20"/>
        </w:rPr>
        <w:t xml:space="preserve"> </w:t>
      </w:r>
      <w:r>
        <w:rPr>
          <w:sz w:val="20"/>
          <w:szCs w:val="20"/>
        </w:rPr>
        <w:t>8.75</w:t>
      </w:r>
      <w:r>
        <w:rPr>
          <w:sz w:val="20"/>
          <w:szCs w:val="20"/>
        </w:rPr>
        <w:t>%</w:t>
      </w:r>
      <w:r>
        <w:rPr>
          <w:sz w:val="20"/>
          <w:szCs w:val="20"/>
        </w:rPr>
        <w:t xml:space="preserve"> Series B Cumulative Redeemable Perpetual Preferred Stock (“Series B Prefer</w:t>
      </w:r>
      <w:r>
        <w:rPr>
          <w:sz w:val="20"/>
          <w:szCs w:val="20"/>
        </w:rPr>
        <w:t xml:space="preserve">red Stock”) and received net proceeds of approximately </w:t>
      </w:r>
      <w:r>
        <w:rPr>
          <w:sz w:val="20"/>
          <w:szCs w:val="20"/>
        </w:rPr>
        <w:t>$</w:t>
      </w:r>
      <w:r>
        <w:rPr>
          <w:sz w:val="20"/>
          <w:szCs w:val="20"/>
        </w:rPr>
        <w:t>30.</w:t>
      </w:r>
      <w:r>
        <w:rPr>
          <w:sz w:val="20"/>
          <w:szCs w:val="20"/>
        </w:rPr>
        <w:t>3</w:t>
      </w:r>
      <w:r>
        <w:rPr>
          <w:sz w:val="20"/>
          <w:szCs w:val="20"/>
        </w:rPr>
        <w:t xml:space="preserve"> million. This includes</w:t>
      </w:r>
      <w:r>
        <w:rPr>
          <w:sz w:val="20"/>
          <w:szCs w:val="20"/>
        </w:rPr>
        <w:t xml:space="preserve"> </w:t>
      </w:r>
      <w:r>
        <w:rPr>
          <w:sz w:val="20"/>
          <w:szCs w:val="20"/>
        </w:rPr>
        <w:t>198,40</w:t>
      </w:r>
      <w:r>
        <w:rPr>
          <w:sz w:val="20"/>
          <w:szCs w:val="20"/>
        </w:rPr>
        <w:t>6</w:t>
      </w:r>
      <w:r>
        <w:rPr>
          <w:sz w:val="20"/>
          <w:szCs w:val="20"/>
        </w:rPr>
        <w:t xml:space="preserve"> shares sold under the Company’s at-the-market facility (“ATM”). The Series B Preferred Stock is listed on the Nasdaq Global Market under the symbol “MTBCO.” Dividen</w:t>
      </w:r>
      <w:r>
        <w:rPr>
          <w:sz w:val="20"/>
          <w:szCs w:val="20"/>
        </w:rPr>
        <w:t xml:space="preserve">ds on the Series B Preferred Stock of approximately </w:t>
      </w:r>
      <w:r>
        <w:rPr>
          <w:sz w:val="20"/>
          <w:szCs w:val="20"/>
        </w:rPr>
        <w:t>$</w:t>
      </w:r>
      <w:r>
        <w:rPr>
          <w:sz w:val="20"/>
          <w:szCs w:val="20"/>
        </w:rPr>
        <w:t>2.1</w:t>
      </w:r>
      <w:r>
        <w:rPr>
          <w:sz w:val="20"/>
          <w:szCs w:val="20"/>
        </w:rPr>
        <w:t>9</w:t>
      </w:r>
      <w:r>
        <w:rPr>
          <w:sz w:val="20"/>
          <w:szCs w:val="20"/>
        </w:rPr>
        <w:t xml:space="preserve"> annually per share are cumulative from the date of issue and are payable each month when, as and if declared by the Company’s Board of Directors. On March 18, 2022, the Company used a portion of the</w:t>
      </w:r>
      <w:r>
        <w:rPr>
          <w:sz w:val="20"/>
          <w:szCs w:val="20"/>
        </w:rPr>
        <w:t xml:space="preserve"> proceeds from selling Series B Preferred Stock to redeem</w:t>
      </w:r>
      <w:r>
        <w:rPr>
          <w:sz w:val="20"/>
          <w:szCs w:val="20"/>
        </w:rPr>
        <w:t xml:space="preserve"> </w:t>
      </w:r>
      <w:r>
        <w:rPr>
          <w:sz w:val="20"/>
          <w:szCs w:val="20"/>
        </w:rPr>
        <w:t>800,00</w:t>
      </w:r>
      <w:r>
        <w:rPr>
          <w:sz w:val="20"/>
          <w:szCs w:val="20"/>
        </w:rPr>
        <w:t>0</w:t>
      </w:r>
      <w:r>
        <w:rPr>
          <w:sz w:val="20"/>
          <w:szCs w:val="20"/>
        </w:rPr>
        <w:t xml:space="preserve"> shares of Series A Preferred Stock for </w:t>
      </w:r>
      <w:r>
        <w:rPr>
          <w:sz w:val="20"/>
          <w:szCs w:val="20"/>
        </w:rPr>
        <w:t>$</w:t>
      </w:r>
      <w:r>
        <w:rPr>
          <w:sz w:val="20"/>
          <w:szCs w:val="20"/>
        </w:rPr>
        <w:t>25.0</w:t>
      </w:r>
      <w:r>
        <w:rPr>
          <w:sz w:val="20"/>
          <w:szCs w:val="20"/>
        </w:rPr>
        <w:t>0</w:t>
      </w:r>
      <w:r>
        <w:rPr>
          <w:sz w:val="20"/>
          <w:szCs w:val="20"/>
        </w:rPr>
        <w:t xml:space="preserve"> per share, plus all accrued and unpaid dividends to, but not including, the redemption date.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Commencing </w:t>
      </w:r>
      <w:r>
        <w:rPr>
          <w:sz w:val="20"/>
          <w:szCs w:val="20"/>
        </w:rPr>
        <w:t xml:space="preserve">on February 15, 2024 and prior to February 15, 2025, we may redeem, at our option, the Series B Preferred Stock, in whole or in part, at a cash redemption price of </w:t>
      </w:r>
      <w:r>
        <w:rPr>
          <w:sz w:val="20"/>
          <w:szCs w:val="20"/>
        </w:rPr>
        <w:t>$</w:t>
      </w:r>
      <w:r>
        <w:rPr>
          <w:sz w:val="20"/>
          <w:szCs w:val="20"/>
        </w:rPr>
        <w:t>25.7</w:t>
      </w:r>
      <w:r>
        <w:rPr>
          <w:sz w:val="20"/>
          <w:szCs w:val="20"/>
        </w:rPr>
        <w:t>5</w:t>
      </w:r>
      <w:r>
        <w:rPr>
          <w:sz w:val="20"/>
          <w:szCs w:val="20"/>
        </w:rPr>
        <w:t xml:space="preserve"> per share, plus all accrued and unpaid dividends to, but not including, the redemptio</w:t>
      </w:r>
      <w:r>
        <w:rPr>
          <w:sz w:val="20"/>
          <w:szCs w:val="20"/>
        </w:rPr>
        <w:t xml:space="preserve">n date. On or after February 15, 2025 and prior to February 15, 2026, we may redeem, at our option, the Series B Preferred Stock, in whole or in part, at a cash redemption price of </w:t>
      </w:r>
      <w:r>
        <w:rPr>
          <w:sz w:val="20"/>
          <w:szCs w:val="20"/>
        </w:rPr>
        <w:t>$</w:t>
      </w:r>
      <w:r>
        <w:rPr>
          <w:sz w:val="20"/>
          <w:szCs w:val="20"/>
        </w:rPr>
        <w:t>25.5</w:t>
      </w:r>
      <w:r>
        <w:rPr>
          <w:sz w:val="20"/>
          <w:szCs w:val="20"/>
        </w:rPr>
        <w:t>0</w:t>
      </w:r>
      <w:r>
        <w:rPr>
          <w:sz w:val="20"/>
          <w:szCs w:val="20"/>
        </w:rPr>
        <w:t xml:space="preserve"> per share, plus all accrued and unpaid dividends to, but not includi</w:t>
      </w:r>
      <w:r>
        <w:rPr>
          <w:sz w:val="20"/>
          <w:szCs w:val="20"/>
        </w:rPr>
        <w:t xml:space="preserve">ng, the redemption date. On or after February 15, 2026 and prior to February 15, 2027, we may redeem, at our option, the Series B Preferred Stock, in whole or in part, at a cash redemption price of </w:t>
      </w:r>
      <w:r>
        <w:rPr>
          <w:sz w:val="20"/>
          <w:szCs w:val="20"/>
        </w:rPr>
        <w:t>$</w:t>
      </w:r>
      <w:r>
        <w:rPr>
          <w:sz w:val="20"/>
          <w:szCs w:val="20"/>
        </w:rPr>
        <w:t>25.2</w:t>
      </w:r>
      <w:r>
        <w:rPr>
          <w:sz w:val="20"/>
          <w:szCs w:val="20"/>
        </w:rPr>
        <w:t>5</w:t>
      </w:r>
      <w:r>
        <w:rPr>
          <w:sz w:val="20"/>
          <w:szCs w:val="20"/>
        </w:rPr>
        <w:t xml:space="preserve"> per share, plus all accrued and unpaid dividends to</w:t>
      </w:r>
      <w:r>
        <w:rPr>
          <w:sz w:val="20"/>
          <w:szCs w:val="20"/>
        </w:rPr>
        <w:t xml:space="preserve">, but not including, the redemption date. On or after February 15, 2027, we may redeem, at our option, the Series B Preferred Stock, in whole or in part, at a cash 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w:t>
      </w:r>
      <w:r>
        <w:rPr>
          <w:sz w:val="20"/>
          <w:szCs w:val="20"/>
        </w:rPr>
        <w:t>uding, the redemption date.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3</w:t>
      </w:r>
      <w:r>
        <w:rPr>
          <w:sz w:val="20"/>
          <w:szCs w:val="20"/>
        </w:rPr>
        <w:t>5</w:t>
      </w:r>
      <w:r>
        <w:rPr>
          <w:sz w:val="20"/>
          <w:szCs w:val="20"/>
        </w:rPr>
        <w:t xml:space="preserve"> million of its Series B Preferred Stock using its ATM facility. The underwriter receives</w:t>
      </w:r>
      <w:r>
        <w:rPr>
          <w:sz w:val="20"/>
          <w:szCs w:val="20"/>
        </w:rPr>
        <w:t xml:space="preserve"> </w:t>
      </w:r>
      <w:r>
        <w:rPr>
          <w:sz w:val="20"/>
          <w:szCs w:val="20"/>
        </w:rPr>
        <w:t>3</w:t>
      </w:r>
      <w:r>
        <w:rPr>
          <w:sz w:val="20"/>
          <w:szCs w:val="20"/>
        </w:rPr>
        <w:t>%</w:t>
      </w:r>
      <w:r>
        <w:rPr>
          <w:sz w:val="20"/>
          <w:szCs w:val="20"/>
        </w:rPr>
        <w:t xml:space="preserve"> of the gross proceeds. The Company also has the right to sell up to </w:t>
      </w:r>
      <w:r>
        <w:rPr>
          <w:sz w:val="20"/>
          <w:szCs w:val="20"/>
        </w:rPr>
        <w:t>$</w:t>
      </w:r>
      <w:r>
        <w:rPr>
          <w:sz w:val="20"/>
          <w:szCs w:val="20"/>
        </w:rPr>
        <w:t>5</w:t>
      </w:r>
      <w:r>
        <w:rPr>
          <w:sz w:val="20"/>
          <w:szCs w:val="20"/>
        </w:rPr>
        <w:t>0</w:t>
      </w:r>
      <w:r>
        <w:rPr>
          <w:sz w:val="20"/>
          <w:szCs w:val="20"/>
        </w:rPr>
        <w:t xml:space="preserve"> million of its com</w:t>
      </w:r>
      <w:r>
        <w:rPr>
          <w:sz w:val="20"/>
          <w:szCs w:val="20"/>
        </w:rPr>
        <w:t>mon stock using a second ATM facility. The underwriters of the common stock ATM also receive</w:t>
      </w:r>
      <w:r>
        <w:rPr>
          <w:sz w:val="20"/>
          <w:szCs w:val="20"/>
        </w:rPr>
        <w:t xml:space="preserve"> </w:t>
      </w:r>
      <w:r>
        <w:rPr>
          <w:sz w:val="20"/>
          <w:szCs w:val="20"/>
        </w:rPr>
        <w:t>3</w:t>
      </w:r>
      <w:r>
        <w:rPr>
          <w:sz w:val="20"/>
          <w:szCs w:val="20"/>
        </w:rPr>
        <w:t>%</w:t>
      </w:r>
      <w:r>
        <w:rPr>
          <w:sz w:val="20"/>
          <w:szCs w:val="20"/>
        </w:rPr>
        <w:t xml:space="preserve"> of the gross proceeds. During the nine months ended September 30, 2022,</w:t>
      </w:r>
      <w:r>
        <w:rPr>
          <w:sz w:val="20"/>
          <w:szCs w:val="20"/>
        </w:rPr>
        <w:t xml:space="preserve"> </w:t>
      </w:r>
      <w:r>
        <w:rPr>
          <w:sz w:val="20"/>
          <w:szCs w:val="20"/>
        </w:rPr>
        <w:t>n</w:t>
      </w:r>
      <w:r>
        <w:rPr>
          <w:sz w:val="20"/>
          <w:szCs w:val="20"/>
        </w:rPr>
        <w:t>o</w:t>
      </w:r>
      <w:r>
        <w:rPr>
          <w:sz w:val="20"/>
          <w:szCs w:val="20"/>
        </w:rPr>
        <w:t xml:space="preserve"> shares of common stock were issued under this ATM.</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During the nine months ended Sep</w:t>
      </w:r>
      <w:r>
        <w:rPr>
          <w:sz w:val="20"/>
          <w:szCs w:val="20"/>
        </w:rPr>
        <w:t>tember 30, 2021,</w:t>
      </w:r>
      <w:r>
        <w:rPr>
          <w:sz w:val="20"/>
          <w:szCs w:val="20"/>
        </w:rPr>
        <w:t xml:space="preserve"> </w:t>
      </w:r>
      <w:r>
        <w:rPr>
          <w:sz w:val="20"/>
          <w:szCs w:val="20"/>
        </w:rPr>
        <w:t>858,00</w:t>
      </w:r>
      <w:r>
        <w:rPr>
          <w:sz w:val="20"/>
          <w:szCs w:val="20"/>
        </w:rPr>
        <w:t>0</w:t>
      </w:r>
      <w:r>
        <w:rPr>
          <w:sz w:val="20"/>
          <w:szCs w:val="20"/>
        </w:rPr>
        <w:t xml:space="preserve"> common stock warrants were exercised at </w:t>
      </w:r>
      <w:r>
        <w:rPr>
          <w:sz w:val="20"/>
          <w:szCs w:val="20"/>
        </w:rPr>
        <w:t>$</w:t>
      </w:r>
      <w:r>
        <w:rPr>
          <w:sz w:val="20"/>
          <w:szCs w:val="20"/>
        </w:rPr>
        <w:t>7.5</w:t>
      </w:r>
      <w:r>
        <w:rPr>
          <w:sz w:val="20"/>
          <w:szCs w:val="20"/>
        </w:rPr>
        <w:t>0</w:t>
      </w:r>
      <w:r>
        <w:rPr>
          <w:sz w:val="20"/>
          <w:szCs w:val="20"/>
        </w:rPr>
        <w:t xml:space="preserve"> each resulting in gross proceeds of </w:t>
      </w:r>
      <w:r>
        <w:rPr>
          <w:sz w:val="20"/>
          <w:szCs w:val="20"/>
        </w:rPr>
        <w:t>$</w:t>
      </w:r>
      <w:r>
        <w:rPr>
          <w:sz w:val="20"/>
          <w:szCs w:val="20"/>
        </w:rPr>
        <w:t>6,435,00</w:t>
      </w:r>
      <w:r>
        <w:rPr>
          <w:sz w:val="20"/>
          <w:szCs w:val="20"/>
        </w:rPr>
        <w:t>0</w:t>
      </w:r>
      <w:r>
        <w:rPr>
          <w:sz w:val="20"/>
          <w:szCs w:val="20"/>
        </w:rPr>
        <w:t>. During the second quarter of 2021, the Company sold</w:t>
      </w:r>
      <w:r>
        <w:rPr>
          <w:sz w:val="20"/>
          <w:szCs w:val="20"/>
        </w:rPr>
        <w:t xml:space="preserve"> </w:t>
      </w:r>
      <w:r>
        <w:rPr>
          <w:sz w:val="20"/>
          <w:szCs w:val="20"/>
        </w:rPr>
        <w:t>178,09</w:t>
      </w:r>
      <w:r>
        <w:rPr>
          <w:sz w:val="20"/>
          <w:szCs w:val="20"/>
        </w:rPr>
        <w:t>2</w:t>
      </w:r>
      <w:r>
        <w:rPr>
          <w:sz w:val="20"/>
          <w:szCs w:val="20"/>
        </w:rPr>
        <w:t xml:space="preserve"> shares of common stock under its ATM and received net proceeds of approximate</w:t>
      </w:r>
      <w:r>
        <w:rPr>
          <w:sz w:val="20"/>
          <w:szCs w:val="20"/>
        </w:rPr>
        <w:t xml:space="preserve">ly </w:t>
      </w:r>
      <w:r>
        <w:rPr>
          <w:sz w:val="20"/>
          <w:szCs w:val="20"/>
        </w:rPr>
        <w:t>$</w:t>
      </w:r>
      <w:r>
        <w:rPr>
          <w:sz w:val="20"/>
          <w:szCs w:val="20"/>
        </w:rPr>
        <w:t>1.</w:t>
      </w:r>
      <w:r>
        <w:rPr>
          <w:sz w:val="20"/>
          <w:szCs w:val="20"/>
        </w:rPr>
        <w:t>4</w:t>
      </w:r>
      <w:r>
        <w:rPr>
          <w:sz w:val="20"/>
          <w:szCs w:val="20"/>
        </w:rPr>
        <w:t xml:space="preserve"> million. Also, during the second quarter of 2021, the Company cancelled</w:t>
      </w:r>
      <w:r>
        <w:rPr>
          <w:sz w:val="20"/>
          <w:szCs w:val="20"/>
        </w:rPr>
        <w:t xml:space="preserve"> </w:t>
      </w:r>
      <w:r>
        <w:rPr>
          <w:sz w:val="20"/>
          <w:szCs w:val="20"/>
        </w:rPr>
        <w:t>215,82</w:t>
      </w:r>
      <w:r>
        <w:rPr>
          <w:sz w:val="20"/>
          <w:szCs w:val="20"/>
        </w:rPr>
        <w:t>2</w:t>
      </w:r>
      <w:r>
        <w:rPr>
          <w:sz w:val="20"/>
          <w:szCs w:val="20"/>
        </w:rPr>
        <w:t xml:space="preserve"> shares of preferred stock that were held in escrow from the CCH acquisition as the matters related to the escrow were settled in cash. During the third quarter of 2021,</w:t>
      </w:r>
      <w:r>
        <w:rPr>
          <w:sz w:val="20"/>
          <w:szCs w:val="20"/>
        </w:rPr>
        <w:t xml:space="preserve"> the Company sold</w:t>
      </w:r>
      <w:r>
        <w:rPr>
          <w:sz w:val="20"/>
          <w:szCs w:val="20"/>
        </w:rPr>
        <w:t xml:space="preserve"> </w:t>
      </w:r>
      <w:r>
        <w:rPr>
          <w:sz w:val="20"/>
          <w:szCs w:val="20"/>
        </w:rPr>
        <w:t>136,39</w:t>
      </w:r>
      <w:r>
        <w:rPr>
          <w:sz w:val="20"/>
          <w:szCs w:val="20"/>
        </w:rPr>
        <w:t>5</w:t>
      </w:r>
      <w:r>
        <w:rPr>
          <w:sz w:val="20"/>
          <w:szCs w:val="20"/>
        </w:rPr>
        <w:t xml:space="preserve"> shares of common stock and received net proceeds of approximately </w:t>
      </w:r>
      <w:r>
        <w:rPr>
          <w:sz w:val="20"/>
          <w:szCs w:val="20"/>
        </w:rPr>
        <w:t>$</w:t>
      </w:r>
      <w:r>
        <w:rPr>
          <w:sz w:val="20"/>
          <w:szCs w:val="20"/>
        </w:rPr>
        <w:t>1.</w:t>
      </w:r>
      <w:r>
        <w:rPr>
          <w:sz w:val="20"/>
          <w:szCs w:val="20"/>
        </w:rPr>
        <w:t>2</w:t>
      </w:r>
      <w:r>
        <w:rPr>
          <w:sz w:val="20"/>
          <w:szCs w:val="20"/>
        </w:rPr>
        <w:t xml:space="preserve"> million. On October 11, 2022,</w:t>
      </w:r>
      <w:r>
        <w:rPr>
          <w:sz w:val="20"/>
          <w:szCs w:val="20"/>
        </w:rPr>
        <w:t xml:space="preserve"> </w:t>
      </w:r>
      <w:r>
        <w:rPr>
          <w:sz w:val="20"/>
          <w:szCs w:val="20"/>
        </w:rPr>
        <w:t>9,07</w:t>
      </w:r>
      <w:r>
        <w:rPr>
          <w:sz w:val="20"/>
          <w:szCs w:val="20"/>
        </w:rPr>
        <w:t>2</w:t>
      </w:r>
      <w:r>
        <w:rPr>
          <w:sz w:val="20"/>
          <w:szCs w:val="20"/>
        </w:rPr>
        <w:t xml:space="preserve"> common stock warrants were exercised.</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sz w:val="20"/>
          <w:szCs w:val="20"/>
        </w:rPr>
      </w:pPr>
      <w:r>
        <w:rPr>
          <w:b/>
          <w:bCs/>
          <w:sz w:val="20"/>
          <w:szCs w:val="20"/>
        </w:rPr>
        <w:t>11.</w:t>
      </w:r>
      <w:r>
        <w:rPr>
          <w:b/>
          <w:bCs/>
          <w:sz w:val="20"/>
          <w:szCs w:val="20"/>
        </w:rPr>
        <w:t xml:space="preserve"> </w:t>
      </w:r>
      <w:r>
        <w:rPr>
          <w:b/>
          <w:bCs/>
          <w:sz w:val="20"/>
          <w:szCs w:val="20"/>
        </w:rPr>
        <w:t>REVENU</w:t>
      </w:r>
      <w:r>
        <w:rPr>
          <w:b/>
          <w:bCs/>
          <w:sz w:val="20"/>
          <w:szCs w:val="20"/>
        </w:rPr>
        <w:t>E</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Introduction</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w:t>
      </w:r>
      <w:r>
        <w:rPr>
          <w:sz w:val="20"/>
          <w:szCs w:val="20"/>
        </w:rPr>
        <w:t xml:space="preserve">606, </w:t>
      </w:r>
      <w:r>
        <w:rPr>
          <w:i/>
          <w:iCs/>
          <w:sz w:val="20"/>
          <w:szCs w:val="20"/>
        </w:rPr>
        <w:t>Revenue from Contracts with Customers</w:t>
      </w:r>
      <w:r>
        <w:rPr>
          <w:sz w:val="20"/>
          <w:szCs w:val="20"/>
        </w:rPr>
        <w:t>. All revenue is recognized as our performance obligations are satisfied. A performance obligation is a promise in a contract to transfer a distinct good or service to a customer, and is the unit of account under A</w:t>
      </w:r>
      <w:r>
        <w:rPr>
          <w:sz w:val="20"/>
          <w:szCs w:val="20"/>
        </w:rPr>
        <w:t>SC 606. For revenue cycle management services, the Company recognizes revenue when services begin on medical billing claims, which is generally upon receipt of the claim from the provider. The Company estimates the value of the consideration it will earn o</w:t>
      </w:r>
      <w:r>
        <w:rPr>
          <w:sz w:val="20"/>
          <w:szCs w:val="20"/>
        </w:rPr>
        <w:t>ver the remaining contractual period as services are provided and recognizes the fees over the term; this estimation involves predicting the amounts our clients will ultimately collect associated with the services they provided. Certain significant estimat</w:t>
      </w:r>
      <w:r>
        <w:rPr>
          <w:sz w:val="20"/>
          <w:szCs w:val="20"/>
        </w:rPr>
        <w:t>es, such as payment-to-charge ratios, effective billing rates and the estimated contractual payment periods are required to measure revenue cycle management revenue under the standard.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w:t>
      </w:r>
      <w:r>
        <w:rPr>
          <w:sz w:val="20"/>
          <w:szCs w:val="20"/>
        </w:rPr>
        <w:t>ance obligation. For contracts where we provide multiple services, such as where we perform multiple ancillary services, each service represents its own performance obligation. The standalone selling prices are based on the contractual price for the servic</w:t>
      </w:r>
      <w:r>
        <w:rPr>
          <w:sz w:val="20"/>
          <w:szCs w:val="20"/>
        </w:rPr>
        <w:t>e.</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assumptions when accounting for those portfolios. Our contracts generally include standard commercial p</w:t>
      </w:r>
      <w:r>
        <w:rPr>
          <w:sz w:val="20"/>
          <w:szCs w:val="20"/>
        </w:rPr>
        <w:t>ayment terms. We have no significant obligations for refunds, warranties or similar obligations and our revenue does not include taxes collected from our customers.</w:t>
      </w:r>
    </w:p>
    <w:p w:rsidR="00000000" w:rsidRDefault="003F57AF">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07749112"/>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3F57AF">
      <w:pPr>
        <w:pStyle w:val="a3"/>
        <w:spacing w:before="0" w:beforeAutospacing="0" w:after="0" w:afterAutospacing="0"/>
        <w:divId w:val="559753974"/>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jc w:val="both"/>
        <w:rPr>
          <w:i/>
          <w:iCs/>
          <w:sz w:val="20"/>
          <w:szCs w:val="20"/>
        </w:rPr>
      </w:pPr>
      <w:r>
        <w:rPr>
          <w:i/>
          <w:iCs/>
          <w:sz w:val="20"/>
          <w:szCs w:val="20"/>
        </w:rPr>
        <w:t xml:space="preserve">Disaggregation </w:t>
      </w:r>
      <w:r>
        <w:rPr>
          <w:i/>
          <w:iCs/>
          <w:sz w:val="20"/>
          <w:szCs w:val="20"/>
        </w:rPr>
        <w:t>of Revenue from Contracts with Customers</w:t>
      </w:r>
    </w:p>
    <w:p w:rsidR="00000000" w:rsidRDefault="003F57AF">
      <w:pPr>
        <w:pStyle w:val="a3"/>
        <w:shd w:val="clear" w:color="auto" w:fill="FFFFFF"/>
        <w:spacing w:before="0" w:beforeAutospacing="0" w:after="0" w:afterAutospacing="0"/>
        <w:jc w:val="both"/>
        <w:rPr>
          <w:sz w:val="20"/>
          <w:szCs w:val="20"/>
        </w:rPr>
      </w:pPr>
      <w:r>
        <w:rPr>
          <w:sz w:val="20"/>
          <w:szCs w:val="20"/>
        </w:rPr>
        <w:t>We derive revenue from five primary sources: (1) technology-enabled business solutions, (2) professional services, (3) printing and mailing services, (4) group purchasing services and (5) medical practice management</w:t>
      </w:r>
      <w:r>
        <w:rPr>
          <w:sz w:val="20"/>
          <w:szCs w:val="20"/>
        </w:rPr>
        <w:t xml:space="preserve"> services.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and nine months ended September 30:</w:t>
      </w:r>
    </w:p>
    <w:p w:rsidR="00000000" w:rsidRDefault="003F57AF">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21,626</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27,086</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68,457</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80,076</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7,434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6,863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25,572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10,978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594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429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1,515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1,084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3,759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3,626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10,146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9,340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33,723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38,304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106,292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102,137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Revenues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33,723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38,304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106,292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102,137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vanish/>
                <w:sz w:val="20"/>
                <w:szCs w:val="20"/>
              </w:rPr>
            </w:pPr>
            <w:r>
              <w:rPr>
                <w:rFonts w:eastAsia="Times New Roman"/>
                <w:vanish/>
                <w:sz w:val="20"/>
                <w:szCs w:val="20"/>
              </w:rPr>
              <w:t> </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Technology-enabled business solutions:</w:t>
      </w:r>
    </w:p>
    <w:p w:rsidR="00000000" w:rsidRDefault="003F57AF">
      <w:pPr>
        <w:pStyle w:val="a3"/>
        <w:spacing w:before="0" w:beforeAutospacing="0" w:after="0" w:afterAutospacing="0"/>
        <w:jc w:val="both"/>
        <w:rPr>
          <w:sz w:val="20"/>
          <w:szCs w:val="20"/>
        </w:rPr>
      </w:pPr>
      <w:r>
        <w:rPr>
          <w:sz w:val="20"/>
          <w:szCs w:val="20"/>
        </w:rPr>
        <w:t xml:space="preserve">Revenue </w:t>
      </w:r>
      <w:r>
        <w:rPr>
          <w:sz w:val="20"/>
          <w:szCs w:val="20"/>
        </w:rPr>
        <w:t>derived on an on-going basis from our technology-enabled solutions is typically billed as a percentage of payments collected by our customers.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w:t>
      </w:r>
      <w:r>
        <w:rPr>
          <w:sz w:val="20"/>
          <w:szCs w:val="20"/>
        </w:rPr>
        <w:t>h insurance companies in order for the healthcare providers to receive payment for the services they rendered. The Company typically invoices customers on a monthly basis based on the actual collections received by its customers and the agreed-upon rate in</w:t>
      </w:r>
      <w:r>
        <w:rPr>
          <w:sz w:val="20"/>
          <w:szCs w:val="20"/>
        </w:rPr>
        <w:t xml:space="preserve"> the sales contract. The fee for these services typically includes use of practice management software and related tools (on a SaaS basis), electronic health records (on a SaaS basis), medical billing services and use of mobile health solutions. We conside</w:t>
      </w:r>
      <w:r>
        <w:rPr>
          <w:sz w:val="20"/>
          <w:szCs w:val="20"/>
        </w:rPr>
        <w:t>r the services to be one performance obligation since the promises are not distinct in the context of the contract. The performance obligation consists of a series of distinct services that are substantially the same and have the same periodic pattern of t</w:t>
      </w:r>
      <w:r>
        <w:rPr>
          <w:sz w:val="20"/>
          <w:szCs w:val="20"/>
        </w:rPr>
        <w:t>ransfer to our customers.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 have enforceable rights and obligations, although this time period can vary between clients. Our</w:t>
      </w:r>
      <w:r>
        <w:rPr>
          <w:sz w:val="20"/>
          <w:szCs w:val="20"/>
        </w:rPr>
        <w:t xml:space="preserve"> payment terms are normally net 30 days. Although our contracts typically have stated terms of one or more years, under ASC 606 our contracts are considered month-to-month and accordingly, there is no financing component.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For the majority of our revenue </w:t>
      </w:r>
      <w:r>
        <w:rPr>
          <w:sz w:val="20"/>
          <w:szCs w:val="20"/>
        </w:rPr>
        <w:t>cycle management contracts, the total transaction price is variable because our obligation is to process an unknown quantity of claims, as and when requested by our customers over the contract period. When a contract includes variable consideration, we eva</w:t>
      </w:r>
      <w:r>
        <w:rPr>
          <w:sz w:val="20"/>
          <w:szCs w:val="20"/>
        </w:rPr>
        <w:t>luate the estimate of the variable consideration to determine whether the estimate needs to be constrained; therefore, we include variable consideration in the transaction price only to the extent that it is probable that a significant reversal of the amou</w:t>
      </w:r>
      <w:r>
        <w:rPr>
          <w:sz w:val="20"/>
          <w:szCs w:val="20"/>
        </w:rPr>
        <w:t>nt of cumulative revenue recognized will not occur when the uncertainty associated with variable consideration is subsequently resolved. Estimates to determine variable consideration, such as payment to charge ratios, effective billing rates, and the estim</w:t>
      </w:r>
      <w:r>
        <w:rPr>
          <w:sz w:val="20"/>
          <w:szCs w:val="20"/>
        </w:rPr>
        <w:t>ated contractual payment periods, are updated at each reporting date. Revenue is recognized over the performance period using the input method.</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w:t>
      </w:r>
      <w:r>
        <w:rPr>
          <w:sz w:val="20"/>
          <w:szCs w:val="20"/>
        </w:rPr>
        <w:t>al office in a unified and streamlined SaaS platform. The Company has a large number of clients who utilize the Company’s practice management software, electronic health records software, patient experience management solutions, business intelligence softw</w:t>
      </w:r>
      <w:r>
        <w:rPr>
          <w:sz w:val="20"/>
          <w:szCs w:val="20"/>
        </w:rPr>
        <w:t>are and/or robotic process automation software on a SaaS basis, but who do not utilize the Company’s revenue cycle management services. SaaS fees may be fixed based on the number of providers, or may be variable.</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9717381"/>
        </w:trPr>
        <w:tc>
          <w:tcPr>
            <w:tcW w:w="5000" w:type="pct"/>
            <w:hideMark/>
          </w:tcPr>
          <w:p w:rsidR="00000000" w:rsidRDefault="003F57AF">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3F57AF">
      <w:pPr>
        <w:pStyle w:val="a3"/>
        <w:spacing w:before="0" w:beforeAutospacing="0" w:after="0" w:afterAutospacing="0"/>
        <w:divId w:val="428358038"/>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The medical billing clearinghouse</w:t>
      </w:r>
      <w:r>
        <w:rPr>
          <w:sz w:val="20"/>
          <w:szCs w:val="20"/>
        </w:rPr>
        <w:t xml:space="preserve"> service takes claim information from customers, checks the claims for errors and sends this information electronically to insurance companies. The Company invoices customers on a monthly basis based on the number of claims submitted and the agreed-upon ra</w:t>
      </w:r>
      <w:r>
        <w:rPr>
          <w:sz w:val="20"/>
          <w:szCs w:val="20"/>
        </w:rPr>
        <w:t>te in the agreement. This service is provided to medical practices and providers to medical practices who are not revenue cycle management customers. The performance obligation is satisfied once the relevant submissions are completed.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Additional services</w:t>
      </w:r>
      <w:r>
        <w:rPr>
          <w:sz w:val="20"/>
          <w:szCs w:val="20"/>
        </w:rPr>
        <w:t xml:space="preserve"> such as coding, credentialing and transcription are sometimes rendered in connection with the delivery of revenue cycle management and related medical services. The Company invoices customers monthly, based on the actual amount of services performed at th</w:t>
      </w:r>
      <w:r>
        <w:rPr>
          <w:sz w:val="20"/>
          <w:szCs w:val="20"/>
        </w:rPr>
        <w:t xml:space="preserve">e agreed-upon rate in the contract. These services are only offered to revenue cycle management customers. These services do not represent a material right because the services are optional to the customer and customers electing these services are charged </w:t>
      </w:r>
      <w:r>
        <w:rPr>
          <w:sz w:val="20"/>
          <w:szCs w:val="20"/>
        </w:rPr>
        <w:t>the same price for those services as if they were on a standalone basis. Each individual coding, credentialing or transcription transaction processed represents a performance obligation, which is satisfied over time as that individual service is rendered.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Professional services:</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professional services include an extensive set of services including EHR vendor-agnostic optimization and activation, project management, IT transformation consulting, process improvement, training, education and staffing for large healthcare organizations</w:t>
      </w:r>
      <w:r>
        <w:rPr>
          <w:sz w:val="20"/>
          <w:szCs w:val="20"/>
        </w:rPr>
        <w:t xml:space="preserve"> including health systems and hospitals. Revenue is recorded monthly on a time and materials or a fixed rate basis. This is a separate performance obligation from any RCM or SaaS services provided, for which the Company receives and records monthly fees. T</w:t>
      </w:r>
      <w:r>
        <w:rPr>
          <w:sz w:val="20"/>
          <w:szCs w:val="20"/>
        </w:rPr>
        <w:t>he performance obligation is satisfied over time as the professional services are rendered.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Printing and mailing services:</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The Company provides printing and mailing services for both revenue cycle management customers and a non- revenue cycle management </w:t>
      </w:r>
      <w:r>
        <w:rPr>
          <w:sz w:val="20"/>
          <w:szCs w:val="20"/>
        </w:rPr>
        <w:t>customer, and invoices on a monthly basis based on the number of prints, the agreed-upon rate per print and the postage incurred. The performance obligation is satisfied once the printing and mailing is completed.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Group purchasing services:</w:t>
      </w:r>
    </w:p>
    <w:p w:rsidR="00000000" w:rsidRDefault="003F57AF">
      <w:pPr>
        <w:pStyle w:val="a3"/>
        <w:shd w:val="clear" w:color="auto" w:fill="FFFFFF"/>
        <w:spacing w:before="0" w:beforeAutospacing="0" w:after="0" w:afterAutospacing="0"/>
        <w:jc w:val="both"/>
        <w:rPr>
          <w:sz w:val="20"/>
          <w:szCs w:val="20"/>
        </w:rPr>
      </w:pPr>
      <w:r>
        <w:rPr>
          <w:sz w:val="20"/>
          <w:szCs w:val="20"/>
        </w:rPr>
        <w:t>The Company p</w:t>
      </w:r>
      <w:r>
        <w:rPr>
          <w:sz w:val="20"/>
          <w:szCs w:val="20"/>
        </w:rPr>
        <w:t xml:space="preserve">rovides group purchasing services which enable medical providers to purchase various vaccines directly from selected pharmaceutical companies at a discounted price. Currently, there are approximately 4,000 medical providers who are members of the program. </w:t>
      </w:r>
      <w:r>
        <w:rPr>
          <w:sz w:val="20"/>
          <w:szCs w:val="20"/>
        </w:rPr>
        <w:t>Revenue is recognized as the vaccine shipments are made to the medical providers. Fees from the pharmaceutical companies are paid either quarterly or annually and the Company adjusts its revenue accrual at the time of payment. The Company makes significant</w:t>
      </w:r>
      <w:r>
        <w:rPr>
          <w:sz w:val="20"/>
          <w:szCs w:val="20"/>
        </w:rPr>
        <w:t xml:space="preserve"> judgments regarding the variable consideration which we expect to be entitled to for the group purchasing services which includes the anticipated shipments to the members enrolled in the program, anticipated volumes of purchases made by the members, and t</w:t>
      </w:r>
      <w:r>
        <w:rPr>
          <w:sz w:val="20"/>
          <w:szCs w:val="20"/>
        </w:rPr>
        <w:t>he changes in the number of members. The amounts recorded are constrained by estimates of decreases in shipments and loss of members to avoid a significant revenue reversal in the subsequent period. The only performance obligation is to provide the pharmac</w:t>
      </w:r>
      <w:r>
        <w:rPr>
          <w:sz w:val="20"/>
          <w:szCs w:val="20"/>
        </w:rPr>
        <w:t>eutical companies with the medical providers who want to become members in order to purchase vaccines. The performance obligation is satisfied once the medical provider agrees to purchase a specific quantity of vaccines and the medical provider’s informati</w:t>
      </w:r>
      <w:r>
        <w:rPr>
          <w:sz w:val="20"/>
          <w:szCs w:val="20"/>
        </w:rPr>
        <w:t>on is forwarded to the vaccine suppliers. The Company records a contract asset for revenue earned and not paid as the ultimate payment is conditioned on achieving certain volume thresholds.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For all of the above revenue streams other than group purchasing</w:t>
      </w:r>
      <w:r>
        <w:rPr>
          <w:sz w:val="20"/>
          <w:szCs w:val="20"/>
        </w:rPr>
        <w:t xml:space="preserve"> services, revenue is recognized over time, which is typically one month or less, which closely matches the point in time that the customer simultaneously receives and consumes the benefits provided by the Company. For the group purchasing services, revenu</w:t>
      </w:r>
      <w:r>
        <w:rPr>
          <w:sz w:val="20"/>
          <w:szCs w:val="20"/>
        </w:rPr>
        <w:t>e is recognized at a point in time. Each service is substantially the same and has the same periodic pattern of transfer to the customer. Each of the services provided above is considered a separate performance obligation.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Medical practice management ser</w:t>
      </w:r>
      <w:r>
        <w:rPr>
          <w:i/>
          <w:iCs/>
          <w:sz w:val="20"/>
          <w:szCs w:val="20"/>
        </w:rPr>
        <w:t>vices:</w:t>
      </w:r>
    </w:p>
    <w:p w:rsidR="00000000" w:rsidRDefault="003F57AF">
      <w:pPr>
        <w:pStyle w:val="a3"/>
        <w:shd w:val="clear" w:color="auto" w:fill="FFFFFF"/>
        <w:spacing w:before="0" w:beforeAutospacing="0" w:after="0" w:afterAutospacing="0"/>
        <w:jc w:val="both"/>
        <w:rPr>
          <w:sz w:val="20"/>
          <w:szCs w:val="20"/>
        </w:rPr>
      </w:pPr>
      <w:r>
        <w:rPr>
          <w:sz w:val="20"/>
          <w:szCs w:val="20"/>
        </w:rPr>
        <w:t>The Company also provides medical practice management services under long-term management service agreements to three medical practices. We provide the medical practices with the nurses, administrative support, facilities, supplies, equipment, marke</w:t>
      </w:r>
      <w:r>
        <w:rPr>
          <w:sz w:val="20"/>
          <w:szCs w:val="20"/>
        </w:rPr>
        <w:t xml:space="preserve">ting, RCM, accounting, and other non-clinical services needed to efficiently operate their practices. Revenue is recognized as the services are provided to the medical practices. Revenue recorded in the consolidated statements of operations represents the </w:t>
      </w:r>
      <w:r>
        <w:rPr>
          <w:sz w:val="20"/>
          <w:szCs w:val="20"/>
        </w:rPr>
        <w:t>reimbursement of costs paid by the Company for the practices and the management fee earned each month for managing the practice. The management fee is based on either a fixed fee or a percentage of the net operating income.</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8573399"/>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3F57AF">
      <w:pPr>
        <w:pStyle w:val="a3"/>
        <w:spacing w:before="0" w:beforeAutospacing="0" w:after="0" w:afterAutospacing="0"/>
        <w:divId w:val="1482651243"/>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The Company assumes al</w:t>
      </w:r>
      <w:r>
        <w:rPr>
          <w:sz w:val="20"/>
          <w:szCs w:val="20"/>
        </w:rPr>
        <w:t xml:space="preserve">l financial risk for the performance of the managed medical practices. Revenue is impacted by the amount of the costs incurred by the practices and their operating income. The gross billing of the practices is impacted by billing rates, changes in current </w:t>
      </w:r>
      <w:r>
        <w:rPr>
          <w:sz w:val="20"/>
          <w:szCs w:val="20"/>
        </w:rPr>
        <w:t>procedural terminology code reimbursement and collection trends which in turn impacts the management fee that the Company is entitled to. Billing rates are reviewed at least annually and adjusted based on current insurer reimbursement practices. The perfor</w:t>
      </w:r>
      <w:r>
        <w:rPr>
          <w:sz w:val="20"/>
          <w:szCs w:val="20"/>
        </w:rPr>
        <w:t>mance obligation is satisfied as the management services are provided.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contracts for medical practice management services have approximately an additional 20 years remaining and are only cancellable under very limited circumstances. The Company receives a management fee each month for managing the day-to-day business operatio</w:t>
      </w:r>
      <w:r>
        <w:rPr>
          <w:sz w:val="20"/>
          <w:szCs w:val="20"/>
        </w:rPr>
        <w:t>ns of each medical group as a fixed fee or a percentage payment of the net operating income which is included in revenue in the consolidated statements of operations.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Our medical practice management services obligations consist of a series of distinct se</w:t>
      </w:r>
      <w:r>
        <w:rPr>
          <w:sz w:val="20"/>
          <w:szCs w:val="20"/>
        </w:rPr>
        <w:t>rvices that are substantially the same and have the same periodic pattern of transfer to our customers. Revenue is recognized over time, however for reporting and convenience purposes, the management fee is computed at each month end.</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Information about c</w:t>
      </w:r>
      <w:r>
        <w:rPr>
          <w:i/>
          <w:iCs/>
          <w:sz w:val="20"/>
          <w:szCs w:val="20"/>
        </w:rPr>
        <w:t>ontract balances:</w:t>
      </w:r>
    </w:p>
    <w:p w:rsidR="00000000" w:rsidRDefault="003F57AF">
      <w:pPr>
        <w:pStyle w:val="a3"/>
        <w:spacing w:before="0" w:beforeAutospacing="0" w:after="0" w:afterAutospacing="0"/>
        <w:jc w:val="both"/>
        <w:rPr>
          <w:sz w:val="20"/>
          <w:szCs w:val="20"/>
        </w:rPr>
      </w:pPr>
      <w:r>
        <w:rPr>
          <w:sz w:val="20"/>
          <w:szCs w:val="20"/>
        </w:rPr>
        <w:t xml:space="preserve">As of September 30, 2022, the estimated revenue expected to be recognized in the future related to the remaining revenue cycle management performance obligations outstanding was approximately </w:t>
      </w:r>
      <w:r>
        <w:rPr>
          <w:sz w:val="20"/>
          <w:szCs w:val="20"/>
        </w:rPr>
        <w:t>$</w:t>
      </w:r>
      <w:r>
        <w:rPr>
          <w:sz w:val="20"/>
          <w:szCs w:val="20"/>
        </w:rPr>
        <w:t>3.</w:t>
      </w:r>
      <w:r>
        <w:rPr>
          <w:sz w:val="20"/>
          <w:szCs w:val="20"/>
        </w:rPr>
        <w:t>9</w:t>
      </w:r>
      <w:r>
        <w:rPr>
          <w:sz w:val="20"/>
          <w:szCs w:val="20"/>
        </w:rPr>
        <w:t xml:space="preserve"> million. We expect to recognize substanti</w:t>
      </w:r>
      <w:r>
        <w:rPr>
          <w:sz w:val="20"/>
          <w:szCs w:val="20"/>
        </w:rPr>
        <w:t>ally all of the revenue for the remaining performance obligations over the next</w:t>
      </w:r>
      <w:r>
        <w:rPr>
          <w:sz w:val="20"/>
          <w:szCs w:val="20"/>
        </w:rPr>
        <w:t xml:space="preserve"> </w:t>
      </w:r>
      <w:r>
        <w:rPr>
          <w:sz w:val="20"/>
          <w:szCs w:val="20"/>
        </w:rPr>
        <w:t>three month</w:t>
      </w:r>
      <w:r>
        <w:rPr>
          <w:sz w:val="20"/>
          <w:szCs w:val="20"/>
        </w:rPr>
        <w:t>s</w:t>
      </w:r>
      <w:r>
        <w:rPr>
          <w:sz w:val="20"/>
          <w:szCs w:val="20"/>
        </w:rPr>
        <w:t xml:space="preserve">. Approximately </w:t>
      </w:r>
      <w:r>
        <w:rPr>
          <w:sz w:val="20"/>
          <w:szCs w:val="20"/>
        </w:rPr>
        <w:t>$</w:t>
      </w:r>
      <w:r>
        <w:rPr>
          <w:sz w:val="20"/>
          <w:szCs w:val="20"/>
        </w:rPr>
        <w:t>500,00</w:t>
      </w:r>
      <w:r>
        <w:rPr>
          <w:sz w:val="20"/>
          <w:szCs w:val="20"/>
        </w:rPr>
        <w:t>0</w:t>
      </w:r>
      <w:r>
        <w:rPr>
          <w:sz w:val="20"/>
          <w:szCs w:val="20"/>
        </w:rPr>
        <w:t xml:space="preserve"> of the contract asset represents revenue earned, but not yet paid, from the group purchasing services.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Amounts that we are entitled to co</w:t>
      </w:r>
      <w:r>
        <w:rPr>
          <w:sz w:val="20"/>
          <w:szCs w:val="20"/>
        </w:rPr>
        <w:t>llect under the applicable contract are recorded as accounts receivable. Invoicing is performed at the end of each month when the services have been provided. The contract asset includes our right to payment for services already transferred to a customer w</w:t>
      </w:r>
      <w:r>
        <w:rPr>
          <w:sz w:val="20"/>
          <w:szCs w:val="20"/>
        </w:rPr>
        <w:t>hen the right to payment is conditional on something other than the passage of time. For example, contracts for revenue cycle management services where we recognize revenue over time but do not have a contractual right to payment until the customer receive</w:t>
      </w:r>
      <w:r>
        <w:rPr>
          <w:sz w:val="20"/>
          <w:szCs w:val="20"/>
        </w:rPr>
        <w:t>s payment of their claim from the insurance provider. The contract asset also includes the revenue accrued, not received, for the group purchasing services.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Changes in the contract asset are recorded as adjustments to net revenue. The changes primarily r</w:t>
      </w:r>
      <w:r>
        <w:rPr>
          <w:sz w:val="20"/>
          <w:szCs w:val="20"/>
        </w:rPr>
        <w:t>esult from providing services to revenue cycle management customers that result in additional consideration and are offset by our right to payment for services becoming unconditional and changes in the revenue accrued for the group purchasing services. The</w:t>
      </w:r>
      <w:r>
        <w:rPr>
          <w:sz w:val="20"/>
          <w:szCs w:val="20"/>
        </w:rPr>
        <w:t xml:space="preserve"> contract asset for our group purchasing services is reduced when we receive payments from vaccine manufacturers and is increased for revenue earned, not received. The opening and closing balances of the Company’s accounts receivable, contract asset and de</w:t>
      </w:r>
      <w:r>
        <w:rPr>
          <w:sz w:val="20"/>
          <w:szCs w:val="20"/>
        </w:rPr>
        <w:t>ferred revenue are as follows:</w:t>
      </w:r>
    </w:p>
    <w:p w:rsidR="00000000" w:rsidRDefault="003F57AF">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4750" w:type="pct"/>
        <w:tblCellMar>
          <w:left w:w="0" w:type="dxa"/>
          <w:right w:w="0" w:type="dxa"/>
        </w:tblCellMar>
        <w:tblLook w:val="04A0" w:firstRow="1" w:lastRow="0" w:firstColumn="1" w:lastColumn="0" w:noHBand="0" w:noVBand="1"/>
      </w:tblPr>
      <w:tblGrid>
        <w:gridCol w:w="2202"/>
        <w:gridCol w:w="151"/>
        <w:gridCol w:w="101"/>
        <w:gridCol w:w="1098"/>
        <w:gridCol w:w="72"/>
        <w:gridCol w:w="151"/>
        <w:gridCol w:w="101"/>
        <w:gridCol w:w="782"/>
        <w:gridCol w:w="72"/>
        <w:gridCol w:w="151"/>
        <w:gridCol w:w="101"/>
        <w:gridCol w:w="1256"/>
        <w:gridCol w:w="72"/>
        <w:gridCol w:w="151"/>
        <w:gridCol w:w="101"/>
        <w:gridCol w:w="1256"/>
        <w:gridCol w:w="73"/>
      </w:tblGrid>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Accounts</w:t>
            </w:r>
          </w:p>
          <w:p w:rsidR="00000000" w:rsidRDefault="003F57AF">
            <w:pPr>
              <w:pStyle w:val="a3"/>
              <w:spacing w:before="0" w:beforeAutospacing="0" w:after="0" w:afterAutospacing="0"/>
              <w:jc w:val="center"/>
              <w:rPr>
                <w:b/>
                <w:bCs/>
                <w:sz w:val="20"/>
                <w:szCs w:val="20"/>
              </w:rPr>
            </w:pPr>
            <w:r>
              <w:rPr>
                <w:b/>
                <w:bCs/>
                <w:sz w:val="20"/>
                <w:szCs w:val="20"/>
              </w:rPr>
              <w:t>Receivable, Net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Contract</w:t>
            </w:r>
          </w:p>
          <w:p w:rsidR="00000000" w:rsidRDefault="003F57AF">
            <w:pPr>
              <w:pStyle w:val="a3"/>
              <w:spacing w:before="0" w:beforeAutospacing="0" w:after="0" w:afterAutospacing="0"/>
              <w:jc w:val="center"/>
              <w:rPr>
                <w:b/>
                <w:bCs/>
                <w:sz w:val="20"/>
                <w:szCs w:val="20"/>
              </w:rPr>
            </w:pPr>
            <w:r>
              <w:rPr>
                <w:b/>
                <w:bCs/>
                <w:sz w:val="20"/>
                <w:szCs w:val="20"/>
              </w:rPr>
              <w:t>Asset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Deferred Revenue</w:t>
            </w:r>
          </w:p>
          <w:p w:rsidR="00000000" w:rsidRDefault="003F57AF">
            <w:pPr>
              <w:pStyle w:val="a3"/>
              <w:spacing w:before="0" w:beforeAutospacing="0" w:after="0" w:afterAutospacing="0"/>
              <w:jc w:val="center"/>
              <w:rPr>
                <w:b/>
                <w:bCs/>
                <w:sz w:val="20"/>
                <w:szCs w:val="20"/>
              </w:rPr>
            </w:pPr>
            <w:r>
              <w:rPr>
                <w:b/>
                <w:bCs/>
                <w:sz w:val="20"/>
                <w:szCs w:val="20"/>
              </w:rPr>
              <w:t>(current)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Deferred Revenue</w:t>
            </w:r>
          </w:p>
          <w:p w:rsidR="00000000" w:rsidRDefault="003F57AF">
            <w:pPr>
              <w:pStyle w:val="a3"/>
              <w:spacing w:before="0" w:beforeAutospacing="0" w:after="0" w:afterAutospacing="0"/>
              <w:jc w:val="center"/>
              <w:rPr>
                <w:b/>
                <w:bCs/>
                <w:sz w:val="20"/>
                <w:szCs w:val="20"/>
              </w:rPr>
            </w:pPr>
            <w:r>
              <w:rPr>
                <w:b/>
                <w:bCs/>
                <w:sz w:val="20"/>
                <w:szCs w:val="20"/>
              </w:rPr>
              <w:t>(long term)</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400" w:type="pct"/>
            <w:shd w:val="clear" w:color="auto" w:fill="CCEEFF"/>
            <w:vAlign w:val="bottom"/>
            <w:hideMark/>
          </w:tcPr>
          <w:p w:rsidR="00000000" w:rsidRDefault="003F57AF">
            <w:pPr>
              <w:rPr>
                <w:rFonts w:eastAsia="Times New Roman"/>
                <w:sz w:val="20"/>
                <w:szCs w:val="20"/>
              </w:rPr>
            </w:pPr>
            <w:r>
              <w:rPr>
                <w:rFonts w:eastAsia="Times New Roman"/>
                <w:sz w:val="20"/>
                <w:szCs w:val="20"/>
              </w:rPr>
              <w:t>Balance as of January 1, 2022</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17,006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4,725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1,085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(Decrease) increase, net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(725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(318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332</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Balance as of September 30, 2022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16,281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4,407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1,417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390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Balance as of January 1, 2021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2,705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(1,846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(89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Balance as of September 30, 2021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18,094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4,661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1,089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216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2730649"/>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3F57AF">
      <w:pPr>
        <w:pStyle w:val="a3"/>
        <w:spacing w:before="0" w:beforeAutospacing="0" w:after="0" w:afterAutospacing="0"/>
        <w:divId w:val="1885946750"/>
        <w:rPr>
          <w:sz w:val="20"/>
          <w:szCs w:val="20"/>
        </w:rPr>
      </w:pPr>
      <w:r>
        <w:rPr>
          <w:sz w:val="20"/>
          <w:szCs w:val="20"/>
        </w:rPr>
        <w:t> </w:t>
      </w:r>
    </w:p>
    <w:p w:rsidR="00000000" w:rsidRDefault="003F57AF">
      <w:pPr>
        <w:pStyle w:val="a3"/>
        <w:spacing w:before="0" w:beforeAutospacing="0" w:after="0" w:afterAutospacing="0"/>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Deferred commissions:</w:t>
      </w:r>
    </w:p>
    <w:p w:rsidR="00000000" w:rsidRDefault="003F57AF">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w:t>
      </w:r>
      <w:r>
        <w:rPr>
          <w:sz w:val="20"/>
          <w:szCs w:val="20"/>
        </w:rPr>
        <w:t>$</w:t>
      </w:r>
      <w:r>
        <w:rPr>
          <w:sz w:val="20"/>
          <w:szCs w:val="20"/>
        </w:rPr>
        <w:t>692,00</w:t>
      </w:r>
      <w:r>
        <w:rPr>
          <w:sz w:val="20"/>
          <w:szCs w:val="20"/>
        </w:rPr>
        <w:t>0</w:t>
      </w:r>
      <w:r>
        <w:rPr>
          <w:sz w:val="20"/>
          <w:szCs w:val="20"/>
        </w:rPr>
        <w:t xml:space="preserve"> and </w:t>
      </w:r>
      <w:r>
        <w:rPr>
          <w:sz w:val="20"/>
          <w:szCs w:val="20"/>
        </w:rPr>
        <w:t>$</w:t>
      </w:r>
      <w:r>
        <w:rPr>
          <w:sz w:val="20"/>
          <w:szCs w:val="20"/>
        </w:rPr>
        <w:t>922,00</w:t>
      </w:r>
      <w:r>
        <w:rPr>
          <w:sz w:val="20"/>
          <w:szCs w:val="20"/>
        </w:rPr>
        <w:t>0</w:t>
      </w:r>
      <w:r>
        <w:rPr>
          <w:sz w:val="20"/>
          <w:szCs w:val="20"/>
        </w:rPr>
        <w:t xml:space="preserve"> at September 30,</w:t>
      </w:r>
      <w:r>
        <w:rPr>
          <w:sz w:val="20"/>
          <w:szCs w:val="20"/>
        </w:rPr>
        <w:t xml:space="preserve"> 2022 and 2021, respectively, and are included in the other assets amounts in the consolidated balance sheets.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475" w:hanging="475"/>
        <w:jc w:val="both"/>
        <w:rPr>
          <w:b/>
          <w:bCs/>
          <w:caps/>
          <w:sz w:val="20"/>
          <w:szCs w:val="20"/>
        </w:rPr>
      </w:pPr>
      <w:r>
        <w:rPr>
          <w:b/>
          <w:bCs/>
          <w:caps/>
          <w:sz w:val="20"/>
          <w:szCs w:val="20"/>
        </w:rPr>
        <w:t>12.</w:t>
      </w:r>
      <w:r>
        <w:rPr>
          <w:b/>
          <w:bCs/>
          <w:caps/>
          <w:sz w:val="20"/>
          <w:szCs w:val="20"/>
        </w:rPr>
        <w:t xml:space="preserve"> </w:t>
      </w:r>
      <w:r>
        <w:rPr>
          <w:b/>
          <w:bCs/>
          <w:caps/>
          <w:sz w:val="20"/>
          <w:szCs w:val="20"/>
        </w:rPr>
        <w:t>STOCK-BASED COMPENSATIO</w:t>
      </w:r>
      <w:r>
        <w:rPr>
          <w:b/>
          <w:bCs/>
          <w:caps/>
          <w:sz w:val="20"/>
          <w:szCs w:val="20"/>
        </w:rPr>
        <w:t>N</w:t>
      </w:r>
    </w:p>
    <w:p w:rsidR="00000000" w:rsidRDefault="003F57AF">
      <w:pPr>
        <w:pStyle w:val="a3"/>
        <w:spacing w:before="0" w:beforeAutospacing="0" w:after="0" w:afterAutospacing="0"/>
        <w:ind w:left="475" w:hanging="475"/>
        <w:jc w:val="both"/>
        <w:rPr>
          <w:caps/>
          <w:sz w:val="20"/>
          <w:szCs w:val="20"/>
        </w:rPr>
      </w:pPr>
      <w:r>
        <w:rPr>
          <w:caps/>
          <w:sz w:val="20"/>
          <w:szCs w:val="20"/>
        </w:rPr>
        <w:t> </w:t>
      </w:r>
    </w:p>
    <w:p w:rsidR="00000000" w:rsidRDefault="003F57AF">
      <w:pPr>
        <w:pStyle w:val="a3"/>
        <w:spacing w:before="0" w:beforeAutospacing="0" w:after="0" w:afterAutospacing="0"/>
        <w:jc w:val="both"/>
        <w:rPr>
          <w:sz w:val="20"/>
          <w:szCs w:val="20"/>
        </w:rPr>
      </w:pPr>
      <w:r>
        <w:rPr>
          <w:sz w:val="20"/>
          <w:szCs w:val="20"/>
        </w:rPr>
        <w:t>In April 2014, the Company adopted the Medical Transcription Billing, Corp. 2014 Equity Incentive Plan (the “Ori</w:t>
      </w:r>
      <w:r>
        <w:rPr>
          <w:sz w:val="20"/>
          <w:szCs w:val="20"/>
        </w:rPr>
        <w:t>ginal Plan”), reserving</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directors and consultants. On April 14, 2017, the Original Plan was amended and restated whereby an additional</w:t>
      </w:r>
      <w:r>
        <w:rPr>
          <w:sz w:val="20"/>
          <w:szCs w:val="20"/>
        </w:rPr>
        <w:t xml:space="preserve"> </w:t>
      </w:r>
      <w:r>
        <w:rPr>
          <w:sz w:val="20"/>
          <w:szCs w:val="20"/>
        </w:rPr>
        <w:t>1,500,00</w:t>
      </w:r>
      <w:r>
        <w:rPr>
          <w:sz w:val="20"/>
          <w:szCs w:val="20"/>
        </w:rPr>
        <w:t>0</w:t>
      </w:r>
      <w:r>
        <w:rPr>
          <w:sz w:val="20"/>
          <w:szCs w:val="20"/>
        </w:rPr>
        <w:t xml:space="preserve"> shares of common stock and</w:t>
      </w:r>
      <w:r>
        <w:rPr>
          <w:sz w:val="20"/>
          <w:szCs w:val="20"/>
        </w:rPr>
        <w:t xml:space="preserve"> </w:t>
      </w:r>
      <w:r>
        <w:rPr>
          <w:sz w:val="20"/>
          <w:szCs w:val="20"/>
        </w:rPr>
        <w:t>100,00</w:t>
      </w:r>
      <w:r>
        <w:rPr>
          <w:sz w:val="20"/>
          <w:szCs w:val="20"/>
        </w:rPr>
        <w:t>0</w:t>
      </w:r>
      <w:r>
        <w:rPr>
          <w:sz w:val="20"/>
          <w:szCs w:val="20"/>
        </w:rPr>
        <w:t xml:space="preserve"> shares o</w:t>
      </w:r>
      <w:r>
        <w:rPr>
          <w:sz w:val="20"/>
          <w:szCs w:val="20"/>
        </w:rPr>
        <w:t>f Series A Preferred Stock were added to the plan for future issuance (the “A&amp;R Plan”). During 2018, an additional</w:t>
      </w:r>
      <w:r>
        <w:rPr>
          <w:sz w:val="20"/>
          <w:szCs w:val="20"/>
        </w:rPr>
        <w:t xml:space="preserve"> </w:t>
      </w:r>
      <w:r>
        <w:rPr>
          <w:sz w:val="20"/>
          <w:szCs w:val="20"/>
        </w:rPr>
        <w:t>200,00</w:t>
      </w:r>
      <w:r>
        <w:rPr>
          <w:sz w:val="20"/>
          <w:szCs w:val="20"/>
        </w:rPr>
        <w:t>0</w:t>
      </w:r>
      <w:r>
        <w:rPr>
          <w:sz w:val="20"/>
          <w:szCs w:val="20"/>
        </w:rPr>
        <w:t xml:space="preserve"> of Series A Preferred Stock were added to the A&amp;R Plan for future issuance. In May 2020, an additional</w:t>
      </w:r>
      <w:r>
        <w:rPr>
          <w:sz w:val="20"/>
          <w:szCs w:val="20"/>
        </w:rPr>
        <w:t xml:space="preserve"> </w:t>
      </w:r>
      <w:r>
        <w:rPr>
          <w:sz w:val="20"/>
          <w:szCs w:val="20"/>
        </w:rPr>
        <w:t>2,000,00</w:t>
      </w:r>
      <w:r>
        <w:rPr>
          <w:sz w:val="20"/>
          <w:szCs w:val="20"/>
        </w:rPr>
        <w:t>0</w:t>
      </w:r>
      <w:r>
        <w:rPr>
          <w:sz w:val="20"/>
          <w:szCs w:val="20"/>
        </w:rPr>
        <w:t xml:space="preserve"> shares of common sto</w:t>
      </w:r>
      <w:r>
        <w:rPr>
          <w:sz w:val="20"/>
          <w:szCs w:val="20"/>
        </w:rPr>
        <w:t>ck and an additional</w:t>
      </w:r>
      <w:r>
        <w:rPr>
          <w:sz w:val="20"/>
          <w:szCs w:val="20"/>
        </w:rPr>
        <w:t xml:space="preserve"> </w:t>
      </w:r>
      <w:r>
        <w:rPr>
          <w:sz w:val="20"/>
          <w:szCs w:val="20"/>
        </w:rPr>
        <w:t>300,00</w:t>
      </w:r>
      <w:r>
        <w:rPr>
          <w:sz w:val="20"/>
          <w:szCs w:val="20"/>
        </w:rPr>
        <w:t>0</w:t>
      </w:r>
      <w:r>
        <w:rPr>
          <w:sz w:val="20"/>
          <w:szCs w:val="20"/>
        </w:rPr>
        <w:t xml:space="preserve"> shares of Series A Preferred Stock were added to the A&amp;R Plan for future issuance. During 2022, an additional</w:t>
      </w:r>
      <w:r>
        <w:rPr>
          <w:sz w:val="20"/>
          <w:szCs w:val="20"/>
        </w:rPr>
        <w:t xml:space="preserve"> </w:t>
      </w:r>
      <w:r>
        <w:rPr>
          <w:sz w:val="20"/>
          <w:szCs w:val="20"/>
        </w:rPr>
        <w:t>1,000,00</w:t>
      </w:r>
      <w:r>
        <w:rPr>
          <w:sz w:val="20"/>
          <w:szCs w:val="20"/>
        </w:rPr>
        <w:t>0</w:t>
      </w:r>
      <w:r>
        <w:rPr>
          <w:sz w:val="20"/>
          <w:szCs w:val="20"/>
        </w:rPr>
        <w:t xml:space="preserve"> shares of common stock and</w:t>
      </w:r>
      <w:r>
        <w:rPr>
          <w:sz w:val="20"/>
          <w:szCs w:val="20"/>
        </w:rPr>
        <w:t xml:space="preserve"> </w:t>
      </w:r>
      <w:r>
        <w:rPr>
          <w:sz w:val="20"/>
          <w:szCs w:val="20"/>
        </w:rPr>
        <w:t>200,00</w:t>
      </w:r>
      <w:r>
        <w:rPr>
          <w:sz w:val="20"/>
          <w:szCs w:val="20"/>
        </w:rPr>
        <w:t>0</w:t>
      </w:r>
      <w:r>
        <w:rPr>
          <w:sz w:val="20"/>
          <w:szCs w:val="20"/>
        </w:rPr>
        <w:t xml:space="preserve"> shares of Series B Preferred Stock were added to the A&amp;R Plan for future</w:t>
      </w:r>
      <w:r>
        <w:rPr>
          <w:sz w:val="20"/>
          <w:szCs w:val="20"/>
        </w:rPr>
        <w:t xml:space="preserve"> issuance. Some of the Series A Preferred Stock shares were subsequently redesignated as Series B Preferred Stock and were removed from the A&amp;R Plan. As of September 30, 2022,</w:t>
      </w:r>
      <w:r>
        <w:rPr>
          <w:sz w:val="20"/>
          <w:szCs w:val="20"/>
        </w:rPr>
        <w:t xml:space="preserve"> </w:t>
      </w:r>
      <w:r>
        <w:rPr>
          <w:sz w:val="20"/>
          <w:szCs w:val="20"/>
        </w:rPr>
        <w:t>1,621,74</w:t>
      </w:r>
      <w:r>
        <w:rPr>
          <w:sz w:val="20"/>
          <w:szCs w:val="20"/>
        </w:rPr>
        <w:t>7</w:t>
      </w:r>
      <w:r>
        <w:rPr>
          <w:sz w:val="20"/>
          <w:szCs w:val="20"/>
        </w:rPr>
        <w:t xml:space="preserve"> shares of common stock,</w:t>
      </w:r>
      <w:r>
        <w:rPr>
          <w:sz w:val="20"/>
          <w:szCs w:val="20"/>
        </w:rPr>
        <w:t xml:space="preserve"> </w:t>
      </w:r>
      <w:r>
        <w:rPr>
          <w:sz w:val="20"/>
          <w:szCs w:val="20"/>
        </w:rPr>
        <w:t>33,76</w:t>
      </w:r>
      <w:r>
        <w:rPr>
          <w:sz w:val="20"/>
          <w:szCs w:val="20"/>
        </w:rPr>
        <w:t>9</w:t>
      </w:r>
      <w:r>
        <w:rPr>
          <w:sz w:val="20"/>
          <w:szCs w:val="20"/>
        </w:rPr>
        <w:t xml:space="preserve"> shares of Series A Preferred Stock and</w:t>
      </w:r>
      <w:r>
        <w:rPr>
          <w:sz w:val="20"/>
          <w:szCs w:val="20"/>
        </w:rPr>
        <w:t xml:space="preserve"> </w:t>
      </w:r>
      <w:r>
        <w:rPr>
          <w:sz w:val="20"/>
          <w:szCs w:val="20"/>
        </w:rPr>
        <w:t>120,00</w:t>
      </w:r>
      <w:r>
        <w:rPr>
          <w:sz w:val="20"/>
          <w:szCs w:val="20"/>
        </w:rPr>
        <w:t>0</w:t>
      </w:r>
      <w:r>
        <w:rPr>
          <w:sz w:val="20"/>
          <w:szCs w:val="20"/>
        </w:rPr>
        <w:t xml:space="preserve"> shares of Series B Preferred Stock are available for grant. Permissible awards include incentive stock options, non-statutory stock options, stock appreciation rights, restricted stock, RSUs, performance stock and cash-settled awards and other stoc</w:t>
      </w:r>
      <w:r>
        <w:rPr>
          <w:sz w:val="20"/>
          <w:szCs w:val="20"/>
        </w:rPr>
        <w:t>k-based awards in the discretion of the Compensation Committee of the Board of Directors including unrestricted stock grants.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equity-based RSUs contain a provision in which the units shall immediately vest and become converted into common shares at t</w:t>
      </w:r>
      <w:r>
        <w:rPr>
          <w:sz w:val="20"/>
          <w:szCs w:val="20"/>
        </w:rPr>
        <w:t>he rate of one share per RSU, immediately after a change in control, as defined in the award agreement.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i/>
          <w:iCs/>
          <w:sz w:val="20"/>
          <w:szCs w:val="20"/>
          <w:u w:val="single"/>
        </w:rPr>
        <w:t>Common and preferred stock RSUs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 </w:t>
      </w:r>
      <w:r>
        <w:rPr>
          <w:sz w:val="20"/>
          <w:szCs w:val="20"/>
        </w:rPr>
        <w:t>February 2022, the Compensation Committee approved executive bonuses to be paid in shares of Series B Preferred Stock, with the number of shares and the amount based on specified criteria being achieved during the year 2022. The actual amount of shares wil</w:t>
      </w:r>
      <w:r>
        <w:rPr>
          <w:sz w:val="20"/>
          <w:szCs w:val="20"/>
        </w:rPr>
        <w:t xml:space="preserve">l be settled in early 2023 based on the achievement of the specified criteria. For the nine months ended September 30, 2022, an expense of approximately </w:t>
      </w:r>
      <w:r>
        <w:rPr>
          <w:sz w:val="20"/>
          <w:szCs w:val="20"/>
        </w:rPr>
        <w:t>$</w:t>
      </w:r>
      <w:r>
        <w:rPr>
          <w:sz w:val="20"/>
          <w:szCs w:val="20"/>
        </w:rPr>
        <w:t>644,00</w:t>
      </w:r>
      <w:r>
        <w:rPr>
          <w:sz w:val="20"/>
          <w:szCs w:val="20"/>
        </w:rPr>
        <w:t>0</w:t>
      </w:r>
      <w:r>
        <w:rPr>
          <w:sz w:val="20"/>
          <w:szCs w:val="20"/>
        </w:rPr>
        <w:t xml:space="preserve"> was recorded for these bonuses based on the value of the shares at the grant date and recogniz</w:t>
      </w:r>
      <w:r>
        <w:rPr>
          <w:sz w:val="20"/>
          <w:szCs w:val="20"/>
        </w:rPr>
        <w:t xml:space="preserve">ed over the service period. The portion of the stock compensation expense to be used for the payment of withholding and payroll taxes is included in accrued compensation in the consolidated balance sheets. The balance of the stock compensation expense has </w:t>
      </w:r>
      <w:r>
        <w:rPr>
          <w:sz w:val="20"/>
          <w:szCs w:val="20"/>
        </w:rPr>
        <w:t>been recorded as additional paid-in capital.</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A&amp;R Plan for the nine months ended September 30, 2022 and 2021:</w:t>
      </w:r>
    </w:p>
    <w:p w:rsidR="00000000" w:rsidRDefault="003F57AF">
      <w:pPr>
        <w:pStyle w:val="a3"/>
        <w:spacing w:before="0" w:beforeAutospacing="0" w:after="0" w:afterAutospacing="0"/>
        <w:jc w:val="both"/>
        <w:rPr>
          <w:sz w:val="20"/>
          <w:szCs w:val="20"/>
        </w:rPr>
      </w:pPr>
      <w:r>
        <w:rPr>
          <w:sz w:val="20"/>
          <w:szCs w:val="20"/>
        </w:rPr>
        <w:t> </w:t>
      </w:r>
      <w:r>
        <w:rPr>
          <w:vanish/>
          <w:sz w:val="20"/>
          <w:szCs w:val="20"/>
        </w:rPr>
        <w:t>DISCLOSURE OF SHARE-BASED COMPENSATION A</w:t>
      </w:r>
      <w:r>
        <w:rPr>
          <w:vanish/>
          <w:sz w:val="20"/>
          <w:szCs w:val="20"/>
        </w:rPr>
        <w:t>RRANGEMENTS BY SHARE-BASED PAYMENT AWAR</w:t>
      </w:r>
      <w:r>
        <w:rPr>
          <w:vanish/>
          <w:sz w:val="20"/>
          <w:szCs w:val="20"/>
        </w:rPr>
        <w:t>D</w:t>
      </w:r>
    </w:p>
    <w:tbl>
      <w:tblPr>
        <w:tblW w:w="5000" w:type="pct"/>
        <w:tblCellMar>
          <w:left w:w="0" w:type="dxa"/>
          <w:right w:w="0" w:type="dxa"/>
        </w:tblCellMar>
        <w:tblLook w:val="04A0" w:firstRow="1" w:lastRow="0" w:firstColumn="1" w:lastColumn="0" w:noHBand="0" w:noVBand="1"/>
      </w:tblPr>
      <w:tblGrid>
        <w:gridCol w:w="3323"/>
        <w:gridCol w:w="166"/>
        <w:gridCol w:w="83"/>
        <w:gridCol w:w="1329"/>
        <w:gridCol w:w="83"/>
        <w:gridCol w:w="166"/>
        <w:gridCol w:w="83"/>
        <w:gridCol w:w="1329"/>
        <w:gridCol w:w="83"/>
        <w:gridCol w:w="166"/>
        <w:gridCol w:w="83"/>
        <w:gridCol w:w="1329"/>
        <w:gridCol w:w="83"/>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Common</w:t>
            </w:r>
          </w:p>
          <w:p w:rsidR="00000000" w:rsidRDefault="003F57AF">
            <w:pPr>
              <w:pStyle w:val="a3"/>
              <w:spacing w:before="0" w:beforeAutospacing="0" w:after="0" w:afterAutospacing="0"/>
              <w:jc w:val="center"/>
              <w:rPr>
                <w:b/>
                <w:bCs/>
                <w:sz w:val="20"/>
                <w:szCs w:val="20"/>
              </w:rPr>
            </w:pPr>
            <w:r>
              <w:rPr>
                <w:b/>
                <w:bCs/>
                <w:sz w:val="20"/>
                <w:szCs w:val="20"/>
              </w:rPr>
              <w:t>Stock</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Series A</w:t>
            </w:r>
          </w:p>
          <w:p w:rsidR="00000000" w:rsidRDefault="003F57AF">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pStyle w:val="a3"/>
              <w:spacing w:before="0" w:beforeAutospacing="0" w:after="0" w:afterAutospacing="0"/>
              <w:jc w:val="center"/>
              <w:rPr>
                <w:b/>
                <w:bCs/>
                <w:sz w:val="20"/>
                <w:szCs w:val="20"/>
              </w:rPr>
            </w:pPr>
            <w:r>
              <w:rPr>
                <w:b/>
                <w:bCs/>
                <w:sz w:val="20"/>
                <w:szCs w:val="20"/>
              </w:rPr>
              <w:t>Series B</w:t>
            </w:r>
          </w:p>
          <w:p w:rsidR="00000000" w:rsidRDefault="003F57AF">
            <w:pPr>
              <w:pStyle w:val="a3"/>
              <w:spacing w:before="0" w:beforeAutospacing="0" w:after="0" w:afterAutospacing="0"/>
              <w:jc w:val="center"/>
              <w:rPr>
                <w:b/>
                <w:bCs/>
                <w:sz w:val="20"/>
                <w:szCs w:val="20"/>
              </w:rPr>
            </w:pPr>
            <w:r>
              <w:rPr>
                <w:b/>
                <w:bCs/>
                <w:sz w:val="20"/>
                <w:szCs w:val="20"/>
              </w:rPr>
              <w:t>Preferred Stock</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F57AF">
            <w:pPr>
              <w:rPr>
                <w:rFonts w:eastAsia="Times New Roman"/>
                <w:sz w:val="20"/>
                <w:szCs w:val="20"/>
              </w:rPr>
            </w:pPr>
            <w:r>
              <w:rPr>
                <w:rFonts w:eastAsia="Times New Roman"/>
                <w:sz w:val="20"/>
                <w:szCs w:val="20"/>
              </w:rPr>
              <w:t>Outstanding and unvested shares at January 1, 2022</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418,039</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625,252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80,000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(426,299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(55,616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Outstanding and unvested shares at September 30, 2022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561,376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70,000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Outstanding and unvested shares at January 1, 2021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382,435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458,467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46,197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(475,120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(56,197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(85,286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Outstanding and unvested shares at September 30, 2021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280,496</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liability for the</w:t>
      </w:r>
      <w:r>
        <w:rPr>
          <w:sz w:val="20"/>
          <w:szCs w:val="20"/>
        </w:rPr>
        <w:t xml:space="preserve"> </w:t>
      </w:r>
      <w:r>
        <w:rPr>
          <w:sz w:val="20"/>
          <w:szCs w:val="20"/>
        </w:rPr>
        <w:t>80,85</w:t>
      </w:r>
      <w:r>
        <w:rPr>
          <w:sz w:val="20"/>
          <w:szCs w:val="20"/>
        </w:rPr>
        <w:t>0</w:t>
      </w:r>
      <w:r>
        <w:rPr>
          <w:sz w:val="20"/>
          <w:szCs w:val="20"/>
        </w:rPr>
        <w:t xml:space="preserve"> </w:t>
      </w:r>
      <w:r>
        <w:rPr>
          <w:sz w:val="20"/>
          <w:szCs w:val="20"/>
        </w:rPr>
        <w:t xml:space="preserve">cash-settled awards and the liability for withheld taxes in connection with the equity awards was approximately </w:t>
      </w:r>
      <w:r>
        <w:rPr>
          <w:sz w:val="20"/>
          <w:szCs w:val="20"/>
        </w:rPr>
        <w:t>$</w:t>
      </w:r>
      <w:r>
        <w:rPr>
          <w:sz w:val="20"/>
          <w:szCs w:val="20"/>
        </w:rPr>
        <w:t>755,00</w:t>
      </w:r>
      <w:r>
        <w:rPr>
          <w:sz w:val="20"/>
          <w:szCs w:val="20"/>
        </w:rPr>
        <w:t>0</w:t>
      </w:r>
      <w:r>
        <w:rPr>
          <w:sz w:val="20"/>
          <w:szCs w:val="20"/>
        </w:rPr>
        <w:t xml:space="preserve"> and </w:t>
      </w:r>
      <w:r>
        <w:rPr>
          <w:sz w:val="20"/>
          <w:szCs w:val="20"/>
        </w:rPr>
        <w:t>$</w:t>
      </w:r>
      <w:r>
        <w:rPr>
          <w:sz w:val="20"/>
          <w:szCs w:val="20"/>
        </w:rPr>
        <w:t>1.</w:t>
      </w:r>
      <w:r>
        <w:rPr>
          <w:sz w:val="20"/>
          <w:szCs w:val="20"/>
        </w:rPr>
        <w:t>0</w:t>
      </w:r>
      <w:r>
        <w:rPr>
          <w:sz w:val="20"/>
          <w:szCs w:val="20"/>
        </w:rPr>
        <w:t xml:space="preserve"> million at September 30, 2022 and December 31, 2021, respectively, and is included in accrued compensation in the consolidated</w:t>
      </w:r>
      <w:r>
        <w:rPr>
          <w:sz w:val="20"/>
          <w:szCs w:val="20"/>
        </w:rPr>
        <w:t xml:space="preserve"> balance sheets. During the nine months ended September 30, 2022 and 2021, approximately </w:t>
      </w:r>
      <w:r>
        <w:rPr>
          <w:sz w:val="20"/>
          <w:szCs w:val="20"/>
        </w:rPr>
        <w:t>$</w:t>
      </w:r>
      <w:r>
        <w:rPr>
          <w:sz w:val="20"/>
          <w:szCs w:val="20"/>
        </w:rPr>
        <w:t>13,00</w:t>
      </w:r>
      <w:r>
        <w:rPr>
          <w:sz w:val="20"/>
          <w:szCs w:val="20"/>
        </w:rPr>
        <w:t>0</w:t>
      </w:r>
      <w:r>
        <w:rPr>
          <w:sz w:val="20"/>
          <w:szCs w:val="20"/>
        </w:rPr>
        <w:t xml:space="preserve"> and </w:t>
      </w:r>
      <w:r>
        <w:rPr>
          <w:sz w:val="20"/>
          <w:szCs w:val="20"/>
        </w:rPr>
        <w:t>$</w:t>
      </w:r>
      <w:r>
        <w:rPr>
          <w:sz w:val="20"/>
          <w:szCs w:val="20"/>
        </w:rPr>
        <w:t>97,00</w:t>
      </w:r>
      <w:r>
        <w:rPr>
          <w:sz w:val="20"/>
          <w:szCs w:val="20"/>
        </w:rPr>
        <w:t>0</w:t>
      </w:r>
      <w:r>
        <w:rPr>
          <w:sz w:val="20"/>
          <w:szCs w:val="20"/>
        </w:rPr>
        <w:t>, respectively, was paid in connection with the cash-settled awards.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18419995"/>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3F57AF">
      <w:pPr>
        <w:pStyle w:val="a3"/>
        <w:spacing w:before="0" w:beforeAutospacing="0" w:after="0" w:afterAutospacing="0"/>
        <w:divId w:val="1020814548"/>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3F57AF">
      <w:pPr>
        <w:pStyle w:val="a3"/>
        <w:spacing w:before="0" w:beforeAutospacing="0" w:after="0" w:afterAutospacing="0"/>
        <w:jc w:val="both"/>
        <w:rPr>
          <w:color w:val="FF0000"/>
          <w:sz w:val="20"/>
          <w:szCs w:val="20"/>
        </w:rPr>
      </w:pPr>
      <w:r>
        <w:rPr>
          <w:b/>
          <w:bCs/>
          <w:i/>
          <w:iCs/>
          <w:color w:val="FF0000"/>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following table summarizes the components of share-ba</w:t>
      </w:r>
      <w:r>
        <w:rPr>
          <w:sz w:val="20"/>
          <w:szCs w:val="20"/>
        </w:rPr>
        <w:t>sed compensation expense for the three and nine months ended September 30, 2022 and 2021:</w:t>
      </w:r>
    </w:p>
    <w:p w:rsidR="00000000" w:rsidRDefault="003F57AF">
      <w:pPr>
        <w:pStyle w:val="a3"/>
        <w:spacing w:before="0" w:beforeAutospacing="0" w:after="0" w:afterAutospacing="0"/>
        <w:jc w:val="both"/>
        <w:rPr>
          <w:sz w:val="20"/>
          <w:szCs w:val="20"/>
        </w:rPr>
      </w:pPr>
      <w:r>
        <w:rPr>
          <w:sz w:val="20"/>
          <w:szCs w:val="20"/>
        </w:rPr>
        <w:t> </w:t>
      </w:r>
      <w:r>
        <w:rPr>
          <w:vanish/>
          <w:sz w:val="20"/>
          <w:szCs w:val="20"/>
        </w:rPr>
        <w:t>SCHEDULE OF EMPLOYEE SERVICE SHARE-BASED COMPENSATION ALLOCATION OF RECOGNIZED PERIOD COST</w:t>
      </w:r>
      <w:r>
        <w:rPr>
          <w:vanish/>
          <w:sz w:val="20"/>
          <w:szCs w:val="20"/>
        </w:rPr>
        <w:t>S</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rPr>
          <w:hidden/>
        </w:trPr>
        <w:tc>
          <w:tcPr>
            <w:tcW w:w="0" w:type="auto"/>
            <w:vAlign w:val="bottom"/>
            <w:hideMark/>
          </w:tcPr>
          <w:p w:rsidR="00000000" w:rsidRDefault="003F57AF">
            <w:pPr>
              <w:jc w:val="both"/>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3F57AF">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3F57AF">
            <w:pPr>
              <w:jc w:val="both"/>
              <w:rPr>
                <w:rFonts w:eastAsia="Times New Roman"/>
                <w:b/>
                <w:bCs/>
                <w:sz w:val="20"/>
                <w:szCs w:val="20"/>
              </w:rPr>
            </w:pPr>
            <w:r>
              <w:rPr>
                <w:rFonts w:eastAsia="Times New Roman"/>
                <w:b/>
                <w:bCs/>
                <w:sz w:val="20"/>
                <w:szCs w:val="20"/>
              </w:rPr>
              <w:t xml:space="preserve">Stock-based </w:t>
            </w:r>
            <w:r>
              <w:rPr>
                <w:rFonts w:eastAsia="Times New Roman"/>
                <w:b/>
                <w:bCs/>
                <w:sz w:val="20"/>
                <w:szCs w:val="20"/>
              </w:rPr>
              <w:t>compensation included in the</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both"/>
              <w:rPr>
                <w:rFonts w:eastAsia="Times New Roman"/>
                <w:b/>
                <w:bCs/>
                <w:sz w:val="20"/>
                <w:szCs w:val="20"/>
              </w:rPr>
            </w:pPr>
            <w:r>
              <w:rPr>
                <w:rFonts w:eastAsia="Times New Roman"/>
                <w:b/>
                <w:bCs/>
                <w:sz w:val="20"/>
                <w:szCs w:val="20"/>
              </w:rPr>
              <w:t>consolidated statements of operations:</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jc w:val="both"/>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665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766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800" w:type="pct"/>
            <w:shd w:val="clear" w:color="auto" w:fill="FFFFFF"/>
            <w:vAlign w:val="bottom"/>
            <w:hideMark/>
          </w:tcPr>
          <w:p w:rsidR="00000000" w:rsidRDefault="003F57AF">
            <w:pPr>
              <w:jc w:val="both"/>
              <w:rPr>
                <w:rFonts w:eastAsia="Times New Roman"/>
                <w:sz w:val="20"/>
                <w:szCs w:val="20"/>
              </w:rPr>
            </w:pPr>
            <w:r>
              <w:rPr>
                <w:rFonts w:eastAsia="Times New Roman"/>
                <w:sz w:val="20"/>
                <w:szCs w:val="20"/>
              </w:rPr>
              <w:t>General and administrative</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703</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737</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1,848</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3F57AF">
            <w:pPr>
              <w:jc w:val="right"/>
              <w:rPr>
                <w:rFonts w:eastAsia="Times New Roman"/>
                <w:sz w:val="20"/>
                <w:szCs w:val="20"/>
              </w:rPr>
            </w:pPr>
            <w:r>
              <w:rPr>
                <w:rFonts w:eastAsia="Times New Roman"/>
                <w:sz w:val="20"/>
                <w:szCs w:val="20"/>
              </w:rPr>
              <w:t>2,482</w:t>
            </w:r>
          </w:p>
        </w:tc>
        <w:tc>
          <w:tcPr>
            <w:tcW w:w="50" w:type="pct"/>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jc w:val="both"/>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661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552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Total stock-based compensation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1,328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3,399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4,006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caps/>
          <w:sz w:val="20"/>
          <w:szCs w:val="20"/>
        </w:rPr>
      </w:pPr>
      <w:r>
        <w:rPr>
          <w:b/>
          <w:bCs/>
          <w:caps/>
          <w:sz w:val="20"/>
          <w:szCs w:val="20"/>
        </w:rPr>
        <w:t>13.</w:t>
      </w:r>
      <w:r>
        <w:rPr>
          <w:b/>
          <w:bCs/>
          <w:caps/>
          <w:sz w:val="20"/>
          <w:szCs w:val="20"/>
        </w:rPr>
        <w:t xml:space="preserve"> </w:t>
      </w:r>
      <w:r>
        <w:rPr>
          <w:b/>
          <w:bCs/>
          <w:caps/>
          <w:sz w:val="20"/>
          <w:szCs w:val="20"/>
        </w:rPr>
        <w:t>INCOME TAXE</w:t>
      </w:r>
      <w:r>
        <w:rPr>
          <w:b/>
          <w:bCs/>
          <w:caps/>
          <w:sz w:val="20"/>
          <w:szCs w:val="20"/>
        </w:rPr>
        <w:t>S</w:t>
      </w:r>
    </w:p>
    <w:p w:rsidR="00000000" w:rsidRDefault="003F57AF">
      <w:pPr>
        <w:pStyle w:val="a3"/>
        <w:spacing w:before="0" w:beforeAutospacing="0" w:after="0" w:afterAutospacing="0"/>
        <w:ind w:left="475" w:hanging="475"/>
        <w:jc w:val="both"/>
        <w:rPr>
          <w:caps/>
          <w:sz w:val="20"/>
          <w:szCs w:val="20"/>
        </w:rPr>
      </w:pPr>
      <w:r>
        <w:rPr>
          <w:caps/>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 xml:space="preserve">income tax expense for the three months ended September 30, 2022 was approximately </w:t>
      </w:r>
      <w:r>
        <w:rPr>
          <w:sz w:val="20"/>
          <w:szCs w:val="20"/>
        </w:rPr>
        <w:t>$</w:t>
      </w:r>
      <w:r>
        <w:rPr>
          <w:sz w:val="20"/>
          <w:szCs w:val="20"/>
        </w:rPr>
        <w:t>55,00</w:t>
      </w:r>
      <w:r>
        <w:rPr>
          <w:sz w:val="20"/>
          <w:szCs w:val="20"/>
        </w:rPr>
        <w:t>0</w:t>
      </w:r>
      <w:r>
        <w:rPr>
          <w:sz w:val="20"/>
          <w:szCs w:val="20"/>
        </w:rPr>
        <w:t xml:space="preserve"> comprised of a current tax expense of </w:t>
      </w:r>
      <w:r>
        <w:rPr>
          <w:sz w:val="20"/>
          <w:szCs w:val="20"/>
        </w:rPr>
        <w:t>$</w:t>
      </w:r>
      <w:r>
        <w:rPr>
          <w:sz w:val="20"/>
          <w:szCs w:val="20"/>
        </w:rPr>
        <w:t>20,00</w:t>
      </w:r>
      <w:r>
        <w:rPr>
          <w:sz w:val="20"/>
          <w:szCs w:val="20"/>
        </w:rPr>
        <w:t>0</w:t>
      </w:r>
      <w:r>
        <w:rPr>
          <w:sz w:val="20"/>
          <w:szCs w:val="20"/>
        </w:rPr>
        <w:t xml:space="preserve"> and a deferred tax expense of </w:t>
      </w:r>
      <w:r>
        <w:rPr>
          <w:sz w:val="20"/>
          <w:szCs w:val="20"/>
        </w:rPr>
        <w:t>$</w:t>
      </w:r>
      <w:r>
        <w:rPr>
          <w:sz w:val="20"/>
          <w:szCs w:val="20"/>
        </w:rPr>
        <w:t>35,00</w:t>
      </w:r>
      <w:r>
        <w:rPr>
          <w:sz w:val="20"/>
          <w:szCs w:val="20"/>
        </w:rPr>
        <w:t>0</w:t>
      </w:r>
      <w:r>
        <w:rPr>
          <w:sz w:val="20"/>
          <w:szCs w:val="20"/>
        </w:rPr>
        <w:t>. The income tax expense for the nine months ended September 30, 2022 was approxim</w:t>
      </w:r>
      <w:r>
        <w:rPr>
          <w:sz w:val="20"/>
          <w:szCs w:val="20"/>
        </w:rPr>
        <w:t xml:space="preserve">ately </w:t>
      </w:r>
      <w:r>
        <w:rPr>
          <w:sz w:val="20"/>
          <w:szCs w:val="20"/>
        </w:rPr>
        <w:t>$</w:t>
      </w:r>
      <w:r>
        <w:rPr>
          <w:sz w:val="20"/>
          <w:szCs w:val="20"/>
        </w:rPr>
        <w:t>144,00</w:t>
      </w:r>
      <w:r>
        <w:rPr>
          <w:sz w:val="20"/>
          <w:szCs w:val="20"/>
        </w:rPr>
        <w:t>0</w:t>
      </w:r>
      <w:r>
        <w:rPr>
          <w:sz w:val="20"/>
          <w:szCs w:val="20"/>
        </w:rPr>
        <w:t xml:space="preserve"> comprised of a current tax expense of </w:t>
      </w:r>
      <w:r>
        <w:rPr>
          <w:sz w:val="20"/>
          <w:szCs w:val="20"/>
        </w:rPr>
        <w:t>$</w:t>
      </w:r>
      <w:r>
        <w:rPr>
          <w:sz w:val="20"/>
          <w:szCs w:val="20"/>
        </w:rPr>
        <w:t>82,00</w:t>
      </w:r>
      <w:r>
        <w:rPr>
          <w:sz w:val="20"/>
          <w:szCs w:val="20"/>
        </w:rPr>
        <w:t>0</w:t>
      </w:r>
      <w:r>
        <w:rPr>
          <w:sz w:val="20"/>
          <w:szCs w:val="20"/>
        </w:rPr>
        <w:t xml:space="preserve"> and a deferred tax expense of </w:t>
      </w:r>
      <w:r>
        <w:rPr>
          <w:sz w:val="20"/>
          <w:szCs w:val="20"/>
        </w:rPr>
        <w:t>$</w:t>
      </w:r>
      <w:r>
        <w:rPr>
          <w:sz w:val="20"/>
          <w:szCs w:val="20"/>
        </w:rPr>
        <w:t>62,00</w:t>
      </w:r>
      <w:r>
        <w:rPr>
          <w:sz w:val="20"/>
          <w:szCs w:val="20"/>
        </w:rPr>
        <w:t>0</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The income tax benefit for the three months ended September 30, 2021 was approximately </w:t>
      </w:r>
      <w:r>
        <w:rPr>
          <w:sz w:val="20"/>
          <w:szCs w:val="20"/>
        </w:rPr>
        <w:t>$</w:t>
      </w:r>
      <w:r>
        <w:rPr>
          <w:sz w:val="20"/>
          <w:szCs w:val="20"/>
        </w:rPr>
        <w:t>232,00</w:t>
      </w:r>
      <w:r>
        <w:rPr>
          <w:sz w:val="20"/>
          <w:szCs w:val="20"/>
        </w:rPr>
        <w:t>0</w:t>
      </w:r>
      <w:r>
        <w:rPr>
          <w:sz w:val="20"/>
          <w:szCs w:val="20"/>
        </w:rPr>
        <w:t xml:space="preserve">, comprised of a current tax benefit of </w:t>
      </w:r>
      <w:r>
        <w:rPr>
          <w:sz w:val="20"/>
          <w:szCs w:val="20"/>
        </w:rPr>
        <w:t>$</w:t>
      </w:r>
      <w:r>
        <w:rPr>
          <w:sz w:val="20"/>
          <w:szCs w:val="20"/>
        </w:rPr>
        <w:t>245,00</w:t>
      </w:r>
      <w:r>
        <w:rPr>
          <w:sz w:val="20"/>
          <w:szCs w:val="20"/>
        </w:rPr>
        <w:t>0</w:t>
      </w:r>
      <w:r>
        <w:rPr>
          <w:sz w:val="20"/>
          <w:szCs w:val="20"/>
        </w:rPr>
        <w:t xml:space="preserve"> and a defe</w:t>
      </w:r>
      <w:r>
        <w:rPr>
          <w:sz w:val="20"/>
          <w:szCs w:val="20"/>
        </w:rPr>
        <w:t xml:space="preserve">rred tax expense of </w:t>
      </w:r>
      <w:r>
        <w:rPr>
          <w:sz w:val="20"/>
          <w:szCs w:val="20"/>
        </w:rPr>
        <w:t>$</w:t>
      </w:r>
      <w:r>
        <w:rPr>
          <w:sz w:val="20"/>
          <w:szCs w:val="20"/>
        </w:rPr>
        <w:t>13,00</w:t>
      </w:r>
      <w:r>
        <w:rPr>
          <w:sz w:val="20"/>
          <w:szCs w:val="20"/>
        </w:rPr>
        <w:t>0</w:t>
      </w:r>
      <w:r>
        <w:rPr>
          <w:sz w:val="20"/>
          <w:szCs w:val="20"/>
        </w:rPr>
        <w:t xml:space="preserve">. The Company filed a carryback claim for approximately </w:t>
      </w:r>
      <w:r>
        <w:rPr>
          <w:sz w:val="20"/>
          <w:szCs w:val="20"/>
        </w:rPr>
        <w:t>$</w:t>
      </w:r>
      <w:r>
        <w:rPr>
          <w:sz w:val="20"/>
          <w:szCs w:val="20"/>
        </w:rPr>
        <w:t>285,00</w:t>
      </w:r>
      <w:r>
        <w:rPr>
          <w:sz w:val="20"/>
          <w:szCs w:val="20"/>
        </w:rPr>
        <w:t>0</w:t>
      </w:r>
      <w:r>
        <w:rPr>
          <w:sz w:val="20"/>
          <w:szCs w:val="20"/>
        </w:rPr>
        <w:t xml:space="preserve"> with the Internal Revenue Service to recover taxes previously paid by Meridian prior to its acquisition of Meridian. The income tax benefit for the nine months ende</w:t>
      </w:r>
      <w:r>
        <w:rPr>
          <w:sz w:val="20"/>
          <w:szCs w:val="20"/>
        </w:rPr>
        <w:t xml:space="preserve">d September 30, 2021 was approximately </w:t>
      </w:r>
      <w:r>
        <w:rPr>
          <w:sz w:val="20"/>
          <w:szCs w:val="20"/>
        </w:rPr>
        <w:t>$</w:t>
      </w:r>
      <w:r>
        <w:rPr>
          <w:sz w:val="20"/>
          <w:szCs w:val="20"/>
        </w:rPr>
        <w:t>20,00</w:t>
      </w:r>
      <w:r>
        <w:rPr>
          <w:sz w:val="20"/>
          <w:szCs w:val="20"/>
        </w:rPr>
        <w:t>0</w:t>
      </w:r>
      <w:r>
        <w:rPr>
          <w:sz w:val="20"/>
          <w:szCs w:val="20"/>
        </w:rPr>
        <w:t xml:space="preserve">, comprised of a current tax benefit of </w:t>
      </w:r>
      <w:r>
        <w:rPr>
          <w:sz w:val="20"/>
          <w:szCs w:val="20"/>
        </w:rPr>
        <w:t>$</w:t>
      </w:r>
      <w:r>
        <w:rPr>
          <w:sz w:val="20"/>
          <w:szCs w:val="20"/>
        </w:rPr>
        <w:t>160,00</w:t>
      </w:r>
      <w:r>
        <w:rPr>
          <w:sz w:val="20"/>
          <w:szCs w:val="20"/>
        </w:rPr>
        <w:t>0</w:t>
      </w:r>
      <w:r>
        <w:rPr>
          <w:sz w:val="20"/>
          <w:szCs w:val="20"/>
        </w:rPr>
        <w:t xml:space="preserve"> and a deferred tax expense of </w:t>
      </w:r>
      <w:r>
        <w:rPr>
          <w:sz w:val="20"/>
          <w:szCs w:val="20"/>
        </w:rPr>
        <w:t>$</w:t>
      </w:r>
      <w:r>
        <w:rPr>
          <w:sz w:val="20"/>
          <w:szCs w:val="20"/>
        </w:rPr>
        <w:t>140,00</w:t>
      </w:r>
      <w:r>
        <w:rPr>
          <w:sz w:val="20"/>
          <w:szCs w:val="20"/>
        </w:rPr>
        <w:t>0</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During the quarter ended June 30, 2022, it was determined that for the states that follow the federal rules regarding i</w:t>
      </w:r>
      <w:r>
        <w:rPr>
          <w:sz w:val="20"/>
          <w:szCs w:val="20"/>
        </w:rPr>
        <w:t xml:space="preserve">ndefinite life net operating losses, the offset to the state deferred tax liability was approximately </w:t>
      </w:r>
      <w:r>
        <w:rPr>
          <w:sz w:val="20"/>
          <w:szCs w:val="20"/>
        </w:rPr>
        <w:t>$</w:t>
      </w:r>
      <w:r>
        <w:rPr>
          <w:sz w:val="20"/>
          <w:szCs w:val="20"/>
        </w:rPr>
        <w:t>45,00</w:t>
      </w:r>
      <w:r>
        <w:rPr>
          <w:sz w:val="20"/>
          <w:szCs w:val="20"/>
        </w:rPr>
        <w:t>0</w:t>
      </w:r>
      <w:r>
        <w:rPr>
          <w:sz w:val="20"/>
          <w:szCs w:val="20"/>
        </w:rPr>
        <w:t>. This amount was recorded as a deferred tax benefit during the second quarter of 2022.</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current income tax provision for the nine months ende</w:t>
      </w:r>
      <w:r>
        <w:rPr>
          <w:sz w:val="20"/>
          <w:szCs w:val="20"/>
        </w:rPr>
        <w:t xml:space="preserve">d September 30, 2022 and 2021 primarily relates to state minimum taxes and foreign income taxes. The deferred tax provision (benefit) for the three and nine months ended September 30, 2022 and 2021 relates to the book and tax difference of amortization on </w:t>
      </w:r>
      <w:r>
        <w:rPr>
          <w:sz w:val="20"/>
          <w:szCs w:val="20"/>
        </w:rPr>
        <w:t>indefinite-lived intangibles, primarily goodwill. To the extent allowable, the federal deferred tax provision has been offset by the indefinite life net operating loss.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On March 27, 2020, the Coronavirus Aid, Relief and Economic Security (CARES) Act was </w:t>
      </w:r>
      <w:r>
        <w:rPr>
          <w:sz w:val="20"/>
          <w:szCs w:val="20"/>
        </w:rPr>
        <w:t>signed into law. Several new corporate tax provisions were included in the CARES Act, including, but not limited to, the following: increasing the limitation threshold for determining deductible interest expense, class life changes to qualified improvement</w:t>
      </w:r>
      <w:r>
        <w:rPr>
          <w:sz w:val="20"/>
          <w:szCs w:val="20"/>
        </w:rPr>
        <w:t>s (in general - from</w:t>
      </w:r>
      <w:r>
        <w:rPr>
          <w:sz w:val="20"/>
          <w:szCs w:val="20"/>
        </w:rPr>
        <w:t xml:space="preserve"> </w:t>
      </w:r>
      <w:r>
        <w:rPr>
          <w:sz w:val="20"/>
          <w:szCs w:val="20"/>
        </w:rPr>
        <w:t>3</w:t>
      </w:r>
      <w:r>
        <w:rPr>
          <w:sz w:val="20"/>
          <w:szCs w:val="20"/>
        </w:rPr>
        <w:t>9</w:t>
      </w:r>
      <w:r>
        <w:rPr>
          <w:sz w:val="20"/>
          <w:szCs w:val="20"/>
        </w:rPr>
        <w:t xml:space="preserve"> years to</w:t>
      </w:r>
      <w:r>
        <w:rPr>
          <w:sz w:val="20"/>
          <w:szCs w:val="20"/>
        </w:rPr>
        <w:t xml:space="preserve"> </w:t>
      </w:r>
      <w:r>
        <w:rPr>
          <w:sz w:val="20"/>
          <w:szCs w:val="20"/>
        </w:rPr>
        <w:t>1</w:t>
      </w:r>
      <w:r>
        <w:rPr>
          <w:sz w:val="20"/>
          <w:szCs w:val="20"/>
        </w:rPr>
        <w:t>5</w:t>
      </w:r>
      <w:r>
        <w:rPr>
          <w:sz w:val="20"/>
          <w:szCs w:val="20"/>
        </w:rPr>
        <w:t xml:space="preserve"> years), and</w:t>
      </w:r>
      <w:r>
        <w:rPr>
          <w:sz w:val="20"/>
          <w:szCs w:val="20"/>
        </w:rPr>
        <w:t xml:space="preserve"> </w:t>
      </w:r>
      <w:r>
        <w:rPr>
          <w:sz w:val="20"/>
          <w:szCs w:val="20"/>
        </w:rPr>
        <w:t>the ability to carry back net operating losses incurred from tax years 2018 through 2020 up to the five preceding tax year</w:t>
      </w:r>
      <w:r>
        <w:rPr>
          <w:sz w:val="20"/>
          <w:szCs w:val="20"/>
        </w:rPr>
        <w:t>s</w:t>
      </w:r>
      <w:r>
        <w:rPr>
          <w:sz w:val="20"/>
          <w:szCs w:val="20"/>
        </w:rPr>
        <w:t>. The Company has evaluated the income tax provisions of the CARES Act and determined</w:t>
      </w:r>
      <w:r>
        <w:rPr>
          <w:sz w:val="20"/>
          <w:szCs w:val="20"/>
        </w:rPr>
        <w:t xml:space="preserve"> the impact to be either immaterial or not applicable. Under the CARES Act, the Company took advantage of the payroll tax deferral provision. As of both September 30, 2022 and December 31, 2021, the Company has deferred approximately </w:t>
      </w:r>
      <w:r>
        <w:rPr>
          <w:sz w:val="20"/>
          <w:szCs w:val="20"/>
        </w:rPr>
        <w:t>$</w:t>
      </w:r>
      <w:r>
        <w:rPr>
          <w:sz w:val="20"/>
          <w:szCs w:val="20"/>
        </w:rPr>
        <w:t>934,00</w:t>
      </w:r>
      <w:r>
        <w:rPr>
          <w:sz w:val="20"/>
          <w:szCs w:val="20"/>
        </w:rPr>
        <w:t>0</w:t>
      </w:r>
      <w:r>
        <w:rPr>
          <w:sz w:val="20"/>
          <w:szCs w:val="20"/>
        </w:rPr>
        <w:t xml:space="preserve"> of payroll ta</w:t>
      </w:r>
      <w:r>
        <w:rPr>
          <w:sz w:val="20"/>
          <w:szCs w:val="20"/>
        </w:rPr>
        <w:t>xes. This amount needs to be repaid by December 31, 2022.</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2029122"/>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3F57AF">
      <w:pPr>
        <w:pStyle w:val="a3"/>
        <w:spacing w:before="0" w:beforeAutospacing="0" w:after="0" w:afterAutospacing="0"/>
        <w:divId w:val="515113938"/>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Company has incurred cumulative losses, which make realization of a deferred tax asset difficult to support in accordance with ASC 740. Accordingly, a valuation allowance has been reco</w:t>
      </w:r>
      <w:r>
        <w:rPr>
          <w:sz w:val="20"/>
          <w:szCs w:val="20"/>
        </w:rPr>
        <w:t>rded against the federal and state deferred tax assets as of September 30, 2022 and December 31, 2021.</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caps/>
          <w:sz w:val="20"/>
          <w:szCs w:val="20"/>
        </w:rPr>
      </w:pPr>
      <w:r>
        <w:rPr>
          <w:b/>
          <w:bCs/>
          <w:caps/>
          <w:sz w:val="20"/>
          <w:szCs w:val="20"/>
        </w:rPr>
        <w:t>14.</w:t>
      </w:r>
      <w:r>
        <w:rPr>
          <w:b/>
          <w:bCs/>
          <w:caps/>
          <w:sz w:val="20"/>
          <w:szCs w:val="20"/>
        </w:rPr>
        <w:t xml:space="preserve"> </w:t>
      </w:r>
      <w:r>
        <w:rPr>
          <w:b/>
          <w:bCs/>
          <w:caps/>
          <w:sz w:val="20"/>
          <w:szCs w:val="20"/>
        </w:rPr>
        <w:t>FAIR VALUE OF FINANCIAL INSTRUMENT</w:t>
      </w:r>
      <w:r>
        <w:rPr>
          <w:b/>
          <w:bCs/>
          <w:caps/>
          <w:sz w:val="20"/>
          <w:szCs w:val="20"/>
        </w:rPr>
        <w:t>S</w:t>
      </w:r>
    </w:p>
    <w:p w:rsidR="00000000" w:rsidRDefault="003F57AF">
      <w:pPr>
        <w:pStyle w:val="a3"/>
        <w:spacing w:before="0" w:beforeAutospacing="0" w:after="0" w:afterAutospacing="0"/>
        <w:ind w:left="475" w:hanging="475"/>
        <w:jc w:val="both"/>
        <w:rPr>
          <w:b/>
          <w:bCs/>
          <w:caps/>
          <w:sz w:val="20"/>
          <w:szCs w:val="20"/>
        </w:rPr>
      </w:pPr>
      <w:r>
        <w:rPr>
          <w:b/>
          <w:bCs/>
          <w:caps/>
          <w:sz w:val="20"/>
          <w:szCs w:val="20"/>
        </w:rPr>
        <w:t> </w:t>
      </w:r>
    </w:p>
    <w:p w:rsidR="00000000" w:rsidRDefault="003F57AF">
      <w:pPr>
        <w:pStyle w:val="a3"/>
        <w:spacing w:before="0" w:beforeAutospacing="0" w:after="0" w:afterAutospacing="0"/>
        <w:jc w:val="both"/>
        <w:rPr>
          <w:sz w:val="20"/>
          <w:szCs w:val="20"/>
        </w:rPr>
      </w:pPr>
      <w:r>
        <w:rPr>
          <w:sz w:val="20"/>
          <w:szCs w:val="20"/>
        </w:rPr>
        <w:t xml:space="preserve">Fair </w:t>
      </w:r>
      <w:r>
        <w:rPr>
          <w:sz w:val="20"/>
          <w:szCs w:val="20"/>
        </w:rPr>
        <w:t xml:space="preserve">value measurements are based upon observable and unobservable inputs. Observable inputs reflect market data obtained from independent sources, while unobservable inputs reflect our view of market participant assumptions in the absence of observable market </w:t>
      </w:r>
      <w:r>
        <w:rPr>
          <w:sz w:val="20"/>
          <w:szCs w:val="20"/>
        </w:rPr>
        <w:t>information. We utilize valuation techniques that maximize the use of observable inputs and minimize the use of unobservable inputs. The fair values of assets and liabilities required to be measured at fair value are categorized based upon the level of jud</w:t>
      </w:r>
      <w:r>
        <w:rPr>
          <w:sz w:val="20"/>
          <w:szCs w:val="20"/>
        </w:rPr>
        <w:t>gement associated with the inputs used to measure their value in one of the following three categories: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Level 1: Inputs are unadjusted quoted prices in active markets for identical assets or liabilities. We held no Level 1 financial instruments at Septem</w:t>
      </w:r>
      <w:r>
        <w:rPr>
          <w:sz w:val="20"/>
          <w:szCs w:val="20"/>
        </w:rPr>
        <w:t>ber 30, 2022 or December 31, 2021.</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Level 2: Quoted prices for similar instruments in active markets with inputs that are observable, either directly or indirectly. Our Level 2 financial instruments include notes payable which are carried at cost and appr</w:t>
      </w:r>
      <w:r>
        <w:rPr>
          <w:sz w:val="20"/>
          <w:szCs w:val="20"/>
        </w:rPr>
        <w:t>oximate fair value since the interest rates being charged approximate market rates.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Level 3: Unobservable inputs are significant to the fair value of the asset or liability, and include situations where there is little, if any, market activity for the as</w:t>
      </w:r>
      <w:r>
        <w:rPr>
          <w:sz w:val="20"/>
          <w:szCs w:val="20"/>
        </w:rPr>
        <w:t>set or liability. Our Level 3 instrument includes the fair value of contingent consideration related to completed acquisitions. Given that the earn-out period concludes on November 30, 2022, the Company determined its best estimate of the contingent consid</w:t>
      </w:r>
      <w:r>
        <w:rPr>
          <w:sz w:val="20"/>
          <w:szCs w:val="20"/>
        </w:rPr>
        <w:t>eration liability based on its projections and actual performance to date.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consideration measured at fair value using significant unobservable inputs (L</w:t>
      </w:r>
      <w:r>
        <w:rPr>
          <w:sz w:val="20"/>
          <w:szCs w:val="20"/>
        </w:rPr>
        <w:t>evel 3):</w:t>
      </w:r>
    </w:p>
    <w:p w:rsidR="00000000" w:rsidRDefault="003F57AF">
      <w:pPr>
        <w:pStyle w:val="a3"/>
        <w:spacing w:before="0" w:beforeAutospacing="0" w:after="0" w:afterAutospacing="0"/>
        <w:jc w:val="both"/>
        <w:rPr>
          <w:sz w:val="20"/>
          <w:szCs w:val="20"/>
        </w:rPr>
      </w:pPr>
      <w:r>
        <w:rPr>
          <w:sz w:val="20"/>
          <w:szCs w:val="20"/>
        </w:rPr>
        <w:t> </w:t>
      </w:r>
      <w:r>
        <w:rPr>
          <w:vanish/>
          <w:sz w:val="20"/>
          <w:szCs w:val="20"/>
        </w:rPr>
        <w:t>SCHEDULE OF FAIR VALUE LIABILITIES MEASURED ON RECURRING BASIS, UNOBSERVABLE INPUT RECONCILIATIO</w:t>
      </w:r>
      <w:r>
        <w:rPr>
          <w:vanish/>
          <w:sz w:val="20"/>
          <w:szCs w:val="20"/>
        </w:rPr>
        <w:t>N</w:t>
      </w:r>
    </w:p>
    <w:tbl>
      <w:tblPr>
        <w:tblW w:w="4000" w:type="pct"/>
        <w:tblCellMar>
          <w:left w:w="0" w:type="dxa"/>
          <w:right w:w="0" w:type="dxa"/>
        </w:tblCellMar>
        <w:tblLook w:val="04A0" w:firstRow="1" w:lastRow="0" w:firstColumn="1" w:lastColumn="0" w:noHBand="0" w:noVBand="1"/>
      </w:tblPr>
      <w:tblGrid>
        <w:gridCol w:w="3975"/>
        <w:gridCol w:w="122"/>
        <w:gridCol w:w="100"/>
        <w:gridCol w:w="1052"/>
        <w:gridCol w:w="67"/>
        <w:gridCol w:w="122"/>
        <w:gridCol w:w="100"/>
        <w:gridCol w:w="1052"/>
        <w:gridCol w:w="55"/>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vAlign w:val="bottom"/>
            <w:hideMark/>
          </w:tcPr>
          <w:p w:rsidR="00000000" w:rsidRDefault="003F57AF">
            <w:pPr>
              <w:jc w:val="center"/>
              <w:rPr>
                <w:rFonts w:eastAsia="Times New Roman"/>
                <w:b/>
                <w:bCs/>
                <w:sz w:val="20"/>
                <w:szCs w:val="20"/>
              </w:rPr>
            </w:pPr>
            <w:r>
              <w:rPr>
                <w:rFonts w:eastAsia="Times New Roman"/>
                <w:b/>
                <w:bCs/>
                <w:sz w:val="20"/>
                <w:szCs w:val="20"/>
              </w:rPr>
              <w:t xml:space="preserve">Fair Value Measurement at </w:t>
            </w:r>
            <w:r>
              <w:rPr>
                <w:rFonts w:eastAsia="Times New Roman"/>
                <w:b/>
                <w:bCs/>
                <w:sz w:val="20"/>
                <w:szCs w:val="20"/>
              </w:rPr>
              <w:br/>
              <w:t>Reporting Date Using Significant</w:t>
            </w:r>
            <w:r>
              <w:rPr>
                <w:rFonts w:eastAsia="Times New Roman"/>
                <w:b/>
                <w:bCs/>
                <w:sz w:val="20"/>
                <w:szCs w:val="20"/>
              </w:rPr>
              <w:br/>
              <w:t>Unobservable Inputs, Level 3</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7"/>
            <w:vAlign w:val="bottom"/>
            <w:hideMark/>
          </w:tcPr>
          <w:p w:rsidR="00000000" w:rsidRDefault="003F57AF">
            <w:pPr>
              <w:jc w:val="center"/>
              <w:rPr>
                <w:rFonts w:eastAsia="Times New Roman"/>
                <w:sz w:val="20"/>
                <w:szCs w:val="20"/>
              </w:rPr>
            </w:pPr>
            <w:r>
              <w:rPr>
                <w:rFonts w:eastAsia="Times New Roman"/>
                <w:sz w:val="20"/>
                <w:szCs w:val="20"/>
              </w:rPr>
              <w:t>($ in thousands)</w:t>
            </w:r>
          </w:p>
        </w:tc>
      </w:tr>
      <w:tr w:rsidR="00000000">
        <w:tc>
          <w:tcPr>
            <w:tcW w:w="3000" w:type="pct"/>
            <w:shd w:val="clear" w:color="auto" w:fill="CCEEFF"/>
            <w:vAlign w:val="bottom"/>
            <w:hideMark/>
          </w:tcPr>
          <w:p w:rsidR="00000000" w:rsidRDefault="003F57AF">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3,090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Acquisitions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Balance - September 30,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200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15.</w:t>
      </w:r>
      <w:r>
        <w:rPr>
          <w:b/>
          <w:bCs/>
          <w:sz w:val="20"/>
          <w:szCs w:val="20"/>
        </w:rPr>
        <w:t xml:space="preserve"> </w:t>
      </w:r>
      <w:r>
        <w:rPr>
          <w:b/>
          <w:bCs/>
          <w:sz w:val="20"/>
          <w:szCs w:val="20"/>
        </w:rPr>
        <w:t>SEGMENT REPORTIN</w:t>
      </w:r>
      <w:r>
        <w:rPr>
          <w:b/>
          <w:bCs/>
          <w:sz w:val="20"/>
          <w:szCs w:val="20"/>
        </w:rPr>
        <w:t>G</w:t>
      </w:r>
    </w:p>
    <w:p w:rsidR="00000000" w:rsidRDefault="003F57AF">
      <w:pPr>
        <w:pStyle w:val="a3"/>
        <w:spacing w:before="0" w:beforeAutospacing="0" w:after="0" w:afterAutospacing="0"/>
        <w:ind w:left="475"/>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The Company’</w:t>
      </w:r>
      <w:r>
        <w:rPr>
          <w:sz w:val="20"/>
          <w:szCs w:val="20"/>
        </w:rPr>
        <w:t>s Chief Executive Officer and Executive Chairman jointly serve as the Chief Operating Decision Maker (“CODM”), organize the Company, manage resource allocations and measure performance among two operating and reportable segments: (i) Healthcare IT and (ii)</w:t>
      </w:r>
      <w:r>
        <w:rPr>
          <w:sz w:val="20"/>
          <w:szCs w:val="20"/>
        </w:rPr>
        <w:t xml:space="preserve"> Medical Practice Management.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Medical Practice Management segment includes the management of three medical practices. Each segment is considered a reporti</w:t>
      </w:r>
      <w:r>
        <w:rPr>
          <w:sz w:val="20"/>
          <w:szCs w:val="20"/>
        </w:rPr>
        <w:t xml:space="preserve">ng unit. The CODM evaluates financial performance of the business units on the basis of revenue and direct operating costs excluding unallocated amounts that are mainly corporate overhead costs. Our CODM does not evaluate operating segments using asset or </w:t>
      </w:r>
      <w:r>
        <w:rPr>
          <w:sz w:val="20"/>
          <w:szCs w:val="20"/>
        </w:rPr>
        <w:t>liability information. The accounting policies of the segments are the same as those disclosed in the Company’s Annual Report on Form 10-K for the year ended December 31, 2021 filed with the SEC on March 14, 2022. The following table presents revenues, ope</w:t>
      </w:r>
      <w:r>
        <w:rPr>
          <w:sz w:val="20"/>
          <w:szCs w:val="20"/>
        </w:rPr>
        <w:t>rating expenses and operating income (loss) by reportable segment:</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5247438"/>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3F57AF">
      <w:pPr>
        <w:pStyle w:val="a3"/>
        <w:spacing w:before="0" w:beforeAutospacing="0" w:after="0" w:afterAutospacing="0"/>
        <w:divId w:val="1815827519"/>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vanish/>
          <w:sz w:val="20"/>
          <w:szCs w:val="20"/>
        </w:rPr>
        <w:t>SCHEDULE OF REVENUES, OPERATING EXPENSES AND OPERATING INCOME (LOSS) BY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4943"/>
        <w:gridCol w:w="50"/>
        <w:gridCol w:w="101"/>
        <w:gridCol w:w="859"/>
        <w:gridCol w:w="67"/>
        <w:gridCol w:w="50"/>
        <w:gridCol w:w="101"/>
        <w:gridCol w:w="1035"/>
        <w:gridCol w:w="50"/>
        <w:gridCol w:w="50"/>
        <w:gridCol w:w="101"/>
        <w:gridCol w:w="944"/>
        <w:gridCol w:w="67"/>
        <w:gridCol w:w="50"/>
        <w:gridCol w:w="100"/>
        <w:gridCol w:w="650"/>
        <w:gridCol w:w="67"/>
      </w:tblGrid>
      <w:tr w:rsidR="00000000">
        <w:trPr>
          <w:hidden/>
        </w:trPr>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3F57AF">
            <w:pPr>
              <w:jc w:val="center"/>
              <w:rPr>
                <w:rFonts w:eastAsia="Times New Roman"/>
                <w:color w:val="FF0000"/>
                <w:sz w:val="20"/>
                <w:szCs w:val="20"/>
              </w:rPr>
            </w:pPr>
            <w:r>
              <w:rPr>
                <w:rFonts w:eastAsia="Times New Roman"/>
                <w:color w:val="FF0000"/>
                <w:sz w:val="20"/>
                <w:szCs w:val="20"/>
              </w:rPr>
              <w:t> </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 2022</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96,146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10,146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56,878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7,988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64,866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7,293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7,314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1,312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6,954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18,479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8,420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266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8,686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noWrap/>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and unoccupied lease charges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84,093</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9,587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6,954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100,634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12,053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559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(6,954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5,658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hd w:val="clear" w:color="auto" w:fill="FFFFFF"/>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4671"/>
        <w:gridCol w:w="50"/>
        <w:gridCol w:w="101"/>
        <w:gridCol w:w="859"/>
        <w:gridCol w:w="67"/>
        <w:gridCol w:w="50"/>
        <w:gridCol w:w="101"/>
        <w:gridCol w:w="1035"/>
        <w:gridCol w:w="50"/>
        <w:gridCol w:w="50"/>
        <w:gridCol w:w="101"/>
        <w:gridCol w:w="944"/>
        <w:gridCol w:w="67"/>
        <w:gridCol w:w="50"/>
        <w:gridCol w:w="100"/>
        <w:gridCol w:w="550"/>
        <w:gridCol w:w="67"/>
      </w:tblGrid>
      <w:tr w:rsidR="00000000">
        <w:trPr>
          <w:hidden/>
        </w:trPr>
        <w:tc>
          <w:tcPr>
            <w:tcW w:w="0" w:type="auto"/>
            <w:shd w:val="clear" w:color="auto" w:fill="FFFFFF"/>
            <w:vAlign w:val="bottom"/>
            <w:hideMark/>
          </w:tcPr>
          <w:p w:rsidR="00000000" w:rsidRDefault="003F57AF">
            <w:pPr>
              <w:jc w:val="both"/>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 2022</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F57AF">
            <w:pPr>
              <w:jc w:val="both"/>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29,964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3,759</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17,582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20,406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2,496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3,231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455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jc w:val="both"/>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2,721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2,810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noWrap/>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Loss on lease termination and unoccupied lease charges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3F57AF">
            <w:pPr>
              <w:jc w:val="both"/>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25,845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3,376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2,814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32,035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jc w:val="both"/>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4,119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(2,814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1,688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hd w:val="clear" w:color="auto" w:fill="FFFFFF"/>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5693"/>
        <w:gridCol w:w="50"/>
        <w:gridCol w:w="101"/>
        <w:gridCol w:w="859"/>
        <w:gridCol w:w="50"/>
        <w:gridCol w:w="50"/>
        <w:gridCol w:w="101"/>
        <w:gridCol w:w="1035"/>
        <w:gridCol w:w="50"/>
        <w:gridCol w:w="50"/>
        <w:gridCol w:w="101"/>
        <w:gridCol w:w="944"/>
        <w:gridCol w:w="67"/>
        <w:gridCol w:w="50"/>
        <w:gridCol w:w="100"/>
        <w:gridCol w:w="650"/>
        <w:gridCol w:w="67"/>
      </w:tblGrid>
      <w:tr w:rsidR="00000000">
        <w:trPr>
          <w:hidden/>
        </w:trPr>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 2021</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 xml:space="preserve">Medical </w:t>
            </w: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92,797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55,473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7,246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62,719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6,446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10,175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1,487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6,152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9,251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254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9,505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noWrap/>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87,337</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9,010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6,152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102,499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5,460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330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(6,152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hd w:val="clear" w:color="auto" w:fill="FFFFFF"/>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5774964"/>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3F57AF">
      <w:pPr>
        <w:pStyle w:val="a3"/>
        <w:spacing w:before="0" w:beforeAutospacing="0" w:after="0" w:afterAutospacing="0"/>
        <w:divId w:val="77682097"/>
        <w:rPr>
          <w:sz w:val="20"/>
          <w:szCs w:val="20"/>
        </w:rPr>
      </w:pPr>
      <w:r>
        <w:rPr>
          <w:sz w:val="20"/>
          <w:szCs w:val="20"/>
        </w:rPr>
        <w:t> </w:t>
      </w:r>
    </w:p>
    <w:p w:rsidR="00000000" w:rsidRDefault="003F57AF">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4671"/>
        <w:gridCol w:w="50"/>
        <w:gridCol w:w="101"/>
        <w:gridCol w:w="866"/>
        <w:gridCol w:w="50"/>
        <w:gridCol w:w="50"/>
        <w:gridCol w:w="101"/>
        <w:gridCol w:w="1041"/>
        <w:gridCol w:w="50"/>
        <w:gridCol w:w="50"/>
        <w:gridCol w:w="101"/>
        <w:gridCol w:w="959"/>
        <w:gridCol w:w="67"/>
        <w:gridCol w:w="50"/>
        <w:gridCol w:w="100"/>
        <w:gridCol w:w="550"/>
        <w:gridCol w:w="50"/>
      </w:tblGrid>
      <w:tr w:rsidR="00000000">
        <w:trPr>
          <w:hidden/>
        </w:trPr>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3F57AF">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 2021</w:t>
            </w:r>
          </w:p>
        </w:tc>
        <w:tc>
          <w:tcPr>
            <w:tcW w:w="0" w:type="auto"/>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3F57AF">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1750" w:type="pct"/>
            <w:shd w:val="clear" w:color="auto" w:fill="CCEEFF"/>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34,678</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3,626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21,324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3,336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471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2,114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3,459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3,547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noWrap/>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Loss on lease termination and unoccupied lease charges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31,399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3,366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2,114</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36,879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3,279</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260</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(2,114</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1,425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bl>
    <w:p w:rsidR="00000000" w:rsidRDefault="003F57AF">
      <w:pPr>
        <w:pStyle w:val="a3"/>
        <w:spacing w:before="0" w:beforeAutospacing="0" w:after="0" w:afterAutospacing="0"/>
        <w:jc w:val="both"/>
        <w:rPr>
          <w:color w:val="FF0000"/>
          <w:sz w:val="20"/>
          <w:szCs w:val="20"/>
        </w:rPr>
      </w:pPr>
      <w:r>
        <w:rPr>
          <w:color w:val="FF0000"/>
          <w:sz w:val="20"/>
          <w:szCs w:val="20"/>
        </w:rPr>
        <w:t> </w:t>
      </w:r>
    </w:p>
    <w:p w:rsidR="00000000" w:rsidRDefault="003F57AF">
      <w:pPr>
        <w:pStyle w:val="a3"/>
        <w:spacing w:before="0" w:beforeAutospacing="0" w:after="0" w:afterAutospacing="0"/>
        <w:jc w:val="both"/>
        <w:rPr>
          <w:color w:val="FF0000"/>
          <w:sz w:val="20"/>
          <w:szCs w:val="20"/>
        </w:rPr>
      </w:pPr>
      <w:r>
        <w:rPr>
          <w:color w:val="FF0000"/>
          <w:sz w:val="20"/>
          <w:szCs w:val="20"/>
        </w:rPr>
        <w:t> </w:t>
      </w:r>
    </w:p>
    <w:p w:rsidR="00000000" w:rsidRDefault="003F57AF">
      <w:pPr>
        <w:pStyle w:val="a3"/>
        <w:spacing w:before="0" w:beforeAutospacing="0" w:after="0" w:afterAutospacing="0"/>
        <w:jc w:val="both"/>
        <w:rPr>
          <w:sz w:val="20"/>
          <w:szCs w:val="20"/>
        </w:rPr>
      </w:pPr>
      <w:r>
        <w:rPr>
          <w:b/>
          <w:bCs/>
          <w:i/>
          <w:iCs/>
          <w:sz w:val="20"/>
          <w:szCs w:val="20"/>
        </w:rPr>
        <w:t>Item 2. Management’s Discussion and Analysis of Financial Condition and Results of Operations</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 xml:space="preserve">The </w:t>
      </w:r>
      <w:r>
        <w:rPr>
          <w:sz w:val="20"/>
          <w:szCs w:val="20"/>
        </w:rPr>
        <w:t>following is a discussion of our consolidated financial condition and results of operations for the three and nine months ended September 30, 2022 and 2021, and other factors that are expected to affect our prospective financial condition. The following di</w:t>
      </w:r>
      <w:r>
        <w:rPr>
          <w:sz w:val="20"/>
          <w:szCs w:val="20"/>
        </w:rPr>
        <w:t xml:space="preserve">scussion and analysis should be read together with our Consolidated Financial Statements and related notes beginning on page 4 of this Quarterly Report on Form 10-Q </w:t>
      </w:r>
      <w:r>
        <w:rPr>
          <w:sz w:val="20"/>
          <w:szCs w:val="20"/>
          <w:shd w:val="clear" w:color="auto" w:fill="FFFFFF"/>
        </w:rPr>
        <w:t>and our Annual Report on Form 10-K for the year ended December 31, 2021, filed with the SEC</w:t>
      </w:r>
      <w:r>
        <w:rPr>
          <w:sz w:val="20"/>
          <w:szCs w:val="20"/>
          <w:shd w:val="clear" w:color="auto" w:fill="FFFFFF"/>
        </w:rPr>
        <w:t xml:space="preserve"> on March 14, 2022</w:t>
      </w:r>
      <w:r>
        <w:rPr>
          <w:sz w:val="20"/>
          <w:szCs w:val="20"/>
        </w:rPr>
        <w: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Forward-Looking St</w:t>
      </w:r>
      <w:r>
        <w:rPr>
          <w:i/>
          <w:iCs/>
          <w:sz w:val="20"/>
          <w:szCs w:val="20"/>
        </w:rPr>
        <w:t>atements</w:t>
      </w:r>
      <w:r>
        <w:rPr>
          <w:sz w:val="20"/>
          <w:szCs w:val="20"/>
        </w:rPr>
        <w:t>” on page 2 of this Quarterly Report on Form 10-Q.</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COVID-19 Pandemic</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While the COVID-19 pandemic did not materially adversely affect the Company’</w:t>
      </w:r>
      <w:r>
        <w:rPr>
          <w:sz w:val="20"/>
          <w:szCs w:val="20"/>
        </w:rPr>
        <w:t>s consolidated financial results and operations during the three and nine months ended September 30, 2022, economic and health conditions in the United States and across most of the globe continue to change.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COVID-19 pandemic affected the Company’s o</w:t>
      </w:r>
      <w:r>
        <w:rPr>
          <w:sz w:val="20"/>
          <w:szCs w:val="20"/>
        </w:rPr>
        <w:t>perations in 2021 and may continue to do so indefinitely in the future. The pandemic may have an impact on the Company’s business, operations, and financial results and conditions, directly and indirectly, including, without limitation, impacts on the heal</w:t>
      </w:r>
      <w:r>
        <w:rPr>
          <w:sz w:val="20"/>
          <w:szCs w:val="20"/>
        </w:rPr>
        <w:t>th of the Company’s management and employees, its operations, marketing and sales activities, and on the overall economy. The spread of the virus did not adversely affect the health and availability of our employees and staff. The scope and nature of these</w:t>
      </w:r>
      <w:r>
        <w:rPr>
          <w:sz w:val="20"/>
          <w:szCs w:val="20"/>
        </w:rPr>
        <w:t xml:space="preserve"> impacts, most of which are beyond the Company’s control, continue to evolve and the outcomes are uncertain.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Due to the above circumstances and as described generally in this Quarterly Report on Form 10-Q, the Company’s consolidated results of operations</w:t>
      </w:r>
      <w:r>
        <w:rPr>
          <w:sz w:val="20"/>
          <w:szCs w:val="20"/>
        </w:rPr>
        <w:t xml:space="preserve"> for the three and nine months ended September 30, 2022 may not necessarily be indicative of the results to be expected for the full fiscal year. The Company is not aware of any certain event or circumstance that would require an update to its estimates or</w:t>
      </w:r>
      <w:r>
        <w:rPr>
          <w:sz w:val="20"/>
          <w:szCs w:val="20"/>
        </w:rPr>
        <w:t xml:space="preserve"> judgements or a revision of the carrying value of its assets or liabilities as of the date of issuance of this Quarterly Report on Form 10-Q. These estimates could change in the future as new information about future developments is obtained. Management c</w:t>
      </w:r>
      <w:r>
        <w:rPr>
          <w:sz w:val="20"/>
          <w:szCs w:val="20"/>
        </w:rPr>
        <w:t>annot predict the future impact of the COVID-19 pandemic on the Company’s consolidated operations nor on economic conditions generally, including the effects on patient visits. The ultimate extent of the effects of the COVID-19 pandemic on the Company is u</w:t>
      </w:r>
      <w:r>
        <w:rPr>
          <w:sz w:val="20"/>
          <w:szCs w:val="20"/>
        </w:rPr>
        <w:t>ncertain and will depend on highly unpredictable factors such as the ultimate geographic spread of the disease, the severity of the disease, the duration of outbreak, and the effectiveness of any further developments globally and nationally. The Company wi</w:t>
      </w:r>
      <w:r>
        <w:rPr>
          <w:sz w:val="20"/>
          <w:szCs w:val="20"/>
        </w:rPr>
        <w:t>ll actively monitor the situation and take further action that is in the best interest of our employees, customers, partners, and stockholders.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3313039"/>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3F57AF">
      <w:pPr>
        <w:pStyle w:val="a3"/>
        <w:spacing w:before="0" w:beforeAutospacing="0" w:after="0" w:afterAutospacing="0"/>
        <w:divId w:val="461507324"/>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Overview</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The Company is a healthcare information technology company that provides Software-as-a-Serv</w:t>
      </w:r>
      <w:r>
        <w:rPr>
          <w:sz w:val="20"/>
          <w:szCs w:val="20"/>
        </w:rPr>
        <w:t>ice offerings (“SaaS”) and technology-enabled business solutions, which are often bundled, but are occasionally provided individually, together with related business services to healthcare providers and hospitals throughout the United States. Our integrate</w:t>
      </w:r>
      <w:r>
        <w:rPr>
          <w:sz w:val="20"/>
          <w:szCs w:val="20"/>
        </w:rPr>
        <w:t>d SaaS platform includes revenue cycle management (“RCM”), practice management (“PM”), electronic health record (“EHR”), business intelligence, telehealth, patient experience management (“PXM”) solutions and complementary software tools and business servic</w:t>
      </w:r>
      <w:r>
        <w:rPr>
          <w:sz w:val="20"/>
          <w:szCs w:val="20"/>
        </w:rPr>
        <w:t>es for high-performance medical groups and health systems.</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At a high level, these solutions can be categorized as follows:</w:t>
      </w:r>
    </w:p>
    <w:p w:rsidR="00000000" w:rsidRDefault="003F57AF">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57AF">
            <w:pPr>
              <w:rPr>
                <w:sz w:val="20"/>
                <w:szCs w:val="20"/>
              </w:rPr>
            </w:pPr>
          </w:p>
        </w:tc>
        <w:tc>
          <w:tcPr>
            <w:tcW w:w="360" w:type="dxa"/>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Technology-enabled business solutions, which are often bundled but are occasionally provided individually, including:</w:t>
            </w:r>
          </w:p>
        </w:tc>
      </w:tr>
    </w:tbl>
    <w:p w:rsidR="00000000" w:rsidRDefault="003F57A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3F57AF">
            <w:pPr>
              <w:rPr>
                <w:sz w:val="20"/>
                <w:szCs w:val="20"/>
              </w:rPr>
            </w:pPr>
          </w:p>
        </w:tc>
        <w:tc>
          <w:tcPr>
            <w:tcW w:w="360" w:type="dxa"/>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EHRs, which are easy to use, integrated with our business services or offered as Software-as-a-Service (“SaaS”) solutions, and allow our healthcare provider clients to deliver better patient care, document their clinical visits effectively and thus potenti</w:t>
            </w:r>
            <w:r>
              <w:rPr>
                <w:rFonts w:eastAsia="Times New Roman"/>
                <w:sz w:val="20"/>
                <w:szCs w:val="20"/>
              </w:rPr>
              <w:t>ally qualify for government incentives, reduce documentation errors and reduce paperwork;</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PM software and related tools, which support our clients’ day-to-day business operations and workflows;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Mobile Health (“mHealth”) solutions, inc</w:t>
            </w:r>
            <w:r>
              <w:rPr>
                <w:rFonts w:eastAsia="Times New Roman"/>
                <w:sz w:val="20"/>
                <w:szCs w:val="20"/>
              </w:rPr>
              <w:t>luding smartphone applications that assist patients and healthcare providers in the provision of healthcare services;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Telehealth </w:t>
            </w:r>
            <w:r>
              <w:rPr>
                <w:rFonts w:eastAsia="Times New Roman"/>
                <w:sz w:val="20"/>
                <w:szCs w:val="20"/>
              </w:rPr>
              <w:t>solutions, which allow healthcare providers to conduct remote patient visits;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Chronic care management, which provides regular remote visits with patients with chronic conditions;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Healthcare claims clearinghouse, which enables our clie</w:t>
            </w:r>
            <w:r>
              <w:rPr>
                <w:rFonts w:eastAsia="Times New Roman"/>
                <w:sz w:val="20"/>
                <w:szCs w:val="20"/>
              </w:rPr>
              <w:t>nts to electronically scrub and submit claims to, and process payments from, insurance companies;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Business </w:t>
            </w:r>
            <w:r>
              <w:rPr>
                <w:rFonts w:eastAsia="Times New Roman"/>
                <w:sz w:val="20"/>
                <w:szCs w:val="20"/>
              </w:rPr>
              <w:t>intelligence, customized applications, interfaces and a variety of other technology solutions that support our healthcare clients;</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RCM services, which include end-to-end medical billing, eligibility, analytics, and related services, all of which</w:t>
            </w:r>
            <w:r>
              <w:rPr>
                <w:rFonts w:eastAsia="Times New Roman"/>
                <w:sz w:val="20"/>
                <w:szCs w:val="20"/>
              </w:rPr>
              <w:t xml:space="preserve"> can often be provided either with our technology platform or through a third-party system; and</w:t>
            </w:r>
          </w:p>
        </w:tc>
      </w:tr>
      <w:tr w:rsidR="00000000">
        <w:trPr>
          <w:tblCellSpacing w:w="0" w:type="dxa"/>
        </w:trPr>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3F57AF">
            <w:pPr>
              <w:jc w:val="both"/>
              <w:rPr>
                <w:rFonts w:eastAsia="Times New Roman"/>
                <w:sz w:val="20"/>
                <w:szCs w:val="20"/>
              </w:rPr>
            </w:pPr>
          </w:p>
        </w:tc>
        <w:tc>
          <w:tcPr>
            <w:tcW w:w="0" w:type="auto"/>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Professional services consisting of application and advisory services, revenue cycle services, data analytic services and educational training servic</w:t>
            </w:r>
            <w:r>
              <w:rPr>
                <w:rFonts w:eastAsia="Times New Roman"/>
                <w:sz w:val="20"/>
                <w:szCs w:val="20"/>
              </w:rPr>
              <w:t>es.</w:t>
            </w:r>
          </w:p>
        </w:tc>
      </w:tr>
    </w:tbl>
    <w:p w:rsidR="00000000" w:rsidRDefault="003F57A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57AF">
            <w:pPr>
              <w:rPr>
                <w:sz w:val="20"/>
                <w:szCs w:val="20"/>
              </w:rPr>
            </w:pPr>
          </w:p>
        </w:tc>
        <w:tc>
          <w:tcPr>
            <w:tcW w:w="360" w:type="dxa"/>
            <w:hideMark/>
          </w:tcPr>
          <w:p w:rsidR="00000000" w:rsidRDefault="003F57AF">
            <w:pPr>
              <w:jc w:val="both"/>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Medical practice management services are provided to medical practices. In this service model, we </w:t>
            </w:r>
            <w:r>
              <w:rPr>
                <w:rFonts w:eastAsia="Times New Roman"/>
                <w:sz w:val="20"/>
                <w:szCs w:val="20"/>
              </w:rPr>
              <w:t>provide the medical practice with appropriate facilities, equipment, supplies, support services, nurses and administrative support staff. We also provide management, bill-paying and financial advisory services.</w:t>
            </w:r>
          </w:p>
        </w:tc>
      </w:tr>
    </w:tbl>
    <w:p w:rsidR="00000000" w:rsidRDefault="003F57AF">
      <w:pPr>
        <w:pStyle w:val="a3"/>
        <w:spacing w:before="0" w:beforeAutospacing="0" w:after="0" w:afterAutospacing="0"/>
        <w:ind w:left="720" w:hanging="36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Our solutions enable clients to increase f</w:t>
      </w:r>
      <w:r>
        <w:rPr>
          <w:sz w:val="20"/>
          <w:szCs w:val="20"/>
        </w:rPr>
        <w:t>inancial and operational performance, streamline clinical workflows, get better insight through data, and make better business and clinical decisions, resulting in improvement in patient care and collections while reducing administrative burdens and operat</w:t>
      </w:r>
      <w:r>
        <w:rPr>
          <w:sz w:val="20"/>
          <w:szCs w:val="20"/>
        </w:rPr>
        <w:t>ing costs.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 quality of the patient’s experience a</w:t>
      </w:r>
      <w:r>
        <w:rPr>
          <w:sz w:val="20"/>
          <w:szCs w:val="20"/>
        </w:rPr>
        <w:t xml:space="preserve">s a healthcare consumer. We create elegant, user-friendly applications that solve many of the challenges facing healthcare organizations. We partner with organizations to develop customized, best-in-class solutions to solve their specific challenges while </w:t>
      </w:r>
      <w:r>
        <w:rPr>
          <w:sz w:val="20"/>
          <w:szCs w:val="20"/>
        </w:rPr>
        <w:t>ensuring they also meet future regulatory and organizational requirements and market demands.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proprietary software, which automates </w:t>
      </w:r>
      <w:r>
        <w:rPr>
          <w:sz w:val="20"/>
          <w:szCs w:val="20"/>
        </w:rPr>
        <w:t xml:space="preserve">our workflows and increases efficiency, together with our team of approximately </w:t>
      </w:r>
      <w:r>
        <w:rPr>
          <w:color w:val="000000"/>
          <w:sz w:val="20"/>
          <w:szCs w:val="20"/>
        </w:rPr>
        <w:t xml:space="preserve">500 </w:t>
      </w:r>
      <w:r>
        <w:rPr>
          <w:sz w:val="20"/>
          <w:szCs w:val="20"/>
        </w:rPr>
        <w:t xml:space="preserve">experienced </w:t>
      </w:r>
      <w:r>
        <w:rPr>
          <w:sz w:val="20"/>
          <w:szCs w:val="20"/>
        </w:rPr>
        <w:t xml:space="preserve">health industry experts throughout the United States. These experts are supported by our highly educated and specialized offshore workforce of approximately </w:t>
      </w:r>
      <w:r>
        <w:rPr>
          <w:color w:val="000000"/>
          <w:sz w:val="20"/>
          <w:szCs w:val="20"/>
        </w:rPr>
        <w:t xml:space="preserve">3,700 </w:t>
      </w:r>
      <w:r>
        <w:rPr>
          <w:sz w:val="20"/>
          <w:szCs w:val="20"/>
        </w:rPr>
        <w:t>team members at labor costs that we believe are approximately one-tenth the cost of comparabl</w:t>
      </w:r>
      <w:r>
        <w:rPr>
          <w:sz w:val="20"/>
          <w:szCs w:val="20"/>
        </w:rPr>
        <w:t>e U.S. employees. Our unique business model also allowed us to become a leading consolidator in our industry sector, gaining us a reputation for acquiring and positively transforming distressed competitors into profitable operations of CareCloud.</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8787865"/>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3F57AF">
      <w:pPr>
        <w:pStyle w:val="a3"/>
        <w:spacing w:before="0" w:beforeAutospacing="0" w:after="0" w:afterAutospacing="0"/>
        <w:divId w:val="245893148"/>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Adoption of our technology-enabled business solutions typically requires little or no upfront expenditure by a client. Additionally, for most of our solutions and customers, our financial performance is linked directly to the financial performance of our </w:t>
      </w:r>
      <w:r>
        <w:rPr>
          <w:sz w:val="20"/>
          <w:szCs w:val="20"/>
        </w:rPr>
        <w:t>clients, as the vast majority of our revenues are based on a percentage of our clients’ collections. The fees we charge for our complete, integrated, end-to-end solution are very competitive and among the lowest in the industry. We estimate that we current</w:t>
      </w:r>
      <w:r>
        <w:rPr>
          <w:sz w:val="20"/>
          <w:szCs w:val="20"/>
        </w:rPr>
        <w:t>ly provide services to approximately 40,000 providers, (which we define as physicians, nurses, nurse practitioners, physician assistants and other clinical staff that render bills for their services) practicing in approximately 2,600 independent medical pr</w:t>
      </w:r>
      <w:r>
        <w:rPr>
          <w:sz w:val="20"/>
          <w:szCs w:val="20"/>
        </w:rPr>
        <w:t xml:space="preserve">actices and hospitals </w:t>
      </w:r>
      <w:r>
        <w:rPr>
          <w:sz w:val="20"/>
          <w:szCs w:val="20"/>
          <w:shd w:val="clear" w:color="auto" w:fill="FFFFFF"/>
        </w:rPr>
        <w:t>representing 80 specialties and subspecialties in 50 states. In addition, we serve approximately 200 clients that are not medical practices, but are primarily service organizations who serve the healthcare community. The foregoing num</w:t>
      </w:r>
      <w:r>
        <w:rPr>
          <w:sz w:val="20"/>
          <w:szCs w:val="20"/>
          <w:shd w:val="clear" w:color="auto" w:fill="FFFFFF"/>
        </w:rPr>
        <w:t>bers include clients leveraging any of our products or services, and are based, in part, upon estimates where the precise number of practices or providers is unknown</w:t>
      </w:r>
      <w:r>
        <w:rPr>
          <w:sz w:val="20"/>
          <w:szCs w:val="20"/>
        </w:rPr>
        <w:t>.</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service clients ranging from small practices, consisting of one to ten providers, to large practices with over 2,300 providers operating in multiple states, to community hospitals.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On January 8, 2020, through a merger with a subsidiary, the Company acqui</w:t>
      </w:r>
      <w:r>
        <w:rPr>
          <w:sz w:val="20"/>
          <w:szCs w:val="20"/>
        </w:rPr>
        <w:t>red CareCloud Corporation, a Delaware corporation which was subsequently renamed CareCloud Health, Inc. (“CCH”), which has developed a highly acclaimed cloud-based platform including EHR, PM and patient experience capabilities. The Company paid $11.9 milli</w:t>
      </w:r>
      <w:r>
        <w:rPr>
          <w:sz w:val="20"/>
          <w:szCs w:val="20"/>
        </w:rPr>
        <w:t xml:space="preserve">on in cash, assumed a working capital deficiency of approximately $5.1 million and issued 760,000 shares of the Company’s Series A Preferred Stock and two million warrants for the purchase of the Company’s common stock at prices of $7.50 for two years and </w:t>
      </w:r>
      <w:r>
        <w:rPr>
          <w:sz w:val="20"/>
          <w:szCs w:val="20"/>
        </w:rPr>
        <w:t>$10.00 per share for three years.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On June 16, 2020, the Company purchased all of the issued and outstanding capital stock of Meridian Billing Management Co. and its affiliate Origin Holdings, Inc. (collectively, “Meridian,” and sometimes referred to as “</w:t>
      </w:r>
      <w:r>
        <w:rPr>
          <w:sz w:val="20"/>
          <w:szCs w:val="20"/>
        </w:rPr>
        <w:t>Meridian Medical Management”), a former GE Healthcare IT company that delivers advanced healthcare information technology solutions and services. The Company paid $11.9 million in cash, issued 200,000 shares of the Company’s Series A Preferred Stock and wa</w:t>
      </w:r>
      <w:r>
        <w:rPr>
          <w:sz w:val="20"/>
          <w:szCs w:val="20"/>
        </w:rPr>
        <w:t xml:space="preserve">rrants to purchase 2,250,000 of the Company’s common stock with an exercise price per share of $7.50 for two years and assumed Meridian’s negative working capital and certain long-term lease liabilities where the space is either not being utilized or will </w:t>
      </w:r>
      <w:r>
        <w:rPr>
          <w:sz w:val="20"/>
          <w:szCs w:val="20"/>
        </w:rPr>
        <w:t>be vacated shortly, with an aggregate value of approximately $4.8 million.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On June 1, 2021, CareCloud Acquisition Corp (“CAC”), a wholly-owned subsidiary, entered into an Asset and Stock Purchase Agreement (the “Purchase Agreement”) with MedMatica Consul</w:t>
      </w:r>
      <w:r>
        <w:rPr>
          <w:sz w:val="20"/>
          <w:szCs w:val="20"/>
        </w:rPr>
        <w:t>ting Associates, Inc., (“MedMatica”) whereby CAC purchased the assets of MedMatica and the stock of its wholly-owned subsidiary Santa Rosa Staffing, Inc. (“SRS”). MedMatica and SRS provide a broad range of specialty consulting services to hospitals and lar</w:t>
      </w:r>
      <w:r>
        <w:rPr>
          <w:sz w:val="20"/>
          <w:szCs w:val="20"/>
        </w:rPr>
        <w:t xml:space="preserve">ge healthcare groups, including certain consulting services related to healthcare IT applications services and implementations, practice management, and revenue cycle management. The total consideration paid at closing was $10 million in cash, net of $1.5 </w:t>
      </w:r>
      <w:r>
        <w:rPr>
          <w:sz w:val="20"/>
          <w:szCs w:val="20"/>
        </w:rPr>
        <w:t>million of escrow withheld. A working capital adjustment of approximately $3.8 million was also paid at closing. The Purchase Agreement provides that if during the 18-month period commencing on June 1, 2021 (“the “Earn-Out Period”), CAC’s EBITDA and revenu</w:t>
      </w:r>
      <w:r>
        <w:rPr>
          <w:sz w:val="20"/>
          <w:szCs w:val="20"/>
        </w:rPr>
        <w:t>e targets are achieved, then CAC shall pay an earn-out up to a maximum of $8 million (the “Base Earn-Out”). If during the Earn-Out Period, CAC’s additional and increased EBITDA and revenue targets are achieved, then CAC shall pay an additional earn-out, up</w:t>
      </w:r>
      <w:r>
        <w:rPr>
          <w:sz w:val="20"/>
          <w:szCs w:val="20"/>
        </w:rPr>
        <w:t xml:space="preserve"> to a maximum of $5 million (the “Additional Earn-Out”, collectively, with the Base Earn-Out, the “Earn-Out”). CAC will have the right to offset the Earn-Out against any claim for which CAC is entitled to indemnification under the Purchase Agreement and ag</w:t>
      </w:r>
      <w:r>
        <w:rPr>
          <w:sz w:val="20"/>
          <w:szCs w:val="20"/>
        </w:rPr>
        <w:t>ainst damages for breaches by the seller of the non-competition and non-solicitation provisions in the Purchase Agreement.</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Our offshore operations in the Pakistan Offices and Sri Lanka accounted for approximately 12% and 11% of total expenses for the nin</w:t>
      </w:r>
      <w:r>
        <w:rPr>
          <w:sz w:val="20"/>
          <w:szCs w:val="20"/>
        </w:rPr>
        <w:t>e months ended September 30, 2022 and 2021, respectively. A significant portion of those foreign expenses were personnel-related costs (approximately 80% for both the nine months ended September 30, 2022 and 2021). Because personnel-related costs are signi</w:t>
      </w:r>
      <w:r>
        <w:rPr>
          <w:sz w:val="20"/>
          <w:szCs w:val="20"/>
        </w:rPr>
        <w:t>ficantly lower in Pakistan and Sri Lanka than in the U.S. and many other offshore locations, we believe our offshore operations give us a competitive advantage over many industry participants. We are able to achieve significant cost reductions and leverage</w:t>
      </w:r>
      <w:r>
        <w:rPr>
          <w:sz w:val="20"/>
          <w:szCs w:val="20"/>
        </w:rPr>
        <w:t xml:space="preserve"> technology to reduce manual work and strategically transition a portion of the remaining manual tasks to our highly-specialized, cost-efficient team in the U.S., the Pakistan Offices and Sri Lanka.</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6757400"/>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3F57AF">
      <w:pPr>
        <w:pStyle w:val="a3"/>
        <w:spacing w:before="0" w:beforeAutospacing="0" w:after="0" w:afterAutospacing="0"/>
        <w:divId w:val="1685546694"/>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Key Performance Measures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We consider numerous</w:t>
      </w:r>
      <w:r>
        <w:rPr>
          <w:sz w:val="20"/>
          <w:szCs w:val="20"/>
        </w:rPr>
        <w:t xml:space="preserve"> factors in assessing our performance. Key performance measures used by management, including adjusted EBITDA, adjusted operating income, adjusted operating margin, adjusted net income and adjusted net income per share, are non-GAAP financial measures, whi</w:t>
      </w:r>
      <w:r>
        <w:rPr>
          <w:sz w:val="20"/>
          <w:szCs w:val="20"/>
        </w:rPr>
        <w:t>ch we believe better enable management and investors to analyze and compare the underlying business results from period to period.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These </w:t>
      </w:r>
      <w:r>
        <w:rPr>
          <w:sz w:val="20"/>
          <w:szCs w:val="20"/>
        </w:rPr>
        <w:t>non-GAAP financial measures should not be considered in isolation, or as a substitute for or superior to, financial measures calculated in accordance with accounting principles generally accepted in the United States of America (“GAAP”). Moreover, these no</w:t>
      </w:r>
      <w:r>
        <w:rPr>
          <w:sz w:val="20"/>
          <w:szCs w:val="20"/>
        </w:rPr>
        <w:t>n-GAAP financial measures have limitations in that they do not reflect all the items associated with the operations of our business as determined in accordance with GAAP. We compensate for these limitations by analyzing current and future results on a GAAP</w:t>
      </w:r>
      <w:r>
        <w:rPr>
          <w:sz w:val="20"/>
          <w:szCs w:val="20"/>
        </w:rPr>
        <w:t xml:space="preserve"> basis as well as a non-GAAP basis, and we provide reconciliations from the most directly comparable GAAP financial measures to the non-GAAP financial measures. Our non-GAAP financial measures may not be comparable to similarly titled measures of other com</w:t>
      </w:r>
      <w:r>
        <w:rPr>
          <w:sz w:val="20"/>
          <w:szCs w:val="20"/>
        </w:rPr>
        <w:t>panies. Other companies, including companies in our industry, may calculate similarly titled non-GAAP financial measures differently than we do, limiting the usefulness of those measures for comparative purposes.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Adjusted EBITDA, adjusted operating incom</w:t>
      </w:r>
      <w:r>
        <w:rPr>
          <w:sz w:val="20"/>
          <w:szCs w:val="20"/>
        </w:rPr>
        <w:t>e, adjusted operating margin, adjusted net income and adjusted net income per share provide an alternative view of performance used by management and we believe that an investor’s understanding of our performance is enhanced by disclosing these adjusted pe</w:t>
      </w:r>
      <w:r>
        <w:rPr>
          <w:sz w:val="20"/>
          <w:szCs w:val="20"/>
        </w:rPr>
        <w:t>rformance measures.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Interest expense, or the cash requirements necessary to servi</w:t>
            </w:r>
            <w:r>
              <w:rPr>
                <w:rFonts w:eastAsia="Times New Roman"/>
                <w:sz w:val="20"/>
                <w:szCs w:val="20"/>
              </w:rPr>
              <w:t>ce interest on principal payments, on our debt;</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Integration costs, such as severance amounts paid to employees from acquired businesses, and transaction costs, such as brokerage fees, pre-acquisition accounting costs and legal fees and exit costs related to cont</w:t>
            </w:r>
            <w:r>
              <w:rPr>
                <w:rFonts w:eastAsia="Times New Roman"/>
                <w:sz w:val="20"/>
                <w:szCs w:val="20"/>
              </w:rPr>
              <w:t>ractual agreements;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Change in contingent consideration.</w:t>
            </w:r>
          </w:p>
        </w:tc>
      </w:tr>
    </w:tbl>
    <w:p w:rsidR="00000000" w:rsidRDefault="003F57AF">
      <w:pPr>
        <w:pStyle w:val="a3"/>
        <w:shd w:val="clear" w:color="auto" w:fill="FFFFFF"/>
        <w:spacing w:before="0" w:beforeAutospacing="0" w:after="0" w:afterAutospacing="0"/>
        <w:ind w:left="72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Set forth below is a presentation of our adjusted EBITDA for the three and nine months ended September 30, 2022 and</w:t>
      </w:r>
      <w:r>
        <w:rPr>
          <w:sz w:val="20"/>
          <w:szCs w:val="20"/>
        </w:rPr>
        <w:t xml:space="preserve"> 2021:</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1,056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1,505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4,933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(686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264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523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3,399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3,547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8,686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9,505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724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4,817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6,674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16,564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16,018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bl>
    <w:p w:rsidR="00000000" w:rsidRDefault="003F57AF">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09786166"/>
        </w:trPr>
        <w:tc>
          <w:tcPr>
            <w:tcW w:w="5000" w:type="pct"/>
            <w:hideMark/>
          </w:tcPr>
          <w:p w:rsidR="00000000" w:rsidRDefault="003F57AF">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3F57AF">
      <w:pPr>
        <w:pStyle w:val="a3"/>
        <w:spacing w:before="0" w:beforeAutospacing="0" w:after="0" w:afterAutospacing="0"/>
        <w:divId w:val="1510097692"/>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that are included in GAAP operating income (loss):</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Integration costs, such as severance amounts paid to employees from acquired businesses, and transaction costs, such as brokerage fees, pre-acquisition accounting costs and legal fees and exit costs related</w:t>
            </w:r>
            <w:r>
              <w:rPr>
                <w:rFonts w:eastAsia="Times New Roman"/>
                <w:sz w:val="20"/>
                <w:szCs w:val="20"/>
              </w:rPr>
              <w:t xml:space="preserve"> to contractual agreements;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Change in contingent consideration.</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three and nine months ended September 30, 2022 and 2021:</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7"/>
        <w:gridCol w:w="113"/>
        <w:gridCol w:w="100"/>
        <w:gridCol w:w="944"/>
        <w:gridCol w:w="167"/>
        <w:gridCol w:w="114"/>
        <w:gridCol w:w="100"/>
        <w:gridCol w:w="945"/>
        <w:gridCol w:w="167"/>
        <w:gridCol w:w="114"/>
        <w:gridCol w:w="100"/>
        <w:gridCol w:w="945"/>
        <w:gridCol w:w="167"/>
        <w:gridCol w:w="114"/>
        <w:gridCol w:w="100"/>
        <w:gridCol w:w="945"/>
        <w:gridCol w:w="234"/>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w:t>
            </w:r>
            <w:r>
              <w:rPr>
                <w:rFonts w:eastAsia="Times New Roman"/>
                <w:b/>
                <w:bCs/>
                <w:sz w:val="20"/>
                <w:szCs w:val="20"/>
              </w:rPr>
              <w:t>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1,056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1,505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4,933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(686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Other expense - net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495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300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80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1,688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1,425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5,658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3,399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2,768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4,884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724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3,407</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5,890</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12,703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13,505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Integration cost</w:t>
            </w:r>
            <w:r>
              <w:rPr>
                <w:rFonts w:eastAsia="Times New Roman"/>
                <w:sz w:val="20"/>
                <w:szCs w:val="20"/>
              </w:rPr>
              <w:t>s, such as severance amounts paid to employees from acquired businesses, and transaction costs, such as brokerage fees, pre-acquisition accounting costs and legal fees and exit costs related to contractual agreements;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Net loss on lease termination, impa</w:t>
            </w:r>
            <w:r>
              <w:rPr>
                <w:rFonts w:eastAsia="Times New Roman"/>
                <w:sz w:val="20"/>
                <w:szCs w:val="20"/>
              </w:rPr>
              <w:t>irment and unoccupied lease charges;</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Change in contingent consideration; and</w:t>
            </w:r>
          </w:p>
        </w:tc>
      </w:tr>
      <w:tr w:rsidR="00000000">
        <w:tc>
          <w:tcPr>
            <w:tcW w:w="0" w:type="auto"/>
            <w:hideMark/>
          </w:tcPr>
          <w:p w:rsidR="00000000" w:rsidRDefault="003F57AF">
            <w:pPr>
              <w:jc w:val="center"/>
              <w:rPr>
                <w:rFonts w:eastAsia="Times New Roman"/>
                <w:sz w:val="20"/>
                <w:szCs w:val="20"/>
              </w:rPr>
            </w:pPr>
            <w:r>
              <w:rPr>
                <w:rFonts w:eastAsia="Times New Roman"/>
                <w:sz w:val="20"/>
                <w:szCs w:val="20"/>
              </w:rPr>
              <w:t>●</w:t>
            </w:r>
          </w:p>
        </w:tc>
        <w:tc>
          <w:tcPr>
            <w:tcW w:w="0" w:type="auto"/>
            <w:hideMark/>
          </w:tcPr>
          <w:p w:rsidR="00000000" w:rsidRDefault="003F57AF">
            <w:pPr>
              <w:jc w:val="both"/>
              <w:rPr>
                <w:rFonts w:eastAsia="Times New Roman"/>
                <w:sz w:val="20"/>
                <w:szCs w:val="20"/>
              </w:rPr>
            </w:pPr>
            <w:r>
              <w:rPr>
                <w:rFonts w:eastAsia="Times New Roman"/>
                <w:sz w:val="20"/>
                <w:szCs w:val="20"/>
              </w:rPr>
              <w:t xml:space="preserve">Income </w:t>
            </w:r>
            <w:r>
              <w:rPr>
                <w:rFonts w:eastAsia="Times New Roman"/>
                <w:sz w:val="20"/>
                <w:szCs w:val="20"/>
              </w:rPr>
              <w:t>tax expense (benefit) resulting from the amortization of goodwill related to our acquisitions.</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color w:val="000000"/>
          <w:sz w:val="20"/>
          <w:szCs w:val="20"/>
          <w:shd w:val="clear" w:color="auto" w:fill="FFFFFF"/>
        </w:rPr>
        <w:t>No tax effect has been provided in computing non-GAAP adjusted net income and non-GAAP adjusted net income per share as the Company has sufficient carry forwa</w:t>
      </w:r>
      <w:r>
        <w:rPr>
          <w:color w:val="000000"/>
          <w:sz w:val="20"/>
          <w:szCs w:val="20"/>
          <w:shd w:val="clear" w:color="auto" w:fill="FFFFFF"/>
        </w:rPr>
        <w:t xml:space="preserve">rd net operating losses to offset the applicable income taxes. </w:t>
      </w:r>
      <w:r>
        <w:rPr>
          <w:sz w:val="20"/>
          <w:szCs w:val="20"/>
        </w:rPr>
        <w:t>The following table shows our reconciliation of GAAP net loss to non-GAAP adjusted net income for the three and nine months ended September 30, 2022 and 2021:</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418820"/>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3F57AF">
      <w:pPr>
        <w:pStyle w:val="a3"/>
        <w:spacing w:before="0" w:beforeAutospacing="0" w:after="0" w:afterAutospacing="0"/>
        <w:divId w:val="2103405293"/>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w:t>
            </w:r>
            <w:r>
              <w:rPr>
                <w:rFonts w:eastAsia="Times New Roman"/>
                <w:b/>
                <w:bCs/>
                <w:sz w:val="20"/>
                <w:szCs w:val="20"/>
              </w:rPr>
              <w:t>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3F57AF">
            <w:pPr>
              <w:jc w:val="both"/>
              <w:rPr>
                <w:rFonts w:eastAsia="Times New Roman"/>
                <w:sz w:val="20"/>
                <w:szCs w:val="20"/>
              </w:rPr>
            </w:pPr>
            <w:r>
              <w:rPr>
                <w:rFonts w:eastAsia="Times New Roman"/>
                <w:sz w:val="20"/>
                <w:szCs w:val="20"/>
              </w:rPr>
              <w:t>GAAP net income (loss)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1,056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4,933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(686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jc w:val="both"/>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523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3,399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jc w:val="both"/>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1,428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2,768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4,884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7,079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724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jc w:val="both"/>
              <w:rPr>
                <w:rFonts w:eastAsia="Times New Roman"/>
                <w:sz w:val="20"/>
                <w:szCs w:val="20"/>
              </w:rPr>
            </w:pPr>
            <w:r>
              <w:rPr>
                <w:rFonts w:eastAsia="Times New Roman"/>
                <w:sz w:val="20"/>
                <w:szCs w:val="20"/>
              </w:rPr>
              <w:t>Income tax expense related to goodwill</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13</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140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jc w:val="both"/>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3,333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6,053</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12,398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13,488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3F57AF">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(0.18</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(0.15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(0.45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(0.77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0.78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0.72</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Net income (loss) per end-of-period share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0.33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0.23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0.27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0.31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0.48</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(0.19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Income tax expense related to goodwill</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Non-GAAP adjusted earnings per share</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0.21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0.41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0.81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b/>
                <w:bCs/>
                <w:sz w:val="20"/>
                <w:szCs w:val="20"/>
              </w:rPr>
            </w:pPr>
            <w:r>
              <w:rPr>
                <w:rFonts w:eastAsia="Times New Roman"/>
                <w:b/>
                <w:bCs/>
                <w:sz w:val="20"/>
                <w:szCs w:val="20"/>
              </w:rPr>
              <w:t>0.91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15,211,136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14,873,411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15,211,136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14,873,411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605,526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2,432,636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605,526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2,432,636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fully diluted shares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15,816,662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17,306,047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15,816,662</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17,306,047</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Non-GAAP adjusted diluted earnings per share</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0.21</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0.35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0.78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b/>
                <w:bCs/>
                <w:sz w:val="20"/>
                <w:szCs w:val="20"/>
              </w:rPr>
            </w:pPr>
            <w:r>
              <w:rPr>
                <w:rFonts w:eastAsia="Times New Roman"/>
                <w:b/>
                <w:bCs/>
                <w:sz w:val="20"/>
                <w:szCs w:val="20"/>
              </w:rPr>
              <w:t>0.78</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September 30, 2022 and 2021. Non-GAAP adjusted diluted earnings per share was computed using an as-converted method and inc</w:t>
      </w:r>
      <w:r>
        <w:rPr>
          <w:sz w:val="20"/>
          <w:szCs w:val="20"/>
          <w:shd w:val="clear" w:color="auto" w:fill="FFFFFF"/>
        </w:rPr>
        <w:t>ludes warrants that are in-the-money as of that date as well as outstanding unvested RSUs. Non-GAAP adjusted earnings per share and non-GAAP adjusted diluted earnings per share do not take into account dividends paid on Preferred Stock. No tax effect has b</w:t>
      </w:r>
      <w:r>
        <w:rPr>
          <w:sz w:val="20"/>
          <w:szCs w:val="20"/>
          <w:shd w:val="clear" w:color="auto" w:fill="FFFFFF"/>
        </w:rPr>
        <w:t>een provided in computing non-GAAP adjusted earnings per share and non-GAAP adjusted diluted earnings per share as the Company has sufficient carry forward net operating losses to offset the applicable income taxes.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Key Metrics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In addition to the line </w:t>
      </w:r>
      <w:r>
        <w:rPr>
          <w:sz w:val="20"/>
          <w:szCs w:val="20"/>
        </w:rPr>
        <w:t>items in our consolidated financial statements, we regularly review the following metrics. We believe information on these metrics is useful for investors to understand the underlying trends in our business.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Providers and Practices Served:</w:t>
      </w:r>
      <w:r>
        <w:rPr>
          <w:sz w:val="20"/>
          <w:szCs w:val="20"/>
        </w:rPr>
        <w:t xml:space="preserve"> As of both Sep</w:t>
      </w:r>
      <w:r>
        <w:rPr>
          <w:sz w:val="20"/>
          <w:szCs w:val="20"/>
        </w:rPr>
        <w:t>tember 30, 2022 and 2021, we provided services to an estimated universe of approximately 40,000 providers (which we define as physicians, nurses, nurse practitioners, physician assistants and other clinical staff that render bills for their services), repr</w:t>
      </w:r>
      <w:r>
        <w:rPr>
          <w:sz w:val="20"/>
          <w:szCs w:val="20"/>
        </w:rPr>
        <w:t>esenting approximately 2,600 independent medical practices and hospitals. In addition, we served approximately 200 clients who were not medical practices, but are service organizations who serve the healthcare community. The foregoing numbers include clien</w:t>
      </w:r>
      <w:r>
        <w:rPr>
          <w:sz w:val="20"/>
          <w:szCs w:val="20"/>
        </w:rPr>
        <w:t>ts leveraging any of our products or services and are based in part upon estimates in cases where the precise number of practices or providers is unknown.</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13331561"/>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3F57AF">
      <w:pPr>
        <w:pStyle w:val="a3"/>
        <w:spacing w:before="0" w:beforeAutospacing="0" w:after="0" w:afterAutospacing="0"/>
        <w:divId w:val="1258443081"/>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3F57AF">
      <w:pPr>
        <w:pStyle w:val="a3"/>
        <w:shd w:val="clear" w:color="auto" w:fill="FFFFFF"/>
        <w:spacing w:before="0" w:beforeAutospacing="0" w:after="0" w:afterAutospacing="0"/>
        <w:jc w:val="both"/>
        <w:rPr>
          <w:sz w:val="20"/>
          <w:szCs w:val="20"/>
        </w:rPr>
      </w:pPr>
      <w:r>
        <w:rPr>
          <w:i/>
          <w:iCs/>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Revenue: </w:t>
      </w:r>
      <w:r>
        <w:rPr>
          <w:sz w:val="20"/>
          <w:szCs w:val="20"/>
        </w:rPr>
        <w:t xml:space="preserve">We primarily derive our revenues from subscription-based technology-enabled business solutions, reported in our Healthcare IT segment, which are typically billed as a percentage of payments collected by our customers. This fee includes RCM, as well as the </w:t>
      </w:r>
      <w:r>
        <w:rPr>
          <w:sz w:val="20"/>
          <w:szCs w:val="20"/>
        </w:rPr>
        <w:t>ability to use our EHR, practice management system and other software as part of the bundled fee. These solutions accounted for approximately 64% and 71% of our revenues during the three months ended September 30, 2022 and 2021, respectively, and 64% and 7</w:t>
      </w:r>
      <w:r>
        <w:rPr>
          <w:sz w:val="20"/>
          <w:szCs w:val="20"/>
        </w:rPr>
        <w:t>8% for the nine months ended September 30, 2022 and 2021, respectively. Other healthcare IT services, including printing and mailing operations, group purchasing and professional services, represented approximately 25% and 20% of revenues for the three mon</w:t>
      </w:r>
      <w:r>
        <w:rPr>
          <w:sz w:val="20"/>
          <w:szCs w:val="20"/>
        </w:rPr>
        <w:t>ths ended September 30, 2022 and 2021, respectively, and 26% and 13% for the nine months ended September 30, 2022 and 2021, respectively.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We earned approximately 11% and 9% of our revenue from medical practice management services during the three months </w:t>
      </w:r>
      <w:r>
        <w:rPr>
          <w:sz w:val="20"/>
          <w:szCs w:val="20"/>
        </w:rPr>
        <w:t>ended September 30, 2022 and 2021, respectively, and 10% and 9% for the nine months ended September 30, 2022 and 2021, respectively. This revenue represents fees based on our actual costs plus a percentage of the operating profit and is reported in our Med</w:t>
      </w:r>
      <w:r>
        <w:rPr>
          <w:sz w:val="20"/>
          <w:szCs w:val="20"/>
        </w:rPr>
        <w:t>ical Practice Management segment.</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Operating Expenses</w:t>
      </w:r>
    </w:p>
    <w:p w:rsidR="00000000" w:rsidRDefault="003F57AF">
      <w:pPr>
        <w:pStyle w:val="a3"/>
        <w:spacing w:before="0" w:beforeAutospacing="0" w:after="0" w:afterAutospacing="0"/>
        <w:jc w:val="both"/>
        <w:rPr>
          <w:sz w:val="20"/>
          <w:szCs w:val="20"/>
        </w:rPr>
      </w:pPr>
      <w:r>
        <w:rPr>
          <w:i/>
          <w:iCs/>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w:t>
      </w:r>
      <w:r>
        <w:rPr>
          <w:sz w:val="20"/>
          <w:szCs w:val="20"/>
        </w:rPr>
        <w:t xml:space="preserve">ee managed practices, including facility lease costs, supplies, insurance and other direct costs related to our services. Costs associated with the implementation of new customers are expensed as incurred. The reported amounts of direct operating costs do </w:t>
      </w:r>
      <w:r>
        <w:rPr>
          <w:sz w:val="20"/>
          <w:szCs w:val="20"/>
        </w:rPr>
        <w:t>not include depreciation and amortization, which are broken out separately in the consolidated statements of operations.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w:t>
      </w:r>
      <w:r>
        <w:rPr>
          <w:sz w:val="20"/>
          <w:szCs w:val="20"/>
        </w:rPr>
        <w:t xml:space="preserve"> advertising expenses.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administrative employees, including compensation, benefits, travel, facility lease costs and insurance, soft</w:t>
      </w:r>
      <w:r>
        <w:rPr>
          <w:sz w:val="20"/>
          <w:szCs w:val="20"/>
        </w:rPr>
        <w:t>ware license fees and outside professional fees.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software expense and third-party contractor costs.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w:t>
      </w:r>
      <w:r>
        <w:rPr>
          <w:sz w:val="20"/>
          <w:szCs w:val="20"/>
        </w:rPr>
        <w:t>f our acquisitions, the amount of which is based on the achievement of defined performance measures contained in the purchase agreements. Contingent consideration is adjusted to fair value at the end of each reporting period.</w:t>
      </w:r>
      <w:r>
        <w:rPr>
          <w:sz w:val="20"/>
          <w:szCs w:val="20"/>
        </w:rPr>
        <w:tab/>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Depreciation and Amortizati</w:t>
      </w:r>
      <w:r>
        <w:rPr>
          <w:i/>
          <w:iCs/>
          <w:sz w:val="20"/>
          <w:szCs w:val="20"/>
        </w:rPr>
        <w:t xml:space="preserve">on Expense. </w:t>
      </w:r>
      <w:r>
        <w:rPr>
          <w:sz w:val="20"/>
          <w:szCs w:val="20"/>
        </w:rPr>
        <w:t xml:space="preserve">Depreciation expense is charged using the straight-line method over the estimated lives of the assets ranging from three to five years. Amortization expense is charged on either an accelerated or on a straight-line basis over a period of three </w:t>
      </w:r>
      <w:r>
        <w:rPr>
          <w:sz w:val="20"/>
          <w:szCs w:val="20"/>
        </w:rPr>
        <w:t>or four years for most intangible assets acquired in connection with acquisitions including those intangibles related to the group purchasing services. Amortization expense related to the value of our medical practice management clients is amortized on a s</w:t>
      </w:r>
      <w:r>
        <w:rPr>
          <w:sz w:val="20"/>
          <w:szCs w:val="20"/>
        </w:rPr>
        <w:t>traight-line basis over a period of twelve years.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Net loss on lease termination represents the write-off of leasehold improvements and gains or losses as the result of lease terminat</w:t>
      </w:r>
      <w:r>
        <w:rPr>
          <w:sz w:val="20"/>
          <w:szCs w:val="20"/>
        </w:rPr>
        <w:t>ions. Impairment charges represent charges recorded for a leased facility no longer being used by the Company and a non-cancellable vendor contract where the services are no longer being used. Unoccupied lease charges represent the portion of lease and rel</w:t>
      </w:r>
      <w:r>
        <w:rPr>
          <w:sz w:val="20"/>
          <w:szCs w:val="20"/>
        </w:rPr>
        <w:t>ated costs for vacant space not being utilized by the Company.</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25561266"/>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3F57AF">
      <w:pPr>
        <w:pStyle w:val="a3"/>
        <w:spacing w:before="0" w:beforeAutospacing="0" w:after="0" w:afterAutospacing="0"/>
        <w:divId w:val="1582367005"/>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related to our line of credit, term loans and amounts due in connection with acquisitions, o</w:t>
      </w:r>
      <w:r>
        <w:rPr>
          <w:sz w:val="20"/>
          <w:szCs w:val="20"/>
        </w:rPr>
        <w:t>ffset by interest income. Other income (expense) results primarily from foreign currency transaction gains (losses) and income earned from temporary cash investments.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consolidated financial statements, we estimate income taxe</w:t>
      </w:r>
      <w:r>
        <w:rPr>
          <w:sz w:val="20"/>
          <w:szCs w:val="20"/>
        </w:rPr>
        <w:t>s in each of the jurisdictions in which we operate. This process involves estimating actual current tax exposure together with assessing temporary differences resulting from differing treatment of items for tax and financial reporting purposes. These diffe</w:t>
      </w:r>
      <w:r>
        <w:rPr>
          <w:sz w:val="20"/>
          <w:szCs w:val="20"/>
        </w:rPr>
        <w:t>rences result in deferred income tax assets and liabilities. Although the Company is forecasting a return to profitability, it incurred losses historically and there is uncertainty regarding future U.S. taxable income, which makes realization of a deferred</w:t>
      </w:r>
      <w:r>
        <w:rPr>
          <w:sz w:val="20"/>
          <w:szCs w:val="20"/>
        </w:rPr>
        <w:t xml:space="preserve"> tax asset difficult to support in accordance with ASC 740. Accordingly, a valuation allowance has been recorded against all deferred tax assets as of September 30, 2022 and December 31, 2021.</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 xml:space="preserve">Critical </w:t>
      </w:r>
      <w:r>
        <w:rPr>
          <w:b/>
          <w:bCs/>
          <w:sz w:val="20"/>
          <w:szCs w:val="20"/>
        </w:rPr>
        <w:t>Accounting Policies and Estimates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 critical accounting policies and estimates used in the preparation of our consolidated financial statements that we believe affect our more significant judgments and estimates used in the preparation of our consolida</w:t>
      </w:r>
      <w:r>
        <w:rPr>
          <w:sz w:val="20"/>
          <w:szCs w:val="20"/>
        </w:rPr>
        <w:t>ted financial statements presented in this Report are described in Management’s Discussion and Analysis of Financial Condition and Results of Operations and in the Notes to the consolidated financial statements included in our Annual Report on Form 10-K fo</w:t>
      </w:r>
      <w:r>
        <w:rPr>
          <w:sz w:val="20"/>
          <w:szCs w:val="20"/>
        </w:rPr>
        <w:t>r the year ended December 31, 2021.</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Leases:</w:t>
      </w:r>
    </w:p>
    <w:p w:rsidR="00000000" w:rsidRDefault="003F57AF">
      <w:pPr>
        <w:pStyle w:val="a3"/>
        <w:spacing w:before="0" w:beforeAutospacing="0" w:after="0" w:afterAutospacing="0"/>
        <w:jc w:val="both"/>
        <w:rPr>
          <w:sz w:val="20"/>
          <w:szCs w:val="20"/>
        </w:rPr>
      </w:pPr>
      <w:r>
        <w:rPr>
          <w:sz w:val="20"/>
          <w:szCs w:val="20"/>
        </w:rPr>
        <w:t xml:space="preserve">We </w:t>
      </w:r>
      <w:r>
        <w:rPr>
          <w:sz w:val="20"/>
          <w:szCs w:val="20"/>
        </w:rPr>
        <w:t>determine if an arrangement is a lease at inception. Operating leases are included in operating lease right-of-use (“ROU”) assets, operating lease liability (current portion) and operating lease liability (noncurrent portion) in the consolidated balance sh</w:t>
      </w:r>
      <w:r>
        <w:rPr>
          <w:sz w:val="20"/>
          <w:szCs w:val="20"/>
        </w:rPr>
        <w:t>eets at September 30, 2022 and December 31, 2021. The Company does not have any finance leases.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w:t>
      </w:r>
      <w:r>
        <w:rPr>
          <w:sz w:val="20"/>
          <w:szCs w:val="20"/>
        </w:rPr>
        <w:t>m the lease. ROU assets and liabilities are recognized at the lease commencement date based on the estimated present value of lease payments over the lease term.</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We use our estimated incremental borrowing rates, which are derived from information availab</w:t>
      </w:r>
      <w:r>
        <w:rPr>
          <w:sz w:val="20"/>
          <w:szCs w:val="20"/>
        </w:rPr>
        <w:t>le at the lease commencement date, in determining the present value of lease payments. We give consideration to bank financing arrangements, geographical location and collateralization of assets when calculating our incremental borrowing rates.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Our lease</w:t>
      </w:r>
      <w:r>
        <w:rPr>
          <w:sz w:val="20"/>
          <w:szCs w:val="20"/>
        </w:rPr>
        <w:t xml:space="preserve"> term includes options to extend the lease when it is reasonably certain that we will exercise that option. Leases with a term of less than 12 months are not recorded in the consolidated balance sheet. Our lease agreements do not contain any residual value</w:t>
      </w:r>
      <w:r>
        <w:rPr>
          <w:sz w:val="20"/>
          <w:szCs w:val="20"/>
        </w:rPr>
        <w:t xml:space="preserve"> guarantees. For real estate leases, we account for the leased and non-leased components as a single lease component. Some leases include escalation clauses and termination options that are factored into the determination of the future lease payments when </w:t>
      </w:r>
      <w:r>
        <w:rPr>
          <w:sz w:val="20"/>
          <w:szCs w:val="20"/>
        </w:rPr>
        <w:t>appropriate.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Capitalized Software Costs</w:t>
      </w:r>
      <w:r>
        <w:rPr>
          <w:sz w:val="20"/>
          <w:szCs w:val="20"/>
        </w:rPr>
        <w:t>:</w:t>
      </w:r>
    </w:p>
    <w:p w:rsidR="00000000" w:rsidRDefault="003F57AF">
      <w:pPr>
        <w:pStyle w:val="a3"/>
        <w:spacing w:before="0" w:beforeAutospacing="0" w:after="0" w:afterAutospacing="0"/>
        <w:jc w:val="both"/>
        <w:rPr>
          <w:sz w:val="20"/>
          <w:szCs w:val="20"/>
        </w:rPr>
      </w:pPr>
      <w:r>
        <w:rPr>
          <w:sz w:val="20"/>
          <w:szCs w:val="20"/>
        </w:rPr>
        <w:t>All of our software is considered internal use for accounting purposes, as we do not market or sell our software. As a result, we capitalize certain costs associated with the creation of internally-developed softw</w:t>
      </w:r>
      <w:r>
        <w:rPr>
          <w:sz w:val="20"/>
          <w:szCs w:val="20"/>
        </w:rPr>
        <w:t>are for internal use. The total of these costs is recorded in Intangible assets – net in our consolidated balance sheets.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We capitalized costs incurred during the application development stage related to our internal use software. Costs incurred during t</w:t>
      </w:r>
      <w:r>
        <w:rPr>
          <w:sz w:val="20"/>
          <w:szCs w:val="20"/>
        </w:rPr>
        <w:t>he application development phase are capitalized only when we believe it is probable that the development will result in new or additional functionality. The types of costs capitalized during the application development phase consist of employee compensati</w:t>
      </w:r>
      <w:r>
        <w:rPr>
          <w:sz w:val="20"/>
          <w:szCs w:val="20"/>
        </w:rPr>
        <w:t>on, employee benefits and employee stock-based compensation. Costs related to the preliminary project stage and post-implementation activities are expensed as incurred. Capitalized internal-use software is amortized on a straight-line basis over its estima</w:t>
      </w:r>
      <w:r>
        <w:rPr>
          <w:sz w:val="20"/>
          <w:szCs w:val="20"/>
        </w:rPr>
        <w:t>ted useful life when the asset has been placed in service for general availability.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Significant judgments related to internally-developed software include determining whether it is probable that projects will result in new or additional functionality; co</w:t>
      </w:r>
      <w:r>
        <w:rPr>
          <w:sz w:val="20"/>
          <w:szCs w:val="20"/>
        </w:rPr>
        <w:t>ncluding on when the application development phase starts and ends; and deciding which costs, especially employee compensation costs, should be capitalized. Additionally, there is judgment applied to the useful lives of capitalized software; we have conclu</w:t>
      </w:r>
      <w:r>
        <w:rPr>
          <w:sz w:val="20"/>
          <w:szCs w:val="20"/>
        </w:rPr>
        <w:t>ded that the useful lives for capitalized internally-developed software is three years.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7474367"/>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3F57AF">
      <w:pPr>
        <w:pStyle w:val="a3"/>
        <w:spacing w:before="0" w:beforeAutospacing="0" w:after="0" w:afterAutospacing="0"/>
        <w:divId w:val="637610084"/>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As of September 30, 2022 and December 31, 2021, the carrying amounts of internally-developed capitalized software in use</w:t>
      </w:r>
      <w:r>
        <w:rPr>
          <w:sz w:val="20"/>
          <w:szCs w:val="20"/>
        </w:rPr>
        <w:t xml:space="preserve"> was </w:t>
      </w:r>
      <w:r>
        <w:rPr>
          <w:color w:val="000000"/>
          <w:sz w:val="20"/>
          <w:szCs w:val="20"/>
        </w:rPr>
        <w:t>$15.5 million</w:t>
      </w:r>
      <w:r>
        <w:rPr>
          <w:sz w:val="20"/>
          <w:szCs w:val="20"/>
        </w:rPr>
        <w:t xml:space="preserve"> and $11.6 million, respectively. The increase in the capitalized software costs represents the continued investment in proprietary technology.</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There have been no material changes in our critical accounting policies and estimates from t</w:t>
      </w:r>
      <w:r>
        <w:rPr>
          <w:sz w:val="20"/>
          <w:szCs w:val="20"/>
        </w:rPr>
        <w:t>hose described in the Management’s Discussion and Analysis of Financial Condition and Results of Operations, included in our Annual Report on Form 10-K for the year ended December 31, 2021, filed with the SEC on March 14, 2022.</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both"/>
        <w:rPr>
          <w:sz w:val="20"/>
          <w:szCs w:val="20"/>
        </w:rPr>
      </w:pPr>
      <w:r>
        <w:rPr>
          <w:sz w:val="20"/>
          <w:szCs w:val="20"/>
        </w:rPr>
        <w:t>Th</w:t>
      </w:r>
      <w:r>
        <w:rPr>
          <w:sz w:val="20"/>
          <w:szCs w:val="20"/>
        </w:rPr>
        <w:t>e following table sets forth our consolidated results of operations as a percentage of total revenue for the periods shown:</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09"/>
        <w:gridCol w:w="119"/>
        <w:gridCol w:w="50"/>
        <w:gridCol w:w="936"/>
        <w:gridCol w:w="234"/>
        <w:gridCol w:w="119"/>
        <w:gridCol w:w="50"/>
        <w:gridCol w:w="937"/>
        <w:gridCol w:w="234"/>
        <w:gridCol w:w="120"/>
        <w:gridCol w:w="50"/>
        <w:gridCol w:w="855"/>
        <w:gridCol w:w="234"/>
        <w:gridCol w:w="120"/>
        <w:gridCol w:w="50"/>
        <w:gridCol w:w="855"/>
        <w:gridCol w:w="234"/>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r>
      <w:tr w:rsidR="00000000">
        <w:tc>
          <w:tcPr>
            <w:tcW w:w="1900" w:type="pct"/>
            <w:shd w:val="clear" w:color="auto" w:fill="CCEEFF"/>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60.5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19.3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3F57AF">
            <w:pPr>
              <w:pStyle w:val="a3"/>
              <w:spacing w:before="0" w:beforeAutospacing="0" w:after="0" w:afterAutospacing="0"/>
              <w:rPr>
                <w:sz w:val="20"/>
                <w:szCs w:val="20"/>
              </w:rPr>
            </w:pPr>
            <w:r>
              <w:rPr>
                <w:sz w:val="20"/>
                <w:szCs w:val="20"/>
              </w:rPr>
              <w:t>Net loss on lease termination, impairment and</w:t>
            </w:r>
          </w:p>
          <w:p w:rsidR="00000000" w:rsidRDefault="003F57AF">
            <w:pPr>
              <w:pStyle w:val="a3"/>
              <w:spacing w:before="0" w:beforeAutospacing="0" w:after="0" w:afterAutospacing="0"/>
              <w:rPr>
                <w:sz w:val="20"/>
                <w:szCs w:val="20"/>
              </w:rPr>
            </w:pPr>
            <w:r>
              <w:rPr>
                <w:sz w:val="20"/>
                <w:szCs w:val="20"/>
              </w:rPr>
              <w:t>unoccupied lease charges</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95.0</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96.4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94.8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100.2</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Other expense - net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3F57AF">
            <w:pPr>
              <w:rPr>
                <w:rFonts w:eastAsia="Times New Roman"/>
                <w:sz w:val="20"/>
                <w:szCs w:val="20"/>
              </w:rPr>
            </w:pPr>
            <w:r>
              <w:rPr>
                <w:rFonts w:eastAsia="Times New Roman"/>
                <w:sz w:val="20"/>
                <w:szCs w:val="20"/>
              </w:rPr>
              <w:t>Income (loss) before provision (benefit) for income taxes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(0.6</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3.1</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4.5</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i/>
          <w:iCs/>
          <w:sz w:val="20"/>
          <w:szCs w:val="20"/>
        </w:rPr>
        <w:t>Comparison of the three and nine months ended September 30, 2022 and 2021:</w:t>
      </w:r>
    </w:p>
    <w:p w:rsidR="00000000" w:rsidRDefault="003F57AF">
      <w:pPr>
        <w:pStyle w:val="a3"/>
        <w:shd w:val="clear" w:color="auto" w:fill="FFFFFF"/>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960"/>
        <w:gridCol w:w="50"/>
        <w:gridCol w:w="100"/>
        <w:gridCol w:w="550"/>
        <w:gridCol w:w="50"/>
        <w:gridCol w:w="50"/>
        <w:gridCol w:w="100"/>
        <w:gridCol w:w="550"/>
        <w:gridCol w:w="50"/>
        <w:gridCol w:w="50"/>
        <w:gridCol w:w="101"/>
        <w:gridCol w:w="517"/>
        <w:gridCol w:w="100"/>
        <w:gridCol w:w="50"/>
        <w:gridCol w:w="94"/>
        <w:gridCol w:w="469"/>
        <w:gridCol w:w="234"/>
        <w:gridCol w:w="50"/>
        <w:gridCol w:w="100"/>
        <w:gridCol w:w="650"/>
        <w:gridCol w:w="50"/>
        <w:gridCol w:w="50"/>
        <w:gridCol w:w="100"/>
        <w:gridCol w:w="650"/>
        <w:gridCol w:w="50"/>
        <w:gridCol w:w="50"/>
        <w:gridCol w:w="101"/>
        <w:gridCol w:w="500"/>
        <w:gridCol w:w="100"/>
        <w:gridCol w:w="50"/>
        <w:gridCol w:w="94"/>
        <w:gridCol w:w="469"/>
        <w:gridCol w:w="167"/>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31"/>
            <w:vAlign w:val="bottom"/>
            <w:hideMark/>
          </w:tcPr>
          <w:p w:rsidR="00000000" w:rsidRDefault="003F57AF">
            <w:pPr>
              <w:jc w:val="center"/>
              <w:rPr>
                <w:rFonts w:eastAsia="Times New Roman"/>
                <w:sz w:val="20"/>
                <w:szCs w:val="20"/>
              </w:rPr>
            </w:pPr>
            <w:r>
              <w:rPr>
                <w:rFonts w:eastAsia="Times New Roman"/>
                <w:sz w:val="20"/>
                <w:szCs w:val="20"/>
              </w:rPr>
              <w:t>($ in thousands)</w:t>
            </w:r>
          </w:p>
        </w:tc>
      </w:tr>
      <w:tr w:rsidR="003F57AF">
        <w:tc>
          <w:tcPr>
            <w:tcW w:w="1300" w:type="pct"/>
            <w:shd w:val="clear" w:color="auto" w:fill="CCEEFF"/>
            <w:vAlign w:val="bottom"/>
            <w:hideMark/>
          </w:tcPr>
          <w:p w:rsidR="00000000" w:rsidRDefault="003F57AF">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33,723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(4,581</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106,292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102,137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4,155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Net Revenue. </w:t>
      </w:r>
      <w:r>
        <w:rPr>
          <w:sz w:val="20"/>
          <w:szCs w:val="20"/>
        </w:rPr>
        <w:t>Net revenue of $33.7 million and $106.3 million for the three and nine months ended September 30, 2022 decreased by $4.6 million or 12% and increased by $4.2 million or 4% from net revenue of $38.3 million and $102.1 million for the three and nine months e</w:t>
      </w:r>
      <w:r>
        <w:rPr>
          <w:sz w:val="20"/>
          <w:szCs w:val="20"/>
        </w:rPr>
        <w:t>nded September 30, 2021, respectively. Revenue for the three and nine months ended September 30, 2022 includes approximately $6.4 million and $22.2 million from customers acquired in the medSR acquisition, offset primarily by a decrease in revenue from thr</w:t>
      </w:r>
      <w:r>
        <w:rPr>
          <w:sz w:val="20"/>
          <w:szCs w:val="20"/>
        </w:rPr>
        <w:t>ee large accounts from a 2020 acquisition that are winding down. Revenue for the three and nine months ended September 30, 2022 includes $21.6 million and $68.5 million relating to technology-enabled business solutions, $7.4 million and $25.6 million relat</w:t>
      </w:r>
      <w:r>
        <w:rPr>
          <w:sz w:val="20"/>
          <w:szCs w:val="20"/>
        </w:rPr>
        <w:t>ed to professional services and $3.8 million and $10.1 million for medical practice management services.</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17579561"/>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3F57AF">
      <w:pPr>
        <w:pStyle w:val="a3"/>
        <w:spacing w:before="0" w:beforeAutospacing="0" w:after="0" w:afterAutospacing="0"/>
        <w:divId w:val="1010913537"/>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56"/>
        <w:gridCol w:w="50"/>
        <w:gridCol w:w="100"/>
        <w:gridCol w:w="550"/>
        <w:gridCol w:w="67"/>
        <w:gridCol w:w="50"/>
        <w:gridCol w:w="100"/>
        <w:gridCol w:w="550"/>
        <w:gridCol w:w="50"/>
        <w:gridCol w:w="50"/>
        <w:gridCol w:w="141"/>
        <w:gridCol w:w="560"/>
        <w:gridCol w:w="67"/>
        <w:gridCol w:w="50"/>
        <w:gridCol w:w="132"/>
        <w:gridCol w:w="524"/>
        <w:gridCol w:w="234"/>
        <w:gridCol w:w="50"/>
        <w:gridCol w:w="100"/>
        <w:gridCol w:w="650"/>
        <w:gridCol w:w="67"/>
        <w:gridCol w:w="50"/>
        <w:gridCol w:w="100"/>
        <w:gridCol w:w="650"/>
        <w:gridCol w:w="50"/>
        <w:gridCol w:w="50"/>
        <w:gridCol w:w="117"/>
        <w:gridCol w:w="584"/>
        <w:gridCol w:w="67"/>
        <w:gridCol w:w="50"/>
        <w:gridCol w:w="110"/>
        <w:gridCol w:w="546"/>
        <w:gridCol w:w="234"/>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30"/>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r>
      <w:tr w:rsidR="003F57AF">
        <w:tc>
          <w:tcPr>
            <w:tcW w:w="1400" w:type="pct"/>
            <w:shd w:val="clear" w:color="auto" w:fill="CCEEFF"/>
            <w:vAlign w:val="bottom"/>
            <w:hideMark/>
          </w:tcPr>
          <w:p w:rsidR="00000000" w:rsidRDefault="003F57AF">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20,406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24,124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(3,718</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64,866</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62,719</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2,147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2,504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129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7,314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845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579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18,479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665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1,168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680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139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3,251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(1,077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(1,660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(2,890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r>
      <w:tr w:rsidR="003F57AF">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1,405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1,482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(77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2,336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3,059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(723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7,281</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8,023</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(742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307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(117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928</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(736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(44</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32,035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36,879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(4,844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100,634</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102,499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(1,865</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Direc</w:t>
      </w:r>
      <w:r>
        <w:rPr>
          <w:i/>
          <w:iCs/>
          <w:sz w:val="20"/>
          <w:szCs w:val="20"/>
        </w:rPr>
        <w:t xml:space="preserve">t Operating Costs. </w:t>
      </w:r>
      <w:r>
        <w:rPr>
          <w:sz w:val="20"/>
          <w:szCs w:val="20"/>
        </w:rPr>
        <w:t>Direct operating costs of $20.4 million and $64.9 million for the three and nine months ended September 30, 2022 decreased by $3.7 million or 15% and increased by $2.1 million or 3% compared to direct operating costs of $24.1 million and</w:t>
      </w:r>
      <w:r>
        <w:rPr>
          <w:sz w:val="20"/>
          <w:szCs w:val="20"/>
        </w:rPr>
        <w:t xml:space="preserve"> $62.7 million for the three and nine months ended September 30, 2021, respectively. During the three and nine months ended September 30, 2022, salary costs decreased by $3.3 million and $894,000, and outsourcing and processing costs decreased by $456,000 </w:t>
      </w:r>
      <w:r>
        <w:rPr>
          <w:sz w:val="20"/>
          <w:szCs w:val="20"/>
        </w:rPr>
        <w:t>and increased by $2.9 million, respectively. The decrease in the salary costs was due to the decrease in the Pakistan exchange rate, a decrease in the US headcount and the redeployment of employees performing functions that were classified as direct operat</w:t>
      </w:r>
      <w:r>
        <w:rPr>
          <w:sz w:val="20"/>
          <w:szCs w:val="20"/>
        </w:rPr>
        <w:t>ing costs to functions classified as research and development expense for the three and nine months ended September 30, 2022.</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$2.5 million and $7.3 million for the three and nine months ended September 30, 2022 increased by $129,000 or 5% and $845,000 or 13% from selling and marketing expense of $2.4 million and $6.5 million for the three and nine</w:t>
      </w:r>
      <w:r>
        <w:rPr>
          <w:sz w:val="20"/>
          <w:szCs w:val="20"/>
        </w:rPr>
        <w:t xml:space="preserve"> months ended September 30, 2021. The increase was primarily related to additional emphasis on sales and marketing activities.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of $6.5 million and $18.5 million for the three and nine</w:t>
      </w:r>
      <w:r>
        <w:rPr>
          <w:sz w:val="20"/>
          <w:szCs w:val="20"/>
        </w:rPr>
        <w:t xml:space="preserve"> months ended September 30, 2022 increased by $579,000 or 10% and $665,000 or 4% compared to general and administrative expense of $5.9 million and $17.8 million for the three and nine months ended September 30, 2021. The increase is primarily due to the C</w:t>
      </w:r>
      <w:r>
        <w:rPr>
          <w:sz w:val="20"/>
          <w:szCs w:val="20"/>
        </w:rPr>
        <w:t>ompany’s contributions to community based projects and to a new academic institution in the Bagh area, a community where the Company has a large employee base.</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$1.2 million and $3.3 mi</w:t>
      </w:r>
      <w:r>
        <w:rPr>
          <w:sz w:val="20"/>
          <w:szCs w:val="20"/>
        </w:rPr>
        <w:t>llion for the three and nine months ended September 30, 2022 increased by approximately $680,000 and decreased by $1.1 million from research and development expense of $488,000 and $4.3 million for the three and nine months ended September 30, 2021. The de</w:t>
      </w:r>
      <w:r>
        <w:rPr>
          <w:sz w:val="20"/>
          <w:szCs w:val="20"/>
        </w:rPr>
        <w:t>crease represents less maintenance work on platforms generating revenue and more resources dedicated to development of new technology which is not yet in commercial use and the increase is due to the redeployment of employees performing functions that were</w:t>
      </w:r>
      <w:r>
        <w:rPr>
          <w:sz w:val="20"/>
          <w:szCs w:val="20"/>
        </w:rPr>
        <w:t xml:space="preserve"> classified as direct operating costs to functions classified as research and development expense. During the nine months ended September 30, 2022 and 2021, the Company capitalized approximately $7.0 million and $5.3 million, respectively, of development c</w:t>
      </w:r>
      <w:r>
        <w:rPr>
          <w:sz w:val="20"/>
          <w:szCs w:val="20"/>
        </w:rPr>
        <w:t>osts in connection with its internal-use software. For the three months ended September 30, 2022 and 2021, the Company capitalized approximately $2.3 million and $2.0 million, respectively, of such costs.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Change in Contingent Consideration. </w:t>
      </w:r>
      <w:r>
        <w:rPr>
          <w:sz w:val="20"/>
          <w:szCs w:val="20"/>
        </w:rPr>
        <w:t>The change of</w:t>
      </w:r>
      <w:r>
        <w:rPr>
          <w:sz w:val="20"/>
          <w:szCs w:val="20"/>
        </w:rPr>
        <w:t xml:space="preserve"> $1.7 million and $2.9 million for the three and nine months ended September 30, 2022 reflects the estimated decrease in the fair value of the contingent consideration from the medSR acquisition.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Depreciation. </w:t>
      </w:r>
      <w:r>
        <w:rPr>
          <w:sz w:val="20"/>
          <w:szCs w:val="20"/>
        </w:rPr>
        <w:t>Depreciation of $474,000 and $1.4 million fo</w:t>
      </w:r>
      <w:r>
        <w:rPr>
          <w:sz w:val="20"/>
          <w:szCs w:val="20"/>
        </w:rPr>
        <w:t>r the three and nine months ended September 30, 2022, respectively, decreased by $14,000 or 3% and $77,000 or 5% from the depreciation of $488,000 and $1.5 million for the three and nine months ended September 30, 2021, respectively.</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2513472"/>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3F57AF">
      <w:pPr>
        <w:pStyle w:val="a3"/>
        <w:spacing w:before="0" w:beforeAutospacing="0" w:after="0" w:afterAutospacing="0"/>
        <w:divId w:val="875001960"/>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Amortization</w:t>
      </w:r>
      <w:r>
        <w:rPr>
          <w:i/>
          <w:iCs/>
          <w:sz w:val="20"/>
          <w:szCs w:val="20"/>
        </w:rPr>
        <w:t xml:space="preserve"> Expense. </w:t>
      </w:r>
      <w:r>
        <w:rPr>
          <w:sz w:val="20"/>
          <w:szCs w:val="20"/>
        </w:rPr>
        <w:t>Amortization expense of $2.3 million and $7.3 million for the three and nine months ended September 30, 2022, respectively, decreased by $723,000 or 24% and $742,000 or 9% from amortization expense of $3.1 million and $8.0 million for the three a</w:t>
      </w:r>
      <w:r>
        <w:rPr>
          <w:sz w:val="20"/>
          <w:szCs w:val="20"/>
        </w:rPr>
        <w:t>nd nine months ended September 30, 2021, respectively. The decrease in amortization expense was due to intangibles which were previously capitalized becoming fully amortized.</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Net los</w:t>
      </w:r>
      <w:r>
        <w:rPr>
          <w:sz w:val="20"/>
          <w:szCs w:val="20"/>
        </w:rPr>
        <w:t xml:space="preserve">s on lease termination represents the write-off of leasehold improvements and gains or losses as the result of lease terminations. During the nine months ended September 30, 2022, a facility lease was terminated in conjunction with the Company ceasing its </w:t>
      </w:r>
      <w:r>
        <w:rPr>
          <w:sz w:val="20"/>
          <w:szCs w:val="20"/>
        </w:rPr>
        <w:t>document storage services resulting in additional costs of approximately $248,000. Impairment charges represent charges recorded for a leased facility no longer being used by the Company and a non-cancellable vendor contract where the services are no longe</w:t>
      </w:r>
      <w:r>
        <w:rPr>
          <w:sz w:val="20"/>
          <w:szCs w:val="20"/>
        </w:rPr>
        <w:t>r being used. Unoccupied lease charges represent the portion of lease and related costs for that portion of the space that is vacant and not being utilized by the Company. The Company was able to turn back to the landlord one of the unused facilities effec</w:t>
      </w:r>
      <w:r>
        <w:rPr>
          <w:sz w:val="20"/>
          <w:szCs w:val="20"/>
        </w:rPr>
        <w:t>tive January 1, 2022.</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82"/>
        <w:gridCol w:w="122"/>
        <w:gridCol w:w="100"/>
        <w:gridCol w:w="371"/>
        <w:gridCol w:w="67"/>
        <w:gridCol w:w="94"/>
        <w:gridCol w:w="100"/>
        <w:gridCol w:w="372"/>
        <w:gridCol w:w="67"/>
        <w:gridCol w:w="96"/>
        <w:gridCol w:w="101"/>
        <w:gridCol w:w="500"/>
        <w:gridCol w:w="100"/>
        <w:gridCol w:w="123"/>
        <w:gridCol w:w="94"/>
        <w:gridCol w:w="469"/>
        <w:gridCol w:w="234"/>
        <w:gridCol w:w="123"/>
        <w:gridCol w:w="100"/>
        <w:gridCol w:w="372"/>
        <w:gridCol w:w="67"/>
        <w:gridCol w:w="96"/>
        <w:gridCol w:w="100"/>
        <w:gridCol w:w="372"/>
        <w:gridCol w:w="67"/>
        <w:gridCol w:w="96"/>
        <w:gridCol w:w="101"/>
        <w:gridCol w:w="500"/>
        <w:gridCol w:w="100"/>
        <w:gridCol w:w="123"/>
        <w:gridCol w:w="94"/>
        <w:gridCol w:w="469"/>
        <w:gridCol w:w="234"/>
      </w:tblGrid>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r>
      <w:tr w:rsidR="00000000">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31"/>
            <w:vAlign w:val="bottom"/>
            <w:hideMark/>
          </w:tcPr>
          <w:p w:rsidR="00000000" w:rsidRDefault="003F57AF">
            <w:pPr>
              <w:jc w:val="center"/>
              <w:rPr>
                <w:rFonts w:eastAsia="Times New Roman"/>
                <w:sz w:val="20"/>
                <w:szCs w:val="20"/>
              </w:rPr>
            </w:pPr>
            <w:r>
              <w:rPr>
                <w:rFonts w:eastAsia="Times New Roman"/>
                <w:sz w:val="20"/>
                <w:szCs w:val="20"/>
              </w:rPr>
              <w:t>($ in thousands)</w:t>
            </w:r>
          </w:p>
        </w:tc>
      </w:tr>
      <w:tr w:rsidR="003F57AF">
        <w:tc>
          <w:tcPr>
            <w:tcW w:w="1400" w:type="pct"/>
            <w:shd w:val="clear" w:color="auto" w:fill="CCEEFF"/>
            <w:vAlign w:val="bottom"/>
            <w:hideMark/>
          </w:tcPr>
          <w:p w:rsidR="00000000" w:rsidRDefault="003F57AF">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250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(303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(274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Other expense - net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(495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(430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(662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(220</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(275</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3F57AF">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(287</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(124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144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(164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(820</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$14,000 and $22,000 for the three and nine months ended September 30, 2022 increased by $10,000 or 250% and $12,000 or 120% from interest income of $4,000 and $10,000 for the three and nine months ended September 30, 2021. The interest i</w:t>
      </w:r>
      <w:r>
        <w:rPr>
          <w:sz w:val="20"/>
          <w:szCs w:val="20"/>
        </w:rPr>
        <w:t>ncome represents interest earned on temporary cash investments.</w:t>
      </w:r>
    </w:p>
    <w:p w:rsidR="00000000" w:rsidRDefault="003F57AF">
      <w:pPr>
        <w:pStyle w:val="a3"/>
        <w:shd w:val="clear" w:color="auto" w:fill="FFFFFF"/>
        <w:spacing w:before="0" w:beforeAutospacing="0" w:after="0" w:afterAutospacing="0"/>
        <w:jc w:val="both"/>
        <w:rPr>
          <w:sz w:val="20"/>
          <w:szCs w:val="20"/>
        </w:rPr>
      </w:pPr>
      <w:r>
        <w:rPr>
          <w:i/>
          <w:iCs/>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$96,000 and $303,000 for the three and nine months ended September 30, 2022 increased by $5,000 or 5% and $29,000 or 11% from interest expense of $91,00</w:t>
      </w:r>
      <w:r>
        <w:rPr>
          <w:sz w:val="20"/>
          <w:szCs w:val="20"/>
        </w:rPr>
        <w:t>0 and $274,000 for the three and nine months ended September 30, 2021. Interest expense includes the amortization of deferred financing costs, which was $92,000 and $107,000 during the nine months ended September 30, 2022 and 2021, respectively.</w:t>
      </w:r>
    </w:p>
    <w:p w:rsidR="00000000" w:rsidRDefault="003F57AF">
      <w:pPr>
        <w:pStyle w:val="a3"/>
        <w:shd w:val="clear" w:color="auto" w:fill="FFFFFF"/>
        <w:spacing w:before="0" w:beforeAutospacing="0" w:after="0" w:afterAutospacing="0"/>
        <w:jc w:val="both"/>
        <w:rPr>
          <w:sz w:val="20"/>
          <w:szCs w:val="20"/>
        </w:rPr>
      </w:pPr>
      <w:r>
        <w:rPr>
          <w:b/>
          <w:bCs/>
          <w:i/>
          <w:iCs/>
          <w:sz w:val="20"/>
          <w:szCs w:val="20"/>
        </w:rPr>
        <w:t> </w:t>
      </w:r>
    </w:p>
    <w:p w:rsidR="00000000" w:rsidRDefault="003F57AF">
      <w:pPr>
        <w:pStyle w:val="a3"/>
        <w:shd w:val="clear" w:color="auto" w:fill="FFFFFF"/>
        <w:spacing w:before="0" w:beforeAutospacing="0" w:after="0" w:afterAutospacing="0"/>
        <w:jc w:val="both"/>
        <w:rPr>
          <w:sz w:val="20"/>
          <w:szCs w:val="20"/>
        </w:rPr>
      </w:pPr>
      <w:r>
        <w:rPr>
          <w:i/>
          <w:iCs/>
          <w:sz w:val="20"/>
          <w:szCs w:val="20"/>
        </w:rPr>
        <w:t>Other Ex</w:t>
      </w:r>
      <w:r>
        <w:rPr>
          <w:i/>
          <w:iCs/>
          <w:sz w:val="20"/>
          <w:szCs w:val="20"/>
        </w:rPr>
        <w:t xml:space="preserve">pense – net. </w:t>
      </w:r>
      <w:r>
        <w:rPr>
          <w:sz w:val="20"/>
          <w:szCs w:val="20"/>
        </w:rPr>
        <w:t>Other expense – net was $495,000 and $300,000 for the three and nine months ended September 30, 2022 compared to other expense – net of $65,000 and $80,000 for the three and nine months ended September 30, 2021. Other expense primarily represe</w:t>
      </w:r>
      <w:r>
        <w:rPr>
          <w:sz w:val="20"/>
          <w:szCs w:val="20"/>
        </w:rPr>
        <w:t>nts foreign currency transaction gains and losses. These transaction gains and losses result from revaluing intercompany accounts whenever the exchange rate varies and are recorded in the consolidated statements of operations.</w:t>
      </w:r>
    </w:p>
    <w:p w:rsidR="00000000" w:rsidRDefault="003F57AF">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3F57AF">
      <w:pPr>
        <w:pStyle w:val="a3"/>
        <w:spacing w:before="0" w:beforeAutospacing="0" w:after="0" w:afterAutospacing="0"/>
        <w:jc w:val="both"/>
        <w:rPr>
          <w:sz w:val="20"/>
          <w:szCs w:val="20"/>
        </w:rPr>
      </w:pPr>
      <w:r>
        <w:rPr>
          <w:i/>
          <w:iCs/>
          <w:sz w:val="20"/>
          <w:szCs w:val="20"/>
        </w:rPr>
        <w:t>Income Tax Provision (Benef</w:t>
      </w:r>
      <w:r>
        <w:rPr>
          <w:i/>
          <w:iCs/>
          <w:sz w:val="20"/>
          <w:szCs w:val="20"/>
        </w:rPr>
        <w:t xml:space="preserve">it). </w:t>
      </w:r>
      <w:r>
        <w:rPr>
          <w:sz w:val="20"/>
          <w:szCs w:val="20"/>
        </w:rPr>
        <w:t>The provision for income taxes was $55,000 and $144,000 for the three and nine months ended September 30, 2022, respectively, compared to the benefit for income taxes of $232,000 and $20,000 for the three and nine months ended September 30, 2021, resp</w:t>
      </w:r>
      <w:r>
        <w:rPr>
          <w:sz w:val="20"/>
          <w:szCs w:val="20"/>
        </w:rPr>
        <w:t>ectively. As a result of the Company having certain net operating losses with an indefinite life under the current federal tax rules, the federal deferred tax liability was offset against the federal net operating loss to the extent allowable in 2022 and 2</w:t>
      </w:r>
      <w:r>
        <w:rPr>
          <w:sz w:val="20"/>
          <w:szCs w:val="20"/>
        </w:rPr>
        <w:t>021. During the quarter ended June 30, 2022, it was determined that for the states that follow the federal rules regarding indefinite life net operating losses, the offset to the state deferred tax liability was $45,000. This amount was recorded during the</w:t>
      </w:r>
      <w:r>
        <w:rPr>
          <w:sz w:val="20"/>
          <w:szCs w:val="20"/>
        </w:rPr>
        <w:t xml:space="preserve"> second quarter of 2022. The current income tax expense for the three and nine months ended September 30, 2022 was approximately $20,000 and $82,000, respectively, and includes state minimum taxes and foreign income taxes. The Company has incurred cumulati</w:t>
      </w:r>
      <w:r>
        <w:rPr>
          <w:sz w:val="20"/>
          <w:szCs w:val="20"/>
        </w:rPr>
        <w:t>ve losses historically and there is uncertainty regarding future U.S. taxable income, which makes realization of a deferred tax losses difficult to support in accordance with ASC 740. Accordingly, a valuation allowance was recorded against all deferred tax</w:t>
      </w:r>
      <w:r>
        <w:rPr>
          <w:sz w:val="20"/>
          <w:szCs w:val="20"/>
        </w:rPr>
        <w:t xml:space="preserve"> assets at September 30, 2022 and December 31, 2021.</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7859776"/>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3F57AF">
      <w:pPr>
        <w:pStyle w:val="a3"/>
        <w:spacing w:before="0" w:beforeAutospacing="0" w:after="0" w:afterAutospacing="0"/>
        <w:divId w:val="1147824526"/>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three and nine months ended September 30, 2022, there was positive cash flow from operations of $7.0 million and $15.1 million and at September 30, 2022, the Company had $4.9 million in cash and restricted cash and positive working capital of $5.1 mill</w:t>
      </w:r>
      <w:r>
        <w:rPr>
          <w:sz w:val="20"/>
          <w:szCs w:val="20"/>
        </w:rPr>
        <w:t xml:space="preserve">ion. The Company has a revolving line of credit with SVB, and, as of September 30, 2022, there was no balance outstanding. </w:t>
      </w:r>
      <w:r>
        <w:rPr>
          <w:color w:val="000000"/>
          <w:sz w:val="20"/>
          <w:szCs w:val="20"/>
        </w:rPr>
        <w:t xml:space="preserve">During the </w:t>
      </w:r>
      <w:r>
        <w:rPr>
          <w:sz w:val="20"/>
          <w:szCs w:val="20"/>
        </w:rPr>
        <w:t xml:space="preserve">nine months ended </w:t>
      </w:r>
      <w:r>
        <w:rPr>
          <w:color w:val="000000"/>
          <w:sz w:val="20"/>
          <w:szCs w:val="20"/>
        </w:rPr>
        <w:t>September 30, 2022, the Company sold</w:t>
      </w:r>
      <w:r>
        <w:rPr>
          <w:sz w:val="20"/>
          <w:szCs w:val="20"/>
        </w:rPr>
        <w:t xml:space="preserve"> 1,299,216 </w:t>
      </w:r>
      <w:r>
        <w:rPr>
          <w:color w:val="000000"/>
          <w:sz w:val="20"/>
          <w:szCs w:val="20"/>
        </w:rPr>
        <w:t xml:space="preserve">shares of 8.75% Series B Preferred Stock and raised </w:t>
      </w:r>
      <w:r>
        <w:rPr>
          <w:sz w:val="20"/>
          <w:szCs w:val="20"/>
        </w:rPr>
        <w:t>$30.3</w:t>
      </w:r>
      <w:r>
        <w:rPr>
          <w:sz w:val="20"/>
          <w:szCs w:val="20"/>
        </w:rPr>
        <w:t xml:space="preserve"> million </w:t>
      </w:r>
      <w:r>
        <w:rPr>
          <w:color w:val="000000"/>
          <w:sz w:val="20"/>
          <w:szCs w:val="20"/>
        </w:rPr>
        <w:t>in net proceeds after fees and expenses.</w:t>
      </w:r>
    </w:p>
    <w:p w:rsidR="00000000" w:rsidRDefault="003F57AF">
      <w:pPr>
        <w:pStyle w:val="a3"/>
        <w:shd w:val="clear" w:color="auto" w:fill="FFFFFF"/>
        <w:spacing w:before="0" w:beforeAutospacing="0" w:after="0" w:afterAutospacing="0"/>
        <w:jc w:val="both"/>
        <w:rPr>
          <w:sz w:val="20"/>
          <w:szCs w:val="20"/>
        </w:rPr>
      </w:pPr>
      <w:r>
        <w:rPr>
          <w:color w:val="000000"/>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98"/>
        <w:gridCol w:w="140"/>
        <w:gridCol w:w="100"/>
        <w:gridCol w:w="555"/>
        <w:gridCol w:w="67"/>
        <w:gridCol w:w="135"/>
        <w:gridCol w:w="100"/>
        <w:gridCol w:w="556"/>
        <w:gridCol w:w="67"/>
        <w:gridCol w:w="136"/>
        <w:gridCol w:w="100"/>
        <w:gridCol w:w="617"/>
        <w:gridCol w:w="67"/>
        <w:gridCol w:w="136"/>
        <w:gridCol w:w="100"/>
        <w:gridCol w:w="617"/>
        <w:gridCol w:w="67"/>
        <w:gridCol w:w="137"/>
        <w:gridCol w:w="100"/>
        <w:gridCol w:w="617"/>
        <w:gridCol w:w="67"/>
        <w:gridCol w:w="137"/>
        <w:gridCol w:w="82"/>
        <w:gridCol w:w="574"/>
        <w:gridCol w:w="234"/>
      </w:tblGrid>
      <w:tr w:rsidR="00000000">
        <w:tc>
          <w:tcPr>
            <w:tcW w:w="0" w:type="auto"/>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Nine Months Ended September 30,</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57AF">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3F57AF">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vAlign w:val="bottom"/>
            <w:hideMark/>
          </w:tcPr>
          <w:p w:rsidR="00000000" w:rsidRDefault="003F57AF">
            <w:pPr>
              <w:jc w:val="center"/>
              <w:rPr>
                <w:rFonts w:eastAsia="Times New Roman"/>
                <w:sz w:val="20"/>
                <w:szCs w:val="20"/>
              </w:rPr>
            </w:pPr>
            <w:r>
              <w:rPr>
                <w:rFonts w:eastAsia="Times New Roman"/>
                <w:sz w:val="20"/>
                <w:szCs w:val="20"/>
              </w:rPr>
              <w:t> </w:t>
            </w:r>
          </w:p>
        </w:tc>
        <w:tc>
          <w:tcPr>
            <w:tcW w:w="0" w:type="auto"/>
            <w:gridSpan w:val="18"/>
            <w:vAlign w:val="bottom"/>
            <w:hideMark/>
          </w:tcPr>
          <w:p w:rsidR="00000000" w:rsidRDefault="003F57AF">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c>
          <w:tcPr>
            <w:tcW w:w="0" w:type="auto"/>
            <w:gridSpan w:val="2"/>
            <w:vAlign w:val="bottom"/>
            <w:hideMark/>
          </w:tcPr>
          <w:p w:rsidR="00000000" w:rsidRDefault="003F57AF">
            <w:pPr>
              <w:jc w:val="both"/>
              <w:rPr>
                <w:rFonts w:eastAsia="Times New Roman"/>
                <w:sz w:val="20"/>
                <w:szCs w:val="20"/>
              </w:rPr>
            </w:pPr>
            <w:r>
              <w:rPr>
                <w:rFonts w:eastAsia="Times New Roman"/>
                <w:sz w:val="20"/>
                <w:szCs w:val="20"/>
              </w:rPr>
              <w:t> </w:t>
            </w:r>
          </w:p>
        </w:tc>
        <w:tc>
          <w:tcPr>
            <w:tcW w:w="0" w:type="auto"/>
            <w:vAlign w:val="bottom"/>
            <w:hideMark/>
          </w:tcPr>
          <w:p w:rsidR="00000000" w:rsidRDefault="003F57AF">
            <w:pPr>
              <w:rPr>
                <w:rFonts w:eastAsia="Times New Roman"/>
                <w:sz w:val="20"/>
                <w:szCs w:val="20"/>
              </w:rPr>
            </w:pPr>
            <w:r>
              <w:rPr>
                <w:rFonts w:eastAsia="Times New Roman"/>
                <w:sz w:val="20"/>
                <w:szCs w:val="20"/>
              </w:rPr>
              <w:t> </w:t>
            </w:r>
          </w:p>
        </w:tc>
      </w:tr>
      <w:tr w:rsidR="00000000">
        <w:tc>
          <w:tcPr>
            <w:tcW w:w="1700" w:type="pct"/>
            <w:shd w:val="clear" w:color="auto" w:fill="CCEEFF"/>
            <w:vAlign w:val="bottom"/>
            <w:hideMark/>
          </w:tcPr>
          <w:p w:rsidR="00000000" w:rsidRDefault="003F57AF">
            <w:pPr>
              <w:jc w:val="both"/>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6,977</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5,129</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15,103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7,210</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7,893</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57AF">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57AF">
            <w:pPr>
              <w:jc w:val="both"/>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(3,496</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(2,852</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(9,123</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(19,851</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10,728</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57AF">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57AF">
            <w:pPr>
              <w:jc w:val="both"/>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(9,047</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(2,319</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(11,144</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1,272</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(12,416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57AF">
            <w:pPr>
              <w:jc w:val="right"/>
              <w:rPr>
                <w:rFonts w:eastAsia="Times New Roman"/>
                <w:sz w:val="20"/>
                <w:szCs w:val="20"/>
              </w:rPr>
            </w:pPr>
            <w:r>
              <w:rPr>
                <w:rFonts w:eastAsia="Times New Roman"/>
                <w:sz w:val="20"/>
                <w:szCs w:val="20"/>
              </w:rPr>
              <w:t>(976</w:t>
            </w:r>
          </w:p>
        </w:tc>
        <w:tc>
          <w:tcPr>
            <w:tcW w:w="0" w:type="auto"/>
            <w:shd w:val="clear" w:color="auto" w:fill="CCEEFF"/>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F57AF">
            <w:pPr>
              <w:jc w:val="both"/>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213</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(147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(309</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(243</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(66</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57AF">
            <w:pPr>
              <w:jc w:val="right"/>
              <w:rPr>
                <w:rFonts w:eastAsia="Times New Roman"/>
                <w:sz w:val="20"/>
                <w:szCs w:val="20"/>
              </w:rPr>
            </w:pPr>
            <w:r>
              <w:rPr>
                <w:rFonts w:eastAsia="Times New Roman"/>
                <w:sz w:val="20"/>
                <w:szCs w:val="20"/>
              </w:rPr>
              <w:t>(27</w:t>
            </w:r>
          </w:p>
        </w:tc>
        <w:tc>
          <w:tcPr>
            <w:tcW w:w="0" w:type="auto"/>
            <w:shd w:val="clear" w:color="auto" w:fill="FFFFFF"/>
            <w:tcMar>
              <w:top w:w="0" w:type="dxa"/>
              <w:left w:w="0" w:type="dxa"/>
              <w:bottom w:w="3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3F57AF">
            <w:pPr>
              <w:jc w:val="both"/>
              <w:rPr>
                <w:rFonts w:eastAsia="Times New Roman"/>
                <w:sz w:val="20"/>
                <w:szCs w:val="20"/>
              </w:rPr>
            </w:pPr>
            <w:r>
              <w:rPr>
                <w:rFonts w:eastAsia="Times New Roman"/>
                <w:sz w:val="20"/>
                <w:szCs w:val="20"/>
              </w:rPr>
              <w:t>Net decrease in cash and restricted cash</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(5,353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(189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(5,473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(11,612</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6,139</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3F57AF">
            <w:pPr>
              <w:jc w:val="right"/>
              <w:rPr>
                <w:rFonts w:eastAsia="Times New Roman"/>
                <w:sz w:val="20"/>
                <w:szCs w:val="20"/>
              </w:rPr>
            </w:pPr>
            <w:r>
              <w:rPr>
                <w:rFonts w:eastAsia="Times New Roman"/>
                <w:sz w:val="20"/>
                <w:szCs w:val="20"/>
              </w:rPr>
              <w:t>53</w:t>
            </w:r>
          </w:p>
        </w:tc>
        <w:tc>
          <w:tcPr>
            <w:tcW w:w="0" w:type="auto"/>
            <w:shd w:val="clear" w:color="auto" w:fill="CCEEFF"/>
            <w:tcMar>
              <w:top w:w="0" w:type="dxa"/>
              <w:left w:w="0" w:type="dxa"/>
              <w:bottom w:w="50" w:type="dxa"/>
              <w:right w:w="0" w:type="dxa"/>
            </w:tcMar>
            <w:vAlign w:val="bottom"/>
            <w:hideMark/>
          </w:tcPr>
          <w:p w:rsidR="00000000" w:rsidRDefault="003F57AF">
            <w:pPr>
              <w:rPr>
                <w:rFonts w:eastAsia="Times New Roman"/>
                <w:sz w:val="20"/>
                <w:szCs w:val="20"/>
              </w:rPr>
            </w:pPr>
            <w:r>
              <w:rPr>
                <w:rFonts w:eastAsia="Times New Roman"/>
                <w:sz w:val="20"/>
                <w:szCs w:val="20"/>
              </w:rPr>
              <w: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Income </w:t>
      </w:r>
      <w:r>
        <w:rPr>
          <w:sz w:val="20"/>
          <w:szCs w:val="20"/>
        </w:rPr>
        <w:t>before income taxes was $1.1 million and $5.1 million for the three and nine months ended September 30, 2022, which included $2.8 million and $8.7 million of non-cash depreciation and amortization, respectively. The income before income taxes was $1.3 mill</w:t>
      </w:r>
      <w:r>
        <w:rPr>
          <w:sz w:val="20"/>
          <w:szCs w:val="20"/>
        </w:rPr>
        <w:t>ion for the three months ended September 30, 2021, and the loss before income taxes was $706,000 for the nine months ended September 30, 2021, which included $3.5 million and $9.5 million of non-cash depreciation and amortization, respectively.</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i/>
          <w:iCs/>
          <w:sz w:val="20"/>
          <w:szCs w:val="20"/>
        </w:rPr>
        <w:t>Operating</w:t>
      </w:r>
      <w:r>
        <w:rPr>
          <w:b/>
          <w:bCs/>
          <w:i/>
          <w:iCs/>
          <w:sz w:val="20"/>
          <w:szCs w:val="20"/>
        </w:rPr>
        <w:t xml:space="preserve"> Activities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Net cash provided by operating activities was $15.1 million and $7.2 million during the nine months ended September 30, 2022 and 2021, respectively. This increase was primarily the result of the increase in net income of $5.6 million which in</w:t>
      </w:r>
      <w:r>
        <w:rPr>
          <w:sz w:val="20"/>
          <w:szCs w:val="20"/>
        </w:rPr>
        <w:t>cluded the following changes in non-cash items: decrease in depreciation and amortization of $733,000, decrease in stock-based compensation of $607,000, and an increase in the change in contingent consideration of $2.9 million.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Accounts receivable decrea</w:t>
      </w:r>
      <w:r>
        <w:rPr>
          <w:sz w:val="20"/>
          <w:szCs w:val="20"/>
        </w:rPr>
        <w:t>sed by $10,000 for the nine months ended September 30, 2022 compared with an increase of $1.4 million for the nine months ended September 30, 2021. Accounts payable, accrued compensation and accrued expenses decreased by $4.3 million during the nine months</w:t>
      </w:r>
      <w:r>
        <w:rPr>
          <w:sz w:val="20"/>
          <w:szCs w:val="20"/>
        </w:rPr>
        <w:t xml:space="preserve"> ended September 30, 2022 compared with a decrease of $7.0 million for the nine months ended September 30, 2021.</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sz w:val="20"/>
          <w:szCs w:val="20"/>
        </w:rPr>
      </w:pPr>
      <w:r>
        <w:rPr>
          <w:b/>
          <w:bCs/>
          <w:i/>
          <w:iCs/>
          <w:sz w:val="20"/>
          <w:szCs w:val="20"/>
        </w:rPr>
        <w:t>Investing Activities</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sz w:val="20"/>
          <w:szCs w:val="20"/>
        </w:rPr>
      </w:pPr>
      <w:r>
        <w:rPr>
          <w:sz w:val="20"/>
          <w:szCs w:val="20"/>
        </w:rPr>
        <w:t xml:space="preserve">Net cash used in investing activities was $9.1 million and $19.9 million for the nine months ended September 30, 2022 </w:t>
      </w:r>
      <w:r>
        <w:rPr>
          <w:sz w:val="20"/>
          <w:szCs w:val="20"/>
        </w:rPr>
        <w:t>and 2021, respectively. In 2021, $12.6 million of the $19.9 million of cash used was used for the acquisition of medSR. Capital expenditures were $2.2 million and $2.0 million for the nine months ended September 30, 2022 and 2021, respectively. The capital</w:t>
      </w:r>
      <w:r>
        <w:rPr>
          <w:sz w:val="20"/>
          <w:szCs w:val="20"/>
        </w:rPr>
        <w:t xml:space="preserve"> expenditures for the nine months ended September 30, 2022 and 2021 primarily represented computer equipment purchased and leasehold improvements for the Pakistan Offices. Software development costs of $7.0 million and $5.3 million for the nine months ende</w:t>
      </w:r>
      <w:r>
        <w:rPr>
          <w:sz w:val="20"/>
          <w:szCs w:val="20"/>
        </w:rPr>
        <w:t>d September 30, 2022 and 2021, respectively, were capitalized in connection with the development of software for providing technology-enabled business solutions.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Net cash used in financing activities was $11.1 million during the ni</w:t>
      </w:r>
      <w:r>
        <w:rPr>
          <w:sz w:val="20"/>
          <w:szCs w:val="20"/>
        </w:rPr>
        <w:t>ne months ended September 30, 2022 and net cash provided by financing activities was $1.3 million during the nine months ended September 30, 2021. The Company received net proceeds from the sale of Series B Preferred Stock of $30.3 million of which $20.0 m</w:t>
      </w:r>
      <w:r>
        <w:rPr>
          <w:sz w:val="20"/>
          <w:szCs w:val="20"/>
        </w:rPr>
        <w:t>illion was used to redeem 800,000 shares of Series A Preferred Stock. Cash used in financing activities during the nine months ended September 30, 2022 included $11.5 million of preferred stock dividends, $769,000 of repayments for debt obligations and $1.</w:t>
      </w:r>
      <w:r>
        <w:rPr>
          <w:sz w:val="20"/>
          <w:szCs w:val="20"/>
        </w:rPr>
        <w:t>1 million of tax withholding obligations paid in connection with stock awards issued to employees. Cash used in financing activities for the nine months ended September 30, 2021 included $10.8 million of preferred stock dividends, $745,000 of repayment for</w:t>
      </w:r>
      <w:r>
        <w:rPr>
          <w:sz w:val="20"/>
          <w:szCs w:val="20"/>
        </w:rPr>
        <w:t xml:space="preserve"> debt obligations and $2.1 million of tax withholding obligations paid in connection with stock awards issued to employees.</w:t>
      </w:r>
    </w:p>
    <w:p w:rsidR="00000000" w:rsidRDefault="003F57AF">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0571556"/>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3F57AF">
      <w:pPr>
        <w:pStyle w:val="a3"/>
        <w:spacing w:before="0" w:beforeAutospacing="0" w:after="0" w:afterAutospacing="0"/>
        <w:divId w:val="2087140741"/>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Contractual Obligations and Commitments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We </w:t>
      </w:r>
      <w:r>
        <w:rPr>
          <w:sz w:val="20"/>
          <w:szCs w:val="20"/>
        </w:rPr>
        <w:t>have contractual obligations under our line of credit. We were in compliance with all SVB covenants as of September 30, 2022. We also maintain operating leases for property and certain office equipment. For additional information, see Contractual Obligatio</w:t>
      </w:r>
      <w:r>
        <w:rPr>
          <w:sz w:val="20"/>
          <w:szCs w:val="20"/>
        </w:rPr>
        <w:t>ns and Commitments under Item 7, “Management’s Discussion and Analysis of Financial Condition and Results of Operations,” in the Company’s Annual Report on Form 10-K for the year ended December 31, 2021, filed with the SEC on March 14, 2022.</w:t>
      </w:r>
    </w:p>
    <w:p w:rsidR="00000000" w:rsidRDefault="003F57AF">
      <w:pPr>
        <w:pStyle w:val="a3"/>
        <w:shd w:val="clear" w:color="auto" w:fill="FFFFFF"/>
        <w:spacing w:before="0" w:beforeAutospacing="0" w:after="0" w:afterAutospacing="0"/>
        <w:jc w:val="both"/>
        <w:rPr>
          <w:sz w:val="20"/>
          <w:szCs w:val="20"/>
        </w:rPr>
      </w:pPr>
      <w:r>
        <w:rPr>
          <w:b/>
          <w:bCs/>
          <w:sz w:val="20"/>
          <w:szCs w:val="20"/>
        </w:rPr>
        <w:t> </w:t>
      </w:r>
    </w:p>
    <w:p w:rsidR="00000000" w:rsidRDefault="003F57AF">
      <w:pPr>
        <w:pStyle w:val="a3"/>
        <w:shd w:val="clear" w:color="auto" w:fill="FFFFFF"/>
        <w:spacing w:before="0" w:beforeAutospacing="0" w:after="0" w:afterAutospacing="0"/>
        <w:jc w:val="both"/>
        <w:rPr>
          <w:sz w:val="20"/>
          <w:szCs w:val="20"/>
        </w:rPr>
      </w:pPr>
      <w:r>
        <w:rPr>
          <w:b/>
          <w:bCs/>
          <w:sz w:val="20"/>
          <w:szCs w:val="20"/>
        </w:rPr>
        <w:t xml:space="preserve">Off-Balance </w:t>
      </w:r>
      <w:r>
        <w:rPr>
          <w:b/>
          <w:bCs/>
          <w:sz w:val="20"/>
          <w:szCs w:val="20"/>
        </w:rPr>
        <w:t>Sheet Arrangements</w:t>
      </w:r>
    </w:p>
    <w:p w:rsidR="00000000" w:rsidRDefault="003F57AF">
      <w:pPr>
        <w:pStyle w:val="a3"/>
        <w:shd w:val="clear" w:color="auto" w:fill="FFFFFF"/>
        <w:spacing w:before="0" w:beforeAutospacing="0" w:after="0" w:afterAutospacing="0"/>
        <w:ind w:firstLine="540"/>
        <w:jc w:val="both"/>
        <w:rPr>
          <w:sz w:val="20"/>
          <w:szCs w:val="20"/>
        </w:rPr>
      </w:pPr>
      <w:r>
        <w:rPr>
          <w:sz w:val="20"/>
          <w:szCs w:val="20"/>
        </w:rPr>
        <w:t> </w:t>
      </w:r>
    </w:p>
    <w:p w:rsidR="00000000" w:rsidRDefault="003F57AF">
      <w:pPr>
        <w:pStyle w:val="a3"/>
        <w:shd w:val="clear" w:color="auto" w:fill="FFFFFF"/>
        <w:spacing w:before="0" w:beforeAutospacing="0" w:after="0" w:afterAutospacing="0"/>
        <w:jc w:val="both"/>
        <w:rPr>
          <w:sz w:val="20"/>
          <w:szCs w:val="20"/>
        </w:rPr>
      </w:pPr>
      <w:r>
        <w:rPr>
          <w:sz w:val="20"/>
          <w:szCs w:val="20"/>
        </w:rPr>
        <w:t>As of September 30, 2022, and 2021, we did not have any relationships with unconsolidated entities or financial partnerships, such as entities often referred to as structured finance or special-purpose entities, which would have been e</w:t>
      </w:r>
      <w:r>
        <w:rPr>
          <w:sz w:val="20"/>
          <w:szCs w:val="20"/>
        </w:rPr>
        <w:t>stablished for the purpose of facilitating off-balance sheet arrangements or other contractually narrow or limited purposes. During the first quarter of 2020, a New Jersey corporation, talkMD Clinicians, PA (“talkMD”), was formed by the wife of the Executi</w:t>
      </w:r>
      <w:r>
        <w:rPr>
          <w:sz w:val="20"/>
          <w:szCs w:val="20"/>
        </w:rPr>
        <w:t>ve Chairman, who is a licensed physician, to provide telehealth services. talkMD was determined to be a variable interest entity (“VIE”) for financial reporting purposes because the entity will be controlled by the Company. As of September 30, 2022, talkMD</w:t>
      </w:r>
      <w:r>
        <w:rPr>
          <w:sz w:val="20"/>
          <w:szCs w:val="20"/>
        </w:rPr>
        <w:t xml:space="preserve"> had not yet commenced operations.</w:t>
      </w:r>
    </w:p>
    <w:p w:rsidR="00000000" w:rsidRDefault="003F57AF">
      <w:pPr>
        <w:pStyle w:val="a3"/>
        <w:shd w:val="clear" w:color="auto" w:fill="FFFFFF"/>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1440" w:hanging="1440"/>
        <w:jc w:val="both"/>
        <w:rPr>
          <w:b/>
          <w:bCs/>
          <w:sz w:val="20"/>
          <w:szCs w:val="20"/>
        </w:rPr>
      </w:pPr>
      <w:r>
        <w:rPr>
          <w:b/>
          <w:bCs/>
          <w:i/>
          <w:iCs/>
          <w:sz w:val="20"/>
          <w:szCs w:val="20"/>
        </w:rPr>
        <w:t>Item 3. Quantitative and Qualitative Disclosures about Market Risk</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We are a smaller reporting company as defined by 17 C.F.R. 229.10(f)(1) and are not required to provide information under this item, pursuant to Item </w:t>
      </w:r>
      <w:r>
        <w:rPr>
          <w:sz w:val="20"/>
          <w:szCs w:val="20"/>
        </w:rPr>
        <w:t>305(e) of Regulation S-K.</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ind w:left="1440" w:hanging="1440"/>
        <w:jc w:val="both"/>
        <w:rPr>
          <w:b/>
          <w:bCs/>
          <w:sz w:val="20"/>
          <w:szCs w:val="20"/>
        </w:rPr>
      </w:pPr>
      <w:r>
        <w:rPr>
          <w:b/>
          <w:bCs/>
          <w:i/>
          <w:iCs/>
          <w:sz w:val="20"/>
          <w:szCs w:val="20"/>
        </w:rPr>
        <w:t>Item 4. Controls and Procedures</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sz w:val="20"/>
          <w:szCs w:val="20"/>
        </w:rPr>
      </w:pPr>
      <w:r>
        <w:rPr>
          <w:i/>
          <w:iCs/>
          <w:sz w:val="20"/>
          <w:szCs w:val="20"/>
        </w:rPr>
        <w:t>Evaluation of Disclosure Controls and Procedures</w:t>
      </w:r>
    </w:p>
    <w:p w:rsidR="00000000" w:rsidRDefault="003F57AF">
      <w:pPr>
        <w:pStyle w:val="a3"/>
        <w:spacing w:before="0" w:beforeAutospacing="0" w:after="0" w:afterAutospacing="0"/>
        <w:jc w:val="both"/>
        <w:rPr>
          <w:sz w:val="20"/>
          <w:szCs w:val="20"/>
        </w:rPr>
      </w:pPr>
      <w:r>
        <w:rPr>
          <w:sz w:val="20"/>
          <w:szCs w:val="20"/>
        </w:rPr>
        <w:t xml:space="preserve">Our </w:t>
      </w:r>
      <w:r>
        <w:rPr>
          <w:sz w:val="20"/>
          <w:szCs w:val="20"/>
        </w:rPr>
        <w:t>management, with the participation of our Chief Executive Officer and Chief Financial Officer, based on the 2013 framework and criteria established by the Committee of Sponsoring Organizations of the Treadway Commission (“COSO”), evaluated the effectivenes</w:t>
      </w:r>
      <w:r>
        <w:rPr>
          <w:sz w:val="20"/>
          <w:szCs w:val="20"/>
        </w:rPr>
        <w:t xml:space="preserve">s of our disclosure controls and procedures as of September 30, 2022 as required by Rules 13a-15(b) and 15d-15(b) of the Exchange Act. The term “disclosure controls and procedures,” as defined in Rules 13a-15(e) and 15d-15(e) under the Exchange Act, means </w:t>
      </w:r>
      <w:r>
        <w:rPr>
          <w:sz w:val="20"/>
          <w:szCs w:val="20"/>
        </w:rPr>
        <w:t>controls and other procedures of a company that are designed to ensure that information required to be disclosed by a company in the reports that it files or submits under the Exchange Act is recorded, processed, summarized and reported, within the time pe</w:t>
      </w:r>
      <w:r>
        <w:rPr>
          <w:sz w:val="20"/>
          <w:szCs w:val="20"/>
        </w:rPr>
        <w:t>riods specified in the SEC’s rules and forms.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Disclosure controls and procedures include, without limitation, controls and procedures designed to ensure that information required to be disclosed by a company in the reports that it files or submits under </w:t>
      </w:r>
      <w:r>
        <w:rPr>
          <w:sz w:val="20"/>
          <w:szCs w:val="20"/>
        </w:rPr>
        <w:t>the Exchange Act is accumulated and communicated to the company’s management, including its principal executive and principal financial officer, to allow timely decisions regarding required disclosure. Management recognizes that any controls and procedures</w:t>
      </w:r>
      <w:r>
        <w:rPr>
          <w:sz w:val="20"/>
          <w:szCs w:val="20"/>
        </w:rPr>
        <w:t>, no matter how well designed and operated, can provide only reasonable assurance of achieving their objectives and management necessarily applies its judgment in evaluating the cost-benefit relationship of possible controls and procedures.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Based on the </w:t>
      </w:r>
      <w:r>
        <w:rPr>
          <w:sz w:val="20"/>
          <w:szCs w:val="20"/>
        </w:rPr>
        <w:t>evaluation of our disclosure controls and procedures, as of September 30, 2022, our Chief Executive Officer and Chief Financial Officer concluded that, as of such date, our disclosure controls and procedures were effective.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i/>
          <w:iCs/>
          <w:sz w:val="20"/>
          <w:szCs w:val="20"/>
        </w:rPr>
        <w:t>Changes in Internal Control Ov</w:t>
      </w:r>
      <w:r>
        <w:rPr>
          <w:i/>
          <w:iCs/>
          <w:sz w:val="20"/>
          <w:szCs w:val="20"/>
        </w:rPr>
        <w:t>er Financial Reporting</w:t>
      </w:r>
    </w:p>
    <w:p w:rsidR="00000000" w:rsidRDefault="003F57AF">
      <w:pPr>
        <w:pStyle w:val="a3"/>
        <w:spacing w:before="0" w:beforeAutospacing="0" w:after="0" w:afterAutospacing="0"/>
        <w:jc w:val="both"/>
        <w:rPr>
          <w:sz w:val="20"/>
          <w:szCs w:val="20"/>
        </w:rPr>
      </w:pPr>
      <w:r>
        <w:rPr>
          <w:sz w:val="20"/>
          <w:szCs w:val="20"/>
        </w:rPr>
        <w:t>There were no changes in our internal control over financial reporting (as defined in Rules 13a-15(f) and l5d-15(f) of the Exchange Act) that occurred during our most recent fiscal quarter that have materially affected, or are reason</w:t>
      </w:r>
      <w:r>
        <w:rPr>
          <w:sz w:val="20"/>
          <w:szCs w:val="20"/>
        </w:rPr>
        <w:t>ably likely to materially affect, our internal control over financial reporting.</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7971212"/>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3F57AF">
      <w:pPr>
        <w:pStyle w:val="a3"/>
        <w:spacing w:before="0" w:beforeAutospacing="0" w:after="0" w:afterAutospacing="0"/>
        <w:divId w:val="2017226653"/>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center"/>
        <w:rPr>
          <w:sz w:val="20"/>
          <w:szCs w:val="20"/>
        </w:rPr>
      </w:pPr>
      <w:r>
        <w:rPr>
          <w:b/>
          <w:bCs/>
          <w:sz w:val="20"/>
          <w:szCs w:val="20"/>
        </w:rPr>
        <w:t>Part II. Other Information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1. Legal Proceedings</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sz w:val="20"/>
          <w:szCs w:val="20"/>
        </w:rPr>
      </w:pPr>
      <w:r>
        <w:rPr>
          <w:sz w:val="20"/>
          <w:szCs w:val="20"/>
        </w:rPr>
        <w:t>See discussion of legal proceedings in “</w:t>
      </w:r>
      <w:r>
        <w:rPr>
          <w:sz w:val="20"/>
          <w:szCs w:val="20"/>
        </w:rPr>
        <w:t>Note 8, Commitments And Contingencies” of the Notes to Consolidated Financial Statements in this Quarterly Report, which is incorporated by reference herein.</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1A. Risk Factors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In addition to the other information set forth in this Quarterly Report </w:t>
      </w:r>
      <w:r>
        <w:rPr>
          <w:sz w:val="20"/>
          <w:szCs w:val="20"/>
        </w:rPr>
        <w:t>on Form 10-Q, you should carefully consider the factors discussed in Part I—Item 1A. “Risk Factors” in our Annual Report on Form 10-K, filed with the SEC on March 14, 2022, which could materially affect our business, financial condition and/or future resul</w:t>
      </w:r>
      <w:r>
        <w:rPr>
          <w:sz w:val="20"/>
          <w:szCs w:val="20"/>
        </w:rPr>
        <w:t xml:space="preserve">ts and may be further impacted by the coronavirus pandemic. The risks described in our Annual Report on Form 10-K are not the only risks facing us. Additional risks and uncertainties not currently known to us or that we currently deem to be immaterial may </w:t>
      </w:r>
      <w:r>
        <w:rPr>
          <w:sz w:val="20"/>
          <w:szCs w:val="20"/>
        </w:rPr>
        <w:t>also materially adversely affect our business, financial condition, cash flows and/or future results.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2. Unregistered Sales of Equity Securities and Use of Proceeds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Not applicable.</w:t>
      </w:r>
    </w:p>
    <w:p w:rsidR="00000000" w:rsidRDefault="003F57AF">
      <w:pPr>
        <w:pStyle w:val="a3"/>
        <w:spacing w:before="0" w:beforeAutospacing="0" w:after="0" w:afterAutospacing="0"/>
        <w:jc w:val="both"/>
        <w:rPr>
          <w:sz w:val="20"/>
          <w:szCs w:val="20"/>
        </w:rPr>
      </w:pPr>
      <w:r>
        <w:rPr>
          <w:i/>
          <w:iCs/>
          <w:sz w:val="20"/>
          <w:szCs w:val="20"/>
        </w:rPr>
        <w:t> </w:t>
      </w:r>
    </w:p>
    <w:p w:rsidR="00000000" w:rsidRDefault="003F57AF">
      <w:pPr>
        <w:pStyle w:val="a3"/>
        <w:spacing w:before="0" w:beforeAutospacing="0" w:after="0" w:afterAutospacing="0"/>
        <w:jc w:val="both"/>
        <w:rPr>
          <w:sz w:val="20"/>
          <w:szCs w:val="20"/>
        </w:rPr>
      </w:pPr>
      <w:r>
        <w:rPr>
          <w:b/>
          <w:bCs/>
          <w:i/>
          <w:iCs/>
          <w:sz w:val="20"/>
          <w:szCs w:val="20"/>
        </w:rPr>
        <w:t xml:space="preserve">Item </w:t>
      </w:r>
      <w:r>
        <w:rPr>
          <w:b/>
          <w:bCs/>
          <w:i/>
          <w:iCs/>
          <w:sz w:val="20"/>
          <w:szCs w:val="20"/>
        </w:rPr>
        <w:t>3. Defaults Upon Senior Securities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Not applicable.</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4. Mine Safety Disclosures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Not applicable.</w:t>
      </w:r>
    </w:p>
    <w:p w:rsidR="00000000" w:rsidRDefault="003F57AF">
      <w:pPr>
        <w:pStyle w:val="a3"/>
        <w:spacing w:before="0" w:beforeAutospacing="0" w:after="0" w:afterAutospacing="0"/>
        <w:jc w:val="both"/>
        <w:rPr>
          <w:sz w:val="20"/>
          <w:szCs w:val="20"/>
        </w:rPr>
      </w:pPr>
      <w:r>
        <w:rPr>
          <w:b/>
          <w:bCs/>
          <w:i/>
          <w:iCs/>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5. Other Information</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Not applicable.</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b/>
          <w:bCs/>
          <w:sz w:val="20"/>
          <w:szCs w:val="20"/>
        </w:rPr>
      </w:pPr>
      <w:r>
        <w:rPr>
          <w:b/>
          <w:bCs/>
          <w:i/>
          <w:iCs/>
          <w:sz w:val="20"/>
          <w:szCs w:val="20"/>
        </w:rPr>
        <w:t>Item 6. Exhibits</w:t>
      </w:r>
    </w:p>
    <w:p w:rsidR="00000000" w:rsidRDefault="003F57AF">
      <w:pPr>
        <w:pStyle w:val="a3"/>
        <w:spacing w:before="0" w:beforeAutospacing="0" w:after="0" w:afterAutospacing="0"/>
        <w:jc w:val="both"/>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tc>
          <w:tcPr>
            <w:tcW w:w="1440" w:type="dxa"/>
            <w:tcBorders>
              <w:bottom w:val="single" w:sz="12" w:space="0" w:color="000000"/>
            </w:tcBorders>
            <w:hideMark/>
          </w:tcPr>
          <w:p w:rsidR="00000000" w:rsidRDefault="003F57AF">
            <w:pPr>
              <w:jc w:val="both"/>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3F57AF">
            <w:pPr>
              <w:jc w:val="both"/>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F57AF">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31.1</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hyperlink r:id="rId5" w:history="1">
              <w:r>
                <w:rPr>
                  <w:rStyle w:val="a4"/>
                  <w:rFonts w:eastAsia="Times New Roman"/>
                  <w:sz w:val="20"/>
                  <w:szCs w:val="20"/>
                </w:rPr>
                <w:t>Certification of the Company’s Chief Executive Officer pursuant to Rules 13a-14(a)/15d-14(a), of the Securities Exchange Act of 1934, as amended.</w:t>
              </w:r>
            </w:hyperlink>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31.2</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hyperlink r:id="rId6" w:history="1">
              <w:r>
                <w:rPr>
                  <w:rStyle w:val="a4"/>
                  <w:rFonts w:eastAsia="Times New Roman"/>
                  <w:sz w:val="20"/>
                  <w:szCs w:val="20"/>
                </w:rPr>
                <w:t>Certification of the Company’s Chief Financial Officer pursuant to Rules 13a-14(a)/15d-14(a), of the Securities Exchange Act of 1934, as amended.</w:t>
              </w:r>
            </w:hyperlink>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p>
        </w:tc>
      </w:tr>
      <w:tr w:rsidR="00000000">
        <w:tc>
          <w:tcPr>
            <w:tcW w:w="0" w:type="auto"/>
            <w:hideMark/>
          </w:tcPr>
          <w:p w:rsidR="00000000" w:rsidRDefault="003F57AF">
            <w:pPr>
              <w:jc w:val="both"/>
              <w:rPr>
                <w:rFonts w:eastAsia="Times New Roman"/>
                <w:sz w:val="20"/>
                <w:szCs w:val="20"/>
              </w:rPr>
            </w:pPr>
            <w:r>
              <w:rPr>
                <w:rFonts w:eastAsia="Times New Roman"/>
                <w:sz w:val="20"/>
                <w:szCs w:val="20"/>
              </w:rPr>
              <w:t>32.1*</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hyperlink r:id="rId7" w:history="1">
              <w:r>
                <w:rPr>
                  <w:rStyle w:val="a4"/>
                  <w:rFonts w:eastAsia="Times New Roman"/>
                  <w:sz w:val="20"/>
                  <w:szCs w:val="20"/>
                </w:rPr>
                <w:t>Certification of the Company’s Chief Executive Officer pursuant to 1</w:t>
              </w:r>
              <w:r>
                <w:rPr>
                  <w:rStyle w:val="a4"/>
                  <w:rFonts w:eastAsia="Times New Roman"/>
                  <w:sz w:val="20"/>
                  <w:szCs w:val="20"/>
                </w:rPr>
                <w:t>8 U.S.C. Section 1350, as adopted pursuant to Section 906 of the Sarbanes-Oxley Act of 2002.</w:t>
              </w:r>
            </w:hyperlink>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32.2*</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hyperlink r:id="rId8" w:history="1">
              <w:r>
                <w:rPr>
                  <w:rStyle w:val="a4"/>
                  <w:rFonts w:eastAsia="Times New Roman"/>
                  <w:sz w:val="20"/>
                  <w:szCs w:val="20"/>
                </w:rPr>
                <w:t>Certification of the Company’s Chief Financial Officer pursuant to 18 U.S.C. Section 1350, as adopted pursuant to Sectio</w:t>
              </w:r>
              <w:r>
                <w:rPr>
                  <w:rStyle w:val="a4"/>
                  <w:rFonts w:eastAsia="Times New Roman"/>
                  <w:sz w:val="20"/>
                  <w:szCs w:val="20"/>
                </w:rPr>
                <w:t>n 906 of the Sarbanes-Oxley Act of 2002.</w:t>
              </w:r>
            </w:hyperlink>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101.INS</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XBRL Instance</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101.SCH</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101.CAL</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XBRL Taxonomy Extension Calculation Linkbase</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101.LAB</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Label Linkbase</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101.PRE</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pStyle w:val="a3"/>
              <w:spacing w:before="0" w:beforeAutospacing="0" w:after="0" w:afterAutospacing="0"/>
              <w:jc w:val="both"/>
              <w:rPr>
                <w:sz w:val="20"/>
                <w:szCs w:val="20"/>
              </w:rPr>
            </w:pPr>
            <w:r>
              <w:rPr>
                <w:sz w:val="20"/>
                <w:szCs w:val="20"/>
              </w:rPr>
              <w:t>101.DEF</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pStyle w:val="a3"/>
              <w:spacing w:before="0" w:beforeAutospacing="0" w:after="0" w:afterAutospacing="0"/>
              <w:jc w:val="both"/>
              <w:rPr>
                <w:sz w:val="20"/>
                <w:szCs w:val="20"/>
              </w:rPr>
            </w:pPr>
            <w:r>
              <w:rPr>
                <w:sz w:val="20"/>
                <w:szCs w:val="20"/>
              </w:rPr>
              <w:t>XBRL Taxonomy Extension Definition Linkbase</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104</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xml:space="preserve">Cover </w:t>
            </w:r>
            <w:r>
              <w:rPr>
                <w:rFonts w:eastAsia="Times New Roman"/>
                <w:sz w:val="20"/>
                <w:szCs w:val="20"/>
              </w:rPr>
              <w:t>Page Interactive Data File (embedded within the Inline XBRL document)</w:t>
            </w:r>
          </w:p>
        </w:tc>
      </w:tr>
    </w:tbl>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  *The certifications on Exhibit 32 hereto are not deemed “filed” for purposes of Section 18 of the Securities Exchange Act </w:t>
      </w:r>
      <w:r>
        <w:rPr>
          <w:sz w:val="20"/>
          <w:szCs w:val="20"/>
        </w:rPr>
        <w:t xml:space="preserve">of 1934, as amended, or otherwise subject to the liability of that Section. Such certifications will not be deemed incorporated by reference into any filing under the Securities Act or the Exchange Act. </w:t>
      </w:r>
    </w:p>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26773268"/>
        </w:trPr>
        <w:tc>
          <w:tcPr>
            <w:tcW w:w="5000" w:type="pct"/>
            <w:hideMark/>
          </w:tcPr>
          <w:p w:rsidR="00000000" w:rsidRDefault="003F57AF">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3F57AF">
      <w:pPr>
        <w:pStyle w:val="a3"/>
        <w:spacing w:before="0" w:beforeAutospacing="0" w:after="0" w:afterAutospacing="0"/>
        <w:divId w:val="1968317377"/>
        <w:rPr>
          <w:sz w:val="20"/>
          <w:szCs w:val="20"/>
        </w:rPr>
      </w:pPr>
      <w:r>
        <w:rPr>
          <w:sz w:val="20"/>
          <w:szCs w:val="20"/>
        </w:rPr>
        <w:t> </w:t>
      </w:r>
    </w:p>
    <w:p w:rsidR="00000000" w:rsidRDefault="003F57AF">
      <w:pPr>
        <w:pStyle w:val="a3"/>
        <w:spacing w:before="0" w:beforeAutospacing="0" w:after="0" w:afterAutospacing="0"/>
        <w:jc w:val="both"/>
        <w:rPr>
          <w:sz w:val="20"/>
          <w:szCs w:val="20"/>
        </w:rPr>
      </w:pPr>
      <w:r>
        <w:rPr>
          <w:b/>
          <w:bCs/>
          <w:sz w:val="20"/>
          <w:szCs w:val="20"/>
        </w:rPr>
        <w:t> </w:t>
      </w:r>
    </w:p>
    <w:p w:rsidR="00000000" w:rsidRDefault="003F57AF">
      <w:pPr>
        <w:pStyle w:val="a3"/>
        <w:spacing w:before="0" w:beforeAutospacing="0" w:after="0" w:afterAutospacing="0"/>
        <w:jc w:val="center"/>
        <w:rPr>
          <w:b/>
          <w:bCs/>
          <w:sz w:val="20"/>
          <w:szCs w:val="20"/>
        </w:rPr>
      </w:pPr>
      <w:r>
        <w:rPr>
          <w:b/>
          <w:bCs/>
          <w:sz w:val="20"/>
          <w:szCs w:val="20"/>
        </w:rPr>
        <w:t>Signatures</w:t>
      </w:r>
    </w:p>
    <w:p w:rsidR="00000000" w:rsidRDefault="003F57AF">
      <w:pPr>
        <w:pStyle w:val="a3"/>
        <w:spacing w:before="0" w:beforeAutospacing="0" w:after="0" w:afterAutospacing="0"/>
        <w:jc w:val="both"/>
        <w:rPr>
          <w:sz w:val="20"/>
          <w:szCs w:val="20"/>
        </w:rPr>
      </w:pPr>
      <w:r>
        <w:rPr>
          <w:sz w:val="20"/>
          <w:szCs w:val="20"/>
        </w:rPr>
        <w:t> </w:t>
      </w:r>
    </w:p>
    <w:p w:rsidR="00000000" w:rsidRDefault="003F57AF">
      <w:pPr>
        <w:pStyle w:val="a3"/>
        <w:spacing w:before="0" w:beforeAutospacing="0" w:after="0" w:afterAutospacing="0"/>
        <w:jc w:val="both"/>
        <w:rPr>
          <w:sz w:val="20"/>
          <w:szCs w:val="20"/>
        </w:rPr>
      </w:pPr>
      <w:r>
        <w:rPr>
          <w:sz w:val="20"/>
          <w:szCs w:val="20"/>
        </w:rPr>
        <w:t xml:space="preserve">Pursuant to the requirements </w:t>
      </w:r>
      <w:r>
        <w:rPr>
          <w:sz w:val="20"/>
          <w:szCs w:val="20"/>
        </w:rPr>
        <w:t>of the Securities Exchange Act of 1934, the Registrant has duly caused this report to be signed on its behalf by the undersigned thereunto duly authorized.</w:t>
      </w:r>
    </w:p>
    <w:p w:rsidR="00000000" w:rsidRDefault="003F57AF">
      <w:pPr>
        <w:pStyle w:val="a3"/>
        <w:spacing w:before="0" w:beforeAutospacing="0" w:after="0" w:afterAutospacing="0"/>
        <w:ind w:firstLine="504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3F57AF">
            <w:pPr>
              <w:rPr>
                <w:sz w:val="20"/>
                <w:szCs w:val="20"/>
              </w:rPr>
            </w:pPr>
          </w:p>
        </w:tc>
        <w:tc>
          <w:tcPr>
            <w:tcW w:w="0" w:type="auto"/>
            <w:gridSpan w:val="2"/>
            <w:hideMark/>
          </w:tcPr>
          <w:p w:rsidR="00000000" w:rsidRDefault="003F57AF">
            <w:pPr>
              <w:jc w:val="both"/>
              <w:rPr>
                <w:rFonts w:eastAsia="Times New Roman"/>
                <w:sz w:val="20"/>
                <w:szCs w:val="20"/>
              </w:rPr>
            </w:pPr>
            <w:r>
              <w:rPr>
                <w:rFonts w:eastAsia="Times New Roman"/>
                <w:b/>
                <w:bCs/>
                <w:sz w:val="20"/>
                <w:szCs w:val="20"/>
              </w:rPr>
              <w:t>CareCloud, Inc.</w:t>
            </w:r>
          </w:p>
        </w:tc>
      </w:tr>
      <w:tr w:rsidR="00000000">
        <w:tc>
          <w:tcPr>
            <w:tcW w:w="2500" w:type="pct"/>
            <w:hideMark/>
          </w:tcPr>
          <w:p w:rsidR="00000000" w:rsidRDefault="003F57AF">
            <w:pPr>
              <w:jc w:val="both"/>
              <w:rPr>
                <w:rFonts w:eastAsia="Times New Roman"/>
                <w:sz w:val="20"/>
                <w:szCs w:val="20"/>
              </w:rPr>
            </w:pPr>
            <w:r>
              <w:rPr>
                <w:rFonts w:eastAsia="Times New Roman"/>
                <w:sz w:val="20"/>
                <w:szCs w:val="20"/>
              </w:rPr>
              <w:t> </w:t>
            </w:r>
          </w:p>
        </w:tc>
        <w:tc>
          <w:tcPr>
            <w:tcW w:w="150" w:type="pct"/>
            <w:hideMark/>
          </w:tcPr>
          <w:p w:rsidR="00000000" w:rsidRDefault="003F57AF">
            <w:pPr>
              <w:jc w:val="both"/>
              <w:rPr>
                <w:rFonts w:eastAsia="Times New Roman"/>
                <w:sz w:val="20"/>
                <w:szCs w:val="20"/>
              </w:rPr>
            </w:pPr>
            <w:r>
              <w:rPr>
                <w:rFonts w:eastAsia="Times New Roman"/>
                <w:sz w:val="20"/>
                <w:szCs w:val="20"/>
              </w:rPr>
              <w:t> </w:t>
            </w:r>
          </w:p>
        </w:tc>
        <w:tc>
          <w:tcPr>
            <w:tcW w:w="2350" w:type="pct"/>
            <w:hideMark/>
          </w:tcPr>
          <w:p w:rsidR="00000000" w:rsidRDefault="003F57AF">
            <w:pPr>
              <w:jc w:val="both"/>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3F57AF">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3F57AF">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3F57AF">
            <w:pPr>
              <w:jc w:val="both"/>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A. Hadi Chaudhry</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xml:space="preserve">Chief </w:t>
            </w:r>
            <w:r>
              <w:rPr>
                <w:rFonts w:eastAsia="Times New Roman"/>
                <w:sz w:val="20"/>
                <w:szCs w:val="20"/>
              </w:rPr>
              <w:t>Executive Officer</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Date: November 3, 2022</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p>
        </w:tc>
      </w:tr>
      <w:tr w:rsidR="00000000">
        <w:tc>
          <w:tcPr>
            <w:tcW w:w="0" w:type="auto"/>
            <w:tcMar>
              <w:top w:w="0" w:type="dxa"/>
              <w:left w:w="0" w:type="dxa"/>
              <w:bottom w:w="30" w:type="dxa"/>
              <w:right w:w="0" w:type="dxa"/>
            </w:tcMar>
            <w:hideMark/>
          </w:tcPr>
          <w:p w:rsidR="00000000" w:rsidRDefault="003F57AF">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3F57AF">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3F57AF">
            <w:pPr>
              <w:jc w:val="both"/>
              <w:rPr>
                <w:rFonts w:eastAsia="Times New Roman"/>
                <w:sz w:val="20"/>
                <w:szCs w:val="20"/>
              </w:rPr>
            </w:pPr>
            <w:r>
              <w:rPr>
                <w:rFonts w:eastAsia="Times New Roman"/>
                <w:i/>
                <w:iCs/>
                <w:sz w:val="20"/>
                <w:szCs w:val="20"/>
              </w:rPr>
              <w:t>/s/ Bill Korn</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Bill Korn</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 </w:t>
            </w:r>
          </w:p>
        </w:tc>
        <w:tc>
          <w:tcPr>
            <w:tcW w:w="0" w:type="auto"/>
            <w:hideMark/>
          </w:tcPr>
          <w:p w:rsidR="00000000" w:rsidRDefault="003F57AF">
            <w:pPr>
              <w:jc w:val="both"/>
              <w:rPr>
                <w:rFonts w:eastAsia="Times New Roman"/>
                <w:sz w:val="20"/>
                <w:szCs w:val="20"/>
              </w:rPr>
            </w:pPr>
            <w:r>
              <w:rPr>
                <w:rFonts w:eastAsia="Times New Roman"/>
                <w:sz w:val="20"/>
                <w:szCs w:val="20"/>
              </w:rPr>
              <w:t>Date: November 3, 2022</w:t>
            </w:r>
          </w:p>
        </w:tc>
      </w:tr>
    </w:tbl>
    <w:p w:rsidR="00000000" w:rsidRDefault="003F57AF">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8493839"/>
        </w:trPr>
        <w:tc>
          <w:tcPr>
            <w:tcW w:w="5000" w:type="pct"/>
            <w:hideMark/>
          </w:tcPr>
          <w:p w:rsidR="00000000" w:rsidRDefault="003F57AF">
            <w:pPr>
              <w:jc w:val="center"/>
              <w:rPr>
                <w:rFonts w:eastAsia="Times New Roman"/>
                <w:sz w:val="20"/>
                <w:szCs w:val="20"/>
              </w:rPr>
            </w:pPr>
            <w:r>
              <w:rPr>
                <w:rFonts w:eastAsia="Times New Roman"/>
                <w:sz w:val="20"/>
                <w:szCs w:val="20"/>
              </w:rPr>
              <w:t>4</w:t>
            </w:r>
            <w:r>
              <w:rPr>
                <w:rFonts w:eastAsia="Times New Roman"/>
                <w:sz w:val="20"/>
                <w:szCs w:val="20"/>
              </w:rPr>
              <w:t>0</w:t>
            </w:r>
          </w:p>
        </w:tc>
      </w:tr>
    </w:tbl>
    <w:p w:rsidR="003F57AF" w:rsidRDefault="003F57AF">
      <w:pPr>
        <w:divId w:val="868493839"/>
        <w:rPr>
          <w:rFonts w:eastAsia="Times New Roman"/>
        </w:rPr>
      </w:pPr>
    </w:p>
    <w:sectPr w:rsidR="003F57A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57AF"/>
    <w:rsid w:val="003F57AF"/>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carecloud.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438">
      <w:marLeft w:val="0"/>
      <w:marRight w:val="0"/>
      <w:marTop w:val="120"/>
      <w:marBottom w:val="120"/>
      <w:divBdr>
        <w:top w:val="none" w:sz="0" w:space="0" w:color="auto"/>
        <w:left w:val="none" w:sz="0" w:space="0" w:color="auto"/>
        <w:bottom w:val="single" w:sz="12" w:space="0" w:color="000000"/>
        <w:right w:val="none" w:sz="0" w:space="0" w:color="auto"/>
      </w:divBdr>
    </w:div>
    <w:div w:id="77682097">
      <w:marLeft w:val="0"/>
      <w:marRight w:val="0"/>
      <w:marTop w:val="120"/>
      <w:marBottom w:val="120"/>
      <w:divBdr>
        <w:top w:val="none" w:sz="0" w:space="0" w:color="auto"/>
        <w:left w:val="none" w:sz="0" w:space="0" w:color="auto"/>
        <w:bottom w:val="none" w:sz="0" w:space="0" w:color="auto"/>
        <w:right w:val="none" w:sz="0" w:space="0" w:color="auto"/>
      </w:divBdr>
    </w:div>
    <w:div w:id="77871262">
      <w:marLeft w:val="0"/>
      <w:marRight w:val="0"/>
      <w:marTop w:val="0"/>
      <w:marBottom w:val="0"/>
      <w:divBdr>
        <w:top w:val="none" w:sz="0" w:space="0" w:color="auto"/>
        <w:left w:val="none" w:sz="0" w:space="0" w:color="auto"/>
        <w:bottom w:val="none" w:sz="0" w:space="0" w:color="auto"/>
        <w:right w:val="none" w:sz="0" w:space="0" w:color="auto"/>
      </w:divBdr>
    </w:div>
    <w:div w:id="82802836">
      <w:marLeft w:val="0"/>
      <w:marRight w:val="0"/>
      <w:marTop w:val="0"/>
      <w:marBottom w:val="0"/>
      <w:divBdr>
        <w:top w:val="none" w:sz="0" w:space="0" w:color="auto"/>
        <w:left w:val="none" w:sz="0" w:space="0" w:color="auto"/>
        <w:bottom w:val="none" w:sz="0" w:space="0" w:color="auto"/>
        <w:right w:val="none" w:sz="0" w:space="0" w:color="auto"/>
      </w:divBdr>
      <w:divsChild>
        <w:div w:id="1041858292">
          <w:marLeft w:val="0"/>
          <w:marRight w:val="0"/>
          <w:marTop w:val="0"/>
          <w:marBottom w:val="0"/>
          <w:divBdr>
            <w:top w:val="single" w:sz="12" w:space="0" w:color="000000"/>
            <w:left w:val="none" w:sz="0" w:space="0" w:color="auto"/>
            <w:bottom w:val="none" w:sz="0" w:space="0" w:color="auto"/>
            <w:right w:val="none" w:sz="0" w:space="0" w:color="auto"/>
          </w:divBdr>
        </w:div>
      </w:divsChild>
    </w:div>
    <w:div w:id="87971212">
      <w:marLeft w:val="0"/>
      <w:marRight w:val="0"/>
      <w:marTop w:val="120"/>
      <w:marBottom w:val="120"/>
      <w:divBdr>
        <w:top w:val="none" w:sz="0" w:space="0" w:color="auto"/>
        <w:left w:val="none" w:sz="0" w:space="0" w:color="auto"/>
        <w:bottom w:val="single" w:sz="12" w:space="0" w:color="000000"/>
        <w:right w:val="none" w:sz="0" w:space="0" w:color="auto"/>
      </w:divBdr>
    </w:div>
    <w:div w:id="134640910">
      <w:marLeft w:val="0"/>
      <w:marRight w:val="0"/>
      <w:marTop w:val="120"/>
      <w:marBottom w:val="120"/>
      <w:divBdr>
        <w:top w:val="none" w:sz="0" w:space="0" w:color="auto"/>
        <w:left w:val="none" w:sz="0" w:space="0" w:color="auto"/>
        <w:bottom w:val="single" w:sz="12" w:space="0" w:color="000000"/>
        <w:right w:val="none" w:sz="0" w:space="0" w:color="auto"/>
      </w:divBdr>
    </w:div>
    <w:div w:id="139418820">
      <w:marLeft w:val="0"/>
      <w:marRight w:val="0"/>
      <w:marTop w:val="120"/>
      <w:marBottom w:val="120"/>
      <w:divBdr>
        <w:top w:val="none" w:sz="0" w:space="0" w:color="auto"/>
        <w:left w:val="none" w:sz="0" w:space="0" w:color="auto"/>
        <w:bottom w:val="single" w:sz="12" w:space="0" w:color="000000"/>
        <w:right w:val="none" w:sz="0" w:space="0" w:color="auto"/>
      </w:divBdr>
    </w:div>
    <w:div w:id="146939338">
      <w:marLeft w:val="0"/>
      <w:marRight w:val="0"/>
      <w:marTop w:val="120"/>
      <w:marBottom w:val="120"/>
      <w:divBdr>
        <w:top w:val="none" w:sz="0" w:space="0" w:color="auto"/>
        <w:left w:val="none" w:sz="0" w:space="0" w:color="auto"/>
        <w:bottom w:val="single" w:sz="12" w:space="0" w:color="000000"/>
        <w:right w:val="none" w:sz="0" w:space="0" w:color="auto"/>
      </w:divBdr>
    </w:div>
    <w:div w:id="244078126">
      <w:marLeft w:val="0"/>
      <w:marRight w:val="0"/>
      <w:marTop w:val="120"/>
      <w:marBottom w:val="120"/>
      <w:divBdr>
        <w:top w:val="none" w:sz="0" w:space="0" w:color="auto"/>
        <w:left w:val="none" w:sz="0" w:space="0" w:color="auto"/>
        <w:bottom w:val="none" w:sz="0" w:space="0" w:color="auto"/>
        <w:right w:val="none" w:sz="0" w:space="0" w:color="auto"/>
      </w:divBdr>
    </w:div>
    <w:div w:id="245893148">
      <w:marLeft w:val="0"/>
      <w:marRight w:val="0"/>
      <w:marTop w:val="120"/>
      <w:marBottom w:val="120"/>
      <w:divBdr>
        <w:top w:val="none" w:sz="0" w:space="0" w:color="auto"/>
        <w:left w:val="none" w:sz="0" w:space="0" w:color="auto"/>
        <w:bottom w:val="none" w:sz="0" w:space="0" w:color="auto"/>
        <w:right w:val="none" w:sz="0" w:space="0" w:color="auto"/>
      </w:divBdr>
    </w:div>
    <w:div w:id="255552825">
      <w:marLeft w:val="0"/>
      <w:marRight w:val="0"/>
      <w:marTop w:val="120"/>
      <w:marBottom w:val="120"/>
      <w:divBdr>
        <w:top w:val="none" w:sz="0" w:space="0" w:color="auto"/>
        <w:left w:val="none" w:sz="0" w:space="0" w:color="auto"/>
        <w:bottom w:val="single" w:sz="12" w:space="0" w:color="000000"/>
        <w:right w:val="none" w:sz="0" w:space="0" w:color="auto"/>
      </w:divBdr>
    </w:div>
    <w:div w:id="258101364">
      <w:marLeft w:val="0"/>
      <w:marRight w:val="0"/>
      <w:marTop w:val="120"/>
      <w:marBottom w:val="120"/>
      <w:divBdr>
        <w:top w:val="none" w:sz="0" w:space="0" w:color="auto"/>
        <w:left w:val="none" w:sz="0" w:space="0" w:color="auto"/>
        <w:bottom w:val="none" w:sz="0" w:space="0" w:color="auto"/>
        <w:right w:val="none" w:sz="0" w:space="0" w:color="auto"/>
      </w:divBdr>
    </w:div>
    <w:div w:id="332730649">
      <w:marLeft w:val="0"/>
      <w:marRight w:val="0"/>
      <w:marTop w:val="120"/>
      <w:marBottom w:val="120"/>
      <w:divBdr>
        <w:top w:val="none" w:sz="0" w:space="0" w:color="auto"/>
        <w:left w:val="none" w:sz="0" w:space="0" w:color="auto"/>
        <w:bottom w:val="single" w:sz="12" w:space="0" w:color="000000"/>
        <w:right w:val="none" w:sz="0" w:space="0" w:color="auto"/>
      </w:divBdr>
    </w:div>
    <w:div w:id="338041312">
      <w:marLeft w:val="0"/>
      <w:marRight w:val="0"/>
      <w:marTop w:val="120"/>
      <w:marBottom w:val="120"/>
      <w:divBdr>
        <w:top w:val="none" w:sz="0" w:space="0" w:color="auto"/>
        <w:left w:val="none" w:sz="0" w:space="0" w:color="auto"/>
        <w:bottom w:val="none" w:sz="0" w:space="0" w:color="auto"/>
        <w:right w:val="none" w:sz="0" w:space="0" w:color="auto"/>
      </w:divBdr>
    </w:div>
    <w:div w:id="378865858">
      <w:marLeft w:val="0"/>
      <w:marRight w:val="0"/>
      <w:marTop w:val="120"/>
      <w:marBottom w:val="120"/>
      <w:divBdr>
        <w:top w:val="none" w:sz="0" w:space="0" w:color="auto"/>
        <w:left w:val="none" w:sz="0" w:space="0" w:color="auto"/>
        <w:bottom w:val="none" w:sz="0" w:space="0" w:color="auto"/>
        <w:right w:val="none" w:sz="0" w:space="0" w:color="auto"/>
      </w:divBdr>
    </w:div>
    <w:div w:id="391738985">
      <w:marLeft w:val="0"/>
      <w:marRight w:val="0"/>
      <w:marTop w:val="120"/>
      <w:marBottom w:val="0"/>
      <w:divBdr>
        <w:top w:val="none" w:sz="0" w:space="0" w:color="auto"/>
        <w:left w:val="none" w:sz="0" w:space="0" w:color="auto"/>
        <w:bottom w:val="none" w:sz="0" w:space="0" w:color="auto"/>
        <w:right w:val="none" w:sz="0" w:space="0" w:color="auto"/>
      </w:divBdr>
    </w:div>
    <w:div w:id="393313039">
      <w:marLeft w:val="0"/>
      <w:marRight w:val="0"/>
      <w:marTop w:val="120"/>
      <w:marBottom w:val="120"/>
      <w:divBdr>
        <w:top w:val="none" w:sz="0" w:space="0" w:color="auto"/>
        <w:left w:val="none" w:sz="0" w:space="0" w:color="auto"/>
        <w:bottom w:val="single" w:sz="12" w:space="0" w:color="000000"/>
        <w:right w:val="none" w:sz="0" w:space="0" w:color="auto"/>
      </w:divBdr>
    </w:div>
    <w:div w:id="411045594">
      <w:marLeft w:val="0"/>
      <w:marRight w:val="0"/>
      <w:marTop w:val="120"/>
      <w:marBottom w:val="120"/>
      <w:divBdr>
        <w:top w:val="none" w:sz="0" w:space="0" w:color="auto"/>
        <w:left w:val="none" w:sz="0" w:space="0" w:color="auto"/>
        <w:bottom w:val="single" w:sz="12" w:space="0" w:color="000000"/>
        <w:right w:val="none" w:sz="0" w:space="0" w:color="auto"/>
      </w:divBdr>
    </w:div>
    <w:div w:id="419717381">
      <w:marLeft w:val="0"/>
      <w:marRight w:val="0"/>
      <w:marTop w:val="120"/>
      <w:marBottom w:val="120"/>
      <w:divBdr>
        <w:top w:val="none" w:sz="0" w:space="0" w:color="auto"/>
        <w:left w:val="none" w:sz="0" w:space="0" w:color="auto"/>
        <w:bottom w:val="single" w:sz="12" w:space="0" w:color="000000"/>
        <w:right w:val="none" w:sz="0" w:space="0" w:color="auto"/>
      </w:divBdr>
    </w:div>
    <w:div w:id="428358038">
      <w:marLeft w:val="0"/>
      <w:marRight w:val="0"/>
      <w:marTop w:val="120"/>
      <w:marBottom w:val="120"/>
      <w:divBdr>
        <w:top w:val="none" w:sz="0" w:space="0" w:color="auto"/>
        <w:left w:val="none" w:sz="0" w:space="0" w:color="auto"/>
        <w:bottom w:val="none" w:sz="0" w:space="0" w:color="auto"/>
        <w:right w:val="none" w:sz="0" w:space="0" w:color="auto"/>
      </w:divBdr>
    </w:div>
    <w:div w:id="461507324">
      <w:marLeft w:val="0"/>
      <w:marRight w:val="0"/>
      <w:marTop w:val="120"/>
      <w:marBottom w:val="120"/>
      <w:divBdr>
        <w:top w:val="none" w:sz="0" w:space="0" w:color="auto"/>
        <w:left w:val="none" w:sz="0" w:space="0" w:color="auto"/>
        <w:bottom w:val="none" w:sz="0" w:space="0" w:color="auto"/>
        <w:right w:val="none" w:sz="0" w:space="0" w:color="auto"/>
      </w:divBdr>
    </w:div>
    <w:div w:id="515113938">
      <w:marLeft w:val="0"/>
      <w:marRight w:val="0"/>
      <w:marTop w:val="120"/>
      <w:marBottom w:val="120"/>
      <w:divBdr>
        <w:top w:val="none" w:sz="0" w:space="0" w:color="auto"/>
        <w:left w:val="none" w:sz="0" w:space="0" w:color="auto"/>
        <w:bottom w:val="none" w:sz="0" w:space="0" w:color="auto"/>
        <w:right w:val="none" w:sz="0" w:space="0" w:color="auto"/>
      </w:divBdr>
    </w:div>
    <w:div w:id="525561266">
      <w:marLeft w:val="0"/>
      <w:marRight w:val="0"/>
      <w:marTop w:val="120"/>
      <w:marBottom w:val="120"/>
      <w:divBdr>
        <w:top w:val="none" w:sz="0" w:space="0" w:color="auto"/>
        <w:left w:val="none" w:sz="0" w:space="0" w:color="auto"/>
        <w:bottom w:val="single" w:sz="12" w:space="0" w:color="000000"/>
        <w:right w:val="none" w:sz="0" w:space="0" w:color="auto"/>
      </w:divBdr>
    </w:div>
    <w:div w:id="557859776">
      <w:marLeft w:val="0"/>
      <w:marRight w:val="0"/>
      <w:marTop w:val="120"/>
      <w:marBottom w:val="120"/>
      <w:divBdr>
        <w:top w:val="none" w:sz="0" w:space="0" w:color="auto"/>
        <w:left w:val="none" w:sz="0" w:space="0" w:color="auto"/>
        <w:bottom w:val="single" w:sz="12" w:space="0" w:color="000000"/>
        <w:right w:val="none" w:sz="0" w:space="0" w:color="auto"/>
      </w:divBdr>
    </w:div>
    <w:div w:id="558787865">
      <w:marLeft w:val="0"/>
      <w:marRight w:val="0"/>
      <w:marTop w:val="120"/>
      <w:marBottom w:val="120"/>
      <w:divBdr>
        <w:top w:val="none" w:sz="0" w:space="0" w:color="auto"/>
        <w:left w:val="none" w:sz="0" w:space="0" w:color="auto"/>
        <w:bottom w:val="single" w:sz="12" w:space="0" w:color="000000"/>
        <w:right w:val="none" w:sz="0" w:space="0" w:color="auto"/>
      </w:divBdr>
    </w:div>
    <w:div w:id="559753974">
      <w:marLeft w:val="0"/>
      <w:marRight w:val="0"/>
      <w:marTop w:val="120"/>
      <w:marBottom w:val="120"/>
      <w:divBdr>
        <w:top w:val="none" w:sz="0" w:space="0" w:color="auto"/>
        <w:left w:val="none" w:sz="0" w:space="0" w:color="auto"/>
        <w:bottom w:val="none" w:sz="0" w:space="0" w:color="auto"/>
        <w:right w:val="none" w:sz="0" w:space="0" w:color="auto"/>
      </w:divBdr>
    </w:div>
    <w:div w:id="580338900">
      <w:marLeft w:val="0"/>
      <w:marRight w:val="0"/>
      <w:marTop w:val="120"/>
      <w:marBottom w:val="120"/>
      <w:divBdr>
        <w:top w:val="none" w:sz="0" w:space="0" w:color="auto"/>
        <w:left w:val="none" w:sz="0" w:space="0" w:color="auto"/>
        <w:bottom w:val="single" w:sz="12" w:space="0" w:color="000000"/>
        <w:right w:val="none" w:sz="0" w:space="0" w:color="auto"/>
      </w:divBdr>
    </w:div>
    <w:div w:id="595358241">
      <w:marLeft w:val="0"/>
      <w:marRight w:val="0"/>
      <w:marTop w:val="120"/>
      <w:marBottom w:val="120"/>
      <w:divBdr>
        <w:top w:val="none" w:sz="0" w:space="0" w:color="auto"/>
        <w:left w:val="none" w:sz="0" w:space="0" w:color="auto"/>
        <w:bottom w:val="none" w:sz="0" w:space="0" w:color="auto"/>
        <w:right w:val="none" w:sz="0" w:space="0" w:color="auto"/>
      </w:divBdr>
    </w:div>
    <w:div w:id="613290340">
      <w:marLeft w:val="0"/>
      <w:marRight w:val="0"/>
      <w:marTop w:val="120"/>
      <w:marBottom w:val="120"/>
      <w:divBdr>
        <w:top w:val="none" w:sz="0" w:space="0" w:color="auto"/>
        <w:left w:val="none" w:sz="0" w:space="0" w:color="auto"/>
        <w:bottom w:val="none" w:sz="0" w:space="0" w:color="auto"/>
        <w:right w:val="none" w:sz="0" w:space="0" w:color="auto"/>
      </w:divBdr>
    </w:div>
    <w:div w:id="617369136">
      <w:marLeft w:val="0"/>
      <w:marRight w:val="0"/>
      <w:marTop w:val="120"/>
      <w:marBottom w:val="120"/>
      <w:divBdr>
        <w:top w:val="none" w:sz="0" w:space="0" w:color="auto"/>
        <w:left w:val="none" w:sz="0" w:space="0" w:color="auto"/>
        <w:bottom w:val="none" w:sz="0" w:space="0" w:color="auto"/>
        <w:right w:val="none" w:sz="0" w:space="0" w:color="auto"/>
      </w:divBdr>
    </w:div>
    <w:div w:id="637610084">
      <w:marLeft w:val="0"/>
      <w:marRight w:val="0"/>
      <w:marTop w:val="120"/>
      <w:marBottom w:val="120"/>
      <w:divBdr>
        <w:top w:val="none" w:sz="0" w:space="0" w:color="auto"/>
        <w:left w:val="none" w:sz="0" w:space="0" w:color="auto"/>
        <w:bottom w:val="none" w:sz="0" w:space="0" w:color="auto"/>
        <w:right w:val="none" w:sz="0" w:space="0" w:color="auto"/>
      </w:divBdr>
    </w:div>
    <w:div w:id="643005558">
      <w:marLeft w:val="0"/>
      <w:marRight w:val="0"/>
      <w:marTop w:val="120"/>
      <w:marBottom w:val="120"/>
      <w:divBdr>
        <w:top w:val="none" w:sz="0" w:space="0" w:color="auto"/>
        <w:left w:val="none" w:sz="0" w:space="0" w:color="auto"/>
        <w:bottom w:val="single" w:sz="12" w:space="0" w:color="000000"/>
        <w:right w:val="none" w:sz="0" w:space="0" w:color="auto"/>
      </w:divBdr>
    </w:div>
    <w:div w:id="650062580">
      <w:marLeft w:val="0"/>
      <w:marRight w:val="0"/>
      <w:marTop w:val="0"/>
      <w:marBottom w:val="0"/>
      <w:divBdr>
        <w:top w:val="none" w:sz="0" w:space="0" w:color="auto"/>
        <w:left w:val="none" w:sz="0" w:space="0" w:color="auto"/>
        <w:bottom w:val="none" w:sz="0" w:space="0" w:color="auto"/>
        <w:right w:val="none" w:sz="0" w:space="0" w:color="auto"/>
      </w:divBdr>
      <w:divsChild>
        <w:div w:id="274677235">
          <w:marLeft w:val="0"/>
          <w:marRight w:val="0"/>
          <w:marTop w:val="0"/>
          <w:marBottom w:val="0"/>
          <w:divBdr>
            <w:top w:val="single" w:sz="36" w:space="0" w:color="000000"/>
            <w:left w:val="none" w:sz="0" w:space="0" w:color="auto"/>
            <w:bottom w:val="single" w:sz="12" w:space="0" w:color="000000"/>
            <w:right w:val="none" w:sz="0" w:space="0" w:color="auto"/>
          </w:divBdr>
        </w:div>
      </w:divsChild>
    </w:div>
    <w:div w:id="809786166">
      <w:marLeft w:val="0"/>
      <w:marRight w:val="0"/>
      <w:marTop w:val="120"/>
      <w:marBottom w:val="120"/>
      <w:divBdr>
        <w:top w:val="none" w:sz="0" w:space="0" w:color="auto"/>
        <w:left w:val="none" w:sz="0" w:space="0" w:color="auto"/>
        <w:bottom w:val="single" w:sz="12" w:space="0" w:color="000000"/>
        <w:right w:val="none" w:sz="0" w:space="0" w:color="auto"/>
      </w:divBdr>
    </w:div>
    <w:div w:id="818419995">
      <w:marLeft w:val="0"/>
      <w:marRight w:val="0"/>
      <w:marTop w:val="120"/>
      <w:marBottom w:val="120"/>
      <w:divBdr>
        <w:top w:val="none" w:sz="0" w:space="0" w:color="auto"/>
        <w:left w:val="none" w:sz="0" w:space="0" w:color="auto"/>
        <w:bottom w:val="single" w:sz="12" w:space="0" w:color="000000"/>
        <w:right w:val="none" w:sz="0" w:space="0" w:color="auto"/>
      </w:divBdr>
    </w:div>
    <w:div w:id="868493839">
      <w:marLeft w:val="0"/>
      <w:marRight w:val="0"/>
      <w:marTop w:val="120"/>
      <w:marBottom w:val="120"/>
      <w:divBdr>
        <w:top w:val="none" w:sz="0" w:space="0" w:color="auto"/>
        <w:left w:val="none" w:sz="0" w:space="0" w:color="auto"/>
        <w:bottom w:val="single" w:sz="12" w:space="0" w:color="000000"/>
        <w:right w:val="none" w:sz="0" w:space="0" w:color="auto"/>
      </w:divBdr>
    </w:div>
    <w:div w:id="875001960">
      <w:marLeft w:val="0"/>
      <w:marRight w:val="0"/>
      <w:marTop w:val="120"/>
      <w:marBottom w:val="120"/>
      <w:divBdr>
        <w:top w:val="none" w:sz="0" w:space="0" w:color="auto"/>
        <w:left w:val="none" w:sz="0" w:space="0" w:color="auto"/>
        <w:bottom w:val="none" w:sz="0" w:space="0" w:color="auto"/>
        <w:right w:val="none" w:sz="0" w:space="0" w:color="auto"/>
      </w:divBdr>
    </w:div>
    <w:div w:id="877474367">
      <w:marLeft w:val="0"/>
      <w:marRight w:val="0"/>
      <w:marTop w:val="120"/>
      <w:marBottom w:val="120"/>
      <w:divBdr>
        <w:top w:val="none" w:sz="0" w:space="0" w:color="auto"/>
        <w:left w:val="none" w:sz="0" w:space="0" w:color="auto"/>
        <w:bottom w:val="single" w:sz="12" w:space="0" w:color="000000"/>
        <w:right w:val="none" w:sz="0" w:space="0" w:color="auto"/>
      </w:divBdr>
    </w:div>
    <w:div w:id="903225691">
      <w:marLeft w:val="0"/>
      <w:marRight w:val="0"/>
      <w:marTop w:val="120"/>
      <w:marBottom w:val="120"/>
      <w:divBdr>
        <w:top w:val="none" w:sz="0" w:space="0" w:color="auto"/>
        <w:left w:val="none" w:sz="0" w:space="0" w:color="auto"/>
        <w:bottom w:val="single" w:sz="12" w:space="0" w:color="000000"/>
        <w:right w:val="none" w:sz="0" w:space="0" w:color="auto"/>
      </w:divBdr>
    </w:div>
    <w:div w:id="907376123">
      <w:marLeft w:val="0"/>
      <w:marRight w:val="0"/>
      <w:marTop w:val="120"/>
      <w:marBottom w:val="120"/>
      <w:divBdr>
        <w:top w:val="none" w:sz="0" w:space="0" w:color="auto"/>
        <w:left w:val="none" w:sz="0" w:space="0" w:color="auto"/>
        <w:bottom w:val="none" w:sz="0" w:space="0" w:color="auto"/>
        <w:right w:val="none" w:sz="0" w:space="0" w:color="auto"/>
      </w:divBdr>
    </w:div>
    <w:div w:id="961114009">
      <w:marLeft w:val="0"/>
      <w:marRight w:val="0"/>
      <w:marTop w:val="120"/>
      <w:marBottom w:val="120"/>
      <w:divBdr>
        <w:top w:val="none" w:sz="0" w:space="0" w:color="auto"/>
        <w:left w:val="none" w:sz="0" w:space="0" w:color="auto"/>
        <w:bottom w:val="single" w:sz="12" w:space="0" w:color="000000"/>
        <w:right w:val="none" w:sz="0" w:space="0" w:color="auto"/>
      </w:divBdr>
    </w:div>
    <w:div w:id="999892278">
      <w:marLeft w:val="0"/>
      <w:marRight w:val="0"/>
      <w:marTop w:val="0"/>
      <w:marBottom w:val="0"/>
      <w:divBdr>
        <w:top w:val="none" w:sz="0" w:space="0" w:color="auto"/>
        <w:left w:val="none" w:sz="0" w:space="0" w:color="auto"/>
        <w:bottom w:val="none" w:sz="0" w:space="0" w:color="auto"/>
        <w:right w:val="none" w:sz="0" w:space="0" w:color="auto"/>
      </w:divBdr>
      <w:divsChild>
        <w:div w:id="252444894">
          <w:marLeft w:val="0"/>
          <w:marRight w:val="0"/>
          <w:marTop w:val="0"/>
          <w:marBottom w:val="0"/>
          <w:divBdr>
            <w:top w:val="single" w:sz="12" w:space="0" w:color="000000"/>
            <w:left w:val="none" w:sz="0" w:space="0" w:color="auto"/>
            <w:bottom w:val="none" w:sz="0" w:space="0" w:color="auto"/>
            <w:right w:val="none" w:sz="0" w:space="0" w:color="auto"/>
          </w:divBdr>
        </w:div>
      </w:divsChild>
    </w:div>
    <w:div w:id="1010913537">
      <w:marLeft w:val="0"/>
      <w:marRight w:val="0"/>
      <w:marTop w:val="120"/>
      <w:marBottom w:val="120"/>
      <w:divBdr>
        <w:top w:val="none" w:sz="0" w:space="0" w:color="auto"/>
        <w:left w:val="none" w:sz="0" w:space="0" w:color="auto"/>
        <w:bottom w:val="none" w:sz="0" w:space="0" w:color="auto"/>
        <w:right w:val="none" w:sz="0" w:space="0" w:color="auto"/>
      </w:divBdr>
    </w:div>
    <w:div w:id="1020814548">
      <w:marLeft w:val="0"/>
      <w:marRight w:val="0"/>
      <w:marTop w:val="120"/>
      <w:marBottom w:val="120"/>
      <w:divBdr>
        <w:top w:val="none" w:sz="0" w:space="0" w:color="auto"/>
        <w:left w:val="none" w:sz="0" w:space="0" w:color="auto"/>
        <w:bottom w:val="none" w:sz="0" w:space="0" w:color="auto"/>
        <w:right w:val="none" w:sz="0" w:space="0" w:color="auto"/>
      </w:divBdr>
    </w:div>
    <w:div w:id="1062213853">
      <w:marLeft w:val="0"/>
      <w:marRight w:val="0"/>
      <w:marTop w:val="120"/>
      <w:marBottom w:val="120"/>
      <w:divBdr>
        <w:top w:val="none" w:sz="0" w:space="0" w:color="auto"/>
        <w:left w:val="none" w:sz="0" w:space="0" w:color="auto"/>
        <w:bottom w:val="none" w:sz="0" w:space="0" w:color="auto"/>
        <w:right w:val="none" w:sz="0" w:space="0" w:color="auto"/>
      </w:divBdr>
    </w:div>
    <w:div w:id="1064526939">
      <w:marLeft w:val="0"/>
      <w:marRight w:val="0"/>
      <w:marTop w:val="120"/>
      <w:marBottom w:val="120"/>
      <w:divBdr>
        <w:top w:val="none" w:sz="0" w:space="0" w:color="auto"/>
        <w:left w:val="none" w:sz="0" w:space="0" w:color="auto"/>
        <w:bottom w:val="single" w:sz="12" w:space="0" w:color="000000"/>
        <w:right w:val="none" w:sz="0" w:space="0" w:color="auto"/>
      </w:divBdr>
    </w:div>
    <w:div w:id="1098596778">
      <w:marLeft w:val="0"/>
      <w:marRight w:val="0"/>
      <w:marTop w:val="120"/>
      <w:marBottom w:val="120"/>
      <w:divBdr>
        <w:top w:val="none" w:sz="0" w:space="0" w:color="auto"/>
        <w:left w:val="none" w:sz="0" w:space="0" w:color="auto"/>
        <w:bottom w:val="single" w:sz="12" w:space="0" w:color="000000"/>
        <w:right w:val="none" w:sz="0" w:space="0" w:color="auto"/>
      </w:divBdr>
    </w:div>
    <w:div w:id="1147824526">
      <w:marLeft w:val="0"/>
      <w:marRight w:val="0"/>
      <w:marTop w:val="120"/>
      <w:marBottom w:val="120"/>
      <w:divBdr>
        <w:top w:val="none" w:sz="0" w:space="0" w:color="auto"/>
        <w:left w:val="none" w:sz="0" w:space="0" w:color="auto"/>
        <w:bottom w:val="none" w:sz="0" w:space="0" w:color="auto"/>
        <w:right w:val="none" w:sz="0" w:space="0" w:color="auto"/>
      </w:divBdr>
    </w:div>
    <w:div w:id="1156844484">
      <w:marLeft w:val="0"/>
      <w:marRight w:val="0"/>
      <w:marTop w:val="0"/>
      <w:marBottom w:val="0"/>
      <w:divBdr>
        <w:top w:val="none" w:sz="0" w:space="0" w:color="auto"/>
        <w:left w:val="none" w:sz="0" w:space="0" w:color="auto"/>
        <w:bottom w:val="none" w:sz="0" w:space="0" w:color="auto"/>
        <w:right w:val="none" w:sz="0" w:space="0" w:color="auto"/>
      </w:divBdr>
      <w:divsChild>
        <w:div w:id="1428387540">
          <w:marLeft w:val="0"/>
          <w:marRight w:val="0"/>
          <w:marTop w:val="0"/>
          <w:marBottom w:val="0"/>
          <w:divBdr>
            <w:top w:val="single" w:sz="12" w:space="0" w:color="000000"/>
            <w:left w:val="none" w:sz="0" w:space="0" w:color="auto"/>
            <w:bottom w:val="none" w:sz="0" w:space="0" w:color="auto"/>
            <w:right w:val="none" w:sz="0" w:space="0" w:color="auto"/>
          </w:divBdr>
        </w:div>
      </w:divsChild>
    </w:div>
    <w:div w:id="1162575815">
      <w:marLeft w:val="0"/>
      <w:marRight w:val="0"/>
      <w:marTop w:val="120"/>
      <w:marBottom w:val="120"/>
      <w:divBdr>
        <w:top w:val="none" w:sz="0" w:space="0" w:color="auto"/>
        <w:left w:val="none" w:sz="0" w:space="0" w:color="auto"/>
        <w:bottom w:val="single" w:sz="12" w:space="0" w:color="000000"/>
        <w:right w:val="none" w:sz="0" w:space="0" w:color="auto"/>
      </w:divBdr>
    </w:div>
    <w:div w:id="1169754513">
      <w:marLeft w:val="0"/>
      <w:marRight w:val="0"/>
      <w:marTop w:val="120"/>
      <w:marBottom w:val="120"/>
      <w:divBdr>
        <w:top w:val="none" w:sz="0" w:space="0" w:color="auto"/>
        <w:left w:val="none" w:sz="0" w:space="0" w:color="auto"/>
        <w:bottom w:val="none" w:sz="0" w:space="0" w:color="auto"/>
        <w:right w:val="none" w:sz="0" w:space="0" w:color="auto"/>
      </w:divBdr>
    </w:div>
    <w:div w:id="1195774964">
      <w:marLeft w:val="0"/>
      <w:marRight w:val="0"/>
      <w:marTop w:val="120"/>
      <w:marBottom w:val="120"/>
      <w:divBdr>
        <w:top w:val="none" w:sz="0" w:space="0" w:color="auto"/>
        <w:left w:val="none" w:sz="0" w:space="0" w:color="auto"/>
        <w:bottom w:val="single" w:sz="12" w:space="0" w:color="000000"/>
        <w:right w:val="none" w:sz="0" w:space="0" w:color="auto"/>
      </w:divBdr>
    </w:div>
    <w:div w:id="1258443081">
      <w:marLeft w:val="0"/>
      <w:marRight w:val="0"/>
      <w:marTop w:val="120"/>
      <w:marBottom w:val="120"/>
      <w:divBdr>
        <w:top w:val="none" w:sz="0" w:space="0" w:color="auto"/>
        <w:left w:val="none" w:sz="0" w:space="0" w:color="auto"/>
        <w:bottom w:val="none" w:sz="0" w:space="0" w:color="auto"/>
        <w:right w:val="none" w:sz="0" w:space="0" w:color="auto"/>
      </w:divBdr>
    </w:div>
    <w:div w:id="1293975266">
      <w:marLeft w:val="0"/>
      <w:marRight w:val="0"/>
      <w:marTop w:val="120"/>
      <w:marBottom w:val="120"/>
      <w:divBdr>
        <w:top w:val="none" w:sz="0" w:space="0" w:color="auto"/>
        <w:left w:val="none" w:sz="0" w:space="0" w:color="auto"/>
        <w:bottom w:val="none" w:sz="0" w:space="0" w:color="auto"/>
        <w:right w:val="none" w:sz="0" w:space="0" w:color="auto"/>
      </w:divBdr>
    </w:div>
    <w:div w:id="1295406496">
      <w:marLeft w:val="0"/>
      <w:marRight w:val="0"/>
      <w:marTop w:val="120"/>
      <w:marBottom w:val="120"/>
      <w:divBdr>
        <w:top w:val="none" w:sz="0" w:space="0" w:color="auto"/>
        <w:left w:val="none" w:sz="0" w:space="0" w:color="auto"/>
        <w:bottom w:val="none" w:sz="0" w:space="0" w:color="auto"/>
        <w:right w:val="none" w:sz="0" w:space="0" w:color="auto"/>
      </w:divBdr>
    </w:div>
    <w:div w:id="1320571556">
      <w:marLeft w:val="0"/>
      <w:marRight w:val="0"/>
      <w:marTop w:val="120"/>
      <w:marBottom w:val="120"/>
      <w:divBdr>
        <w:top w:val="none" w:sz="0" w:space="0" w:color="auto"/>
        <w:left w:val="none" w:sz="0" w:space="0" w:color="auto"/>
        <w:bottom w:val="single" w:sz="12" w:space="0" w:color="000000"/>
        <w:right w:val="none" w:sz="0" w:space="0" w:color="auto"/>
      </w:divBdr>
    </w:div>
    <w:div w:id="1338508491">
      <w:marLeft w:val="0"/>
      <w:marRight w:val="0"/>
      <w:marTop w:val="0"/>
      <w:marBottom w:val="0"/>
      <w:divBdr>
        <w:top w:val="none" w:sz="0" w:space="0" w:color="auto"/>
        <w:left w:val="none" w:sz="0" w:space="0" w:color="auto"/>
        <w:bottom w:val="none" w:sz="0" w:space="0" w:color="auto"/>
        <w:right w:val="none" w:sz="0" w:space="0" w:color="auto"/>
      </w:divBdr>
      <w:divsChild>
        <w:div w:id="618417076">
          <w:marLeft w:val="0"/>
          <w:marRight w:val="0"/>
          <w:marTop w:val="0"/>
          <w:marBottom w:val="0"/>
          <w:divBdr>
            <w:top w:val="single" w:sz="12" w:space="0" w:color="000000"/>
            <w:left w:val="none" w:sz="0" w:space="0" w:color="auto"/>
            <w:bottom w:val="none" w:sz="0" w:space="0" w:color="auto"/>
            <w:right w:val="none" w:sz="0" w:space="0" w:color="auto"/>
          </w:divBdr>
        </w:div>
      </w:divsChild>
    </w:div>
    <w:div w:id="1366757400">
      <w:marLeft w:val="0"/>
      <w:marRight w:val="0"/>
      <w:marTop w:val="120"/>
      <w:marBottom w:val="120"/>
      <w:divBdr>
        <w:top w:val="none" w:sz="0" w:space="0" w:color="auto"/>
        <w:left w:val="none" w:sz="0" w:space="0" w:color="auto"/>
        <w:bottom w:val="single" w:sz="12" w:space="0" w:color="000000"/>
        <w:right w:val="none" w:sz="0" w:space="0" w:color="auto"/>
      </w:divBdr>
    </w:div>
    <w:div w:id="1387560874">
      <w:marLeft w:val="0"/>
      <w:marRight w:val="0"/>
      <w:marTop w:val="120"/>
      <w:marBottom w:val="120"/>
      <w:divBdr>
        <w:top w:val="none" w:sz="0" w:space="0" w:color="auto"/>
        <w:left w:val="none" w:sz="0" w:space="0" w:color="auto"/>
        <w:bottom w:val="single" w:sz="12" w:space="0" w:color="000000"/>
        <w:right w:val="none" w:sz="0" w:space="0" w:color="auto"/>
      </w:divBdr>
    </w:div>
    <w:div w:id="1471046710">
      <w:marLeft w:val="0"/>
      <w:marRight w:val="0"/>
      <w:marTop w:val="0"/>
      <w:marBottom w:val="120"/>
      <w:divBdr>
        <w:top w:val="none" w:sz="0" w:space="0" w:color="auto"/>
        <w:left w:val="none" w:sz="0" w:space="0" w:color="auto"/>
        <w:bottom w:val="single" w:sz="12" w:space="0" w:color="000000"/>
        <w:right w:val="none" w:sz="0" w:space="0" w:color="auto"/>
      </w:divBdr>
    </w:div>
    <w:div w:id="1480027035">
      <w:marLeft w:val="0"/>
      <w:marRight w:val="0"/>
      <w:marTop w:val="0"/>
      <w:marBottom w:val="0"/>
      <w:divBdr>
        <w:top w:val="none" w:sz="0" w:space="0" w:color="auto"/>
        <w:left w:val="none" w:sz="0" w:space="0" w:color="auto"/>
        <w:bottom w:val="none" w:sz="0" w:space="0" w:color="auto"/>
        <w:right w:val="none" w:sz="0" w:space="0" w:color="auto"/>
      </w:divBdr>
      <w:divsChild>
        <w:div w:id="404692850">
          <w:marLeft w:val="0"/>
          <w:marRight w:val="0"/>
          <w:marTop w:val="0"/>
          <w:marBottom w:val="0"/>
          <w:divBdr>
            <w:top w:val="single" w:sz="12" w:space="0" w:color="000000"/>
            <w:left w:val="none" w:sz="0" w:space="0" w:color="auto"/>
            <w:bottom w:val="single" w:sz="36" w:space="0" w:color="000000"/>
            <w:right w:val="none" w:sz="0" w:space="0" w:color="auto"/>
          </w:divBdr>
        </w:div>
      </w:divsChild>
    </w:div>
    <w:div w:id="1482651243">
      <w:marLeft w:val="0"/>
      <w:marRight w:val="0"/>
      <w:marTop w:val="120"/>
      <w:marBottom w:val="120"/>
      <w:divBdr>
        <w:top w:val="none" w:sz="0" w:space="0" w:color="auto"/>
        <w:left w:val="none" w:sz="0" w:space="0" w:color="auto"/>
        <w:bottom w:val="none" w:sz="0" w:space="0" w:color="auto"/>
        <w:right w:val="none" w:sz="0" w:space="0" w:color="auto"/>
      </w:divBdr>
    </w:div>
    <w:div w:id="1492797474">
      <w:marLeft w:val="0"/>
      <w:marRight w:val="0"/>
      <w:marTop w:val="120"/>
      <w:marBottom w:val="120"/>
      <w:divBdr>
        <w:top w:val="none" w:sz="0" w:space="0" w:color="auto"/>
        <w:left w:val="none" w:sz="0" w:space="0" w:color="auto"/>
        <w:bottom w:val="none" w:sz="0" w:space="0" w:color="auto"/>
        <w:right w:val="none" w:sz="0" w:space="0" w:color="auto"/>
      </w:divBdr>
    </w:div>
    <w:div w:id="1507749112">
      <w:marLeft w:val="0"/>
      <w:marRight w:val="0"/>
      <w:marTop w:val="120"/>
      <w:marBottom w:val="120"/>
      <w:divBdr>
        <w:top w:val="none" w:sz="0" w:space="0" w:color="auto"/>
        <w:left w:val="none" w:sz="0" w:space="0" w:color="auto"/>
        <w:bottom w:val="single" w:sz="12" w:space="0" w:color="000000"/>
        <w:right w:val="none" w:sz="0" w:space="0" w:color="auto"/>
      </w:divBdr>
    </w:div>
    <w:div w:id="1510097692">
      <w:marLeft w:val="0"/>
      <w:marRight w:val="0"/>
      <w:marTop w:val="120"/>
      <w:marBottom w:val="120"/>
      <w:divBdr>
        <w:top w:val="none" w:sz="0" w:space="0" w:color="auto"/>
        <w:left w:val="none" w:sz="0" w:space="0" w:color="auto"/>
        <w:bottom w:val="none" w:sz="0" w:space="0" w:color="auto"/>
        <w:right w:val="none" w:sz="0" w:space="0" w:color="auto"/>
      </w:divBdr>
    </w:div>
    <w:div w:id="1545560334">
      <w:marLeft w:val="0"/>
      <w:marRight w:val="0"/>
      <w:marTop w:val="120"/>
      <w:marBottom w:val="120"/>
      <w:divBdr>
        <w:top w:val="none" w:sz="0" w:space="0" w:color="auto"/>
        <w:left w:val="none" w:sz="0" w:space="0" w:color="auto"/>
        <w:bottom w:val="none" w:sz="0" w:space="0" w:color="auto"/>
        <w:right w:val="none" w:sz="0" w:space="0" w:color="auto"/>
      </w:divBdr>
    </w:div>
    <w:div w:id="1559318427">
      <w:marLeft w:val="0"/>
      <w:marRight w:val="0"/>
      <w:marTop w:val="120"/>
      <w:marBottom w:val="120"/>
      <w:divBdr>
        <w:top w:val="none" w:sz="0" w:space="0" w:color="auto"/>
        <w:left w:val="none" w:sz="0" w:space="0" w:color="auto"/>
        <w:bottom w:val="single" w:sz="12" w:space="0" w:color="000000"/>
        <w:right w:val="none" w:sz="0" w:space="0" w:color="auto"/>
      </w:divBdr>
    </w:div>
    <w:div w:id="1582367005">
      <w:marLeft w:val="0"/>
      <w:marRight w:val="0"/>
      <w:marTop w:val="120"/>
      <w:marBottom w:val="120"/>
      <w:divBdr>
        <w:top w:val="none" w:sz="0" w:space="0" w:color="auto"/>
        <w:left w:val="none" w:sz="0" w:space="0" w:color="auto"/>
        <w:bottom w:val="none" w:sz="0" w:space="0" w:color="auto"/>
        <w:right w:val="none" w:sz="0" w:space="0" w:color="auto"/>
      </w:divBdr>
    </w:div>
    <w:div w:id="1608730649">
      <w:marLeft w:val="0"/>
      <w:marRight w:val="0"/>
      <w:marTop w:val="120"/>
      <w:marBottom w:val="120"/>
      <w:divBdr>
        <w:top w:val="none" w:sz="0" w:space="0" w:color="auto"/>
        <w:left w:val="none" w:sz="0" w:space="0" w:color="auto"/>
        <w:bottom w:val="none" w:sz="0" w:space="0" w:color="auto"/>
        <w:right w:val="none" w:sz="0" w:space="0" w:color="auto"/>
      </w:divBdr>
    </w:div>
    <w:div w:id="1634361975">
      <w:marLeft w:val="0"/>
      <w:marRight w:val="0"/>
      <w:marTop w:val="120"/>
      <w:marBottom w:val="120"/>
      <w:divBdr>
        <w:top w:val="none" w:sz="0" w:space="0" w:color="auto"/>
        <w:left w:val="none" w:sz="0" w:space="0" w:color="auto"/>
        <w:bottom w:val="single" w:sz="12" w:space="0" w:color="000000"/>
        <w:right w:val="none" w:sz="0" w:space="0" w:color="auto"/>
      </w:divBdr>
    </w:div>
    <w:div w:id="1685546694">
      <w:marLeft w:val="0"/>
      <w:marRight w:val="0"/>
      <w:marTop w:val="120"/>
      <w:marBottom w:val="120"/>
      <w:divBdr>
        <w:top w:val="none" w:sz="0" w:space="0" w:color="auto"/>
        <w:left w:val="none" w:sz="0" w:space="0" w:color="auto"/>
        <w:bottom w:val="none" w:sz="0" w:space="0" w:color="auto"/>
        <w:right w:val="none" w:sz="0" w:space="0" w:color="auto"/>
      </w:divBdr>
    </w:div>
    <w:div w:id="1704555000">
      <w:marLeft w:val="0"/>
      <w:marRight w:val="0"/>
      <w:marTop w:val="0"/>
      <w:marBottom w:val="0"/>
      <w:divBdr>
        <w:top w:val="none" w:sz="0" w:space="0" w:color="auto"/>
        <w:left w:val="none" w:sz="0" w:space="0" w:color="auto"/>
        <w:bottom w:val="none" w:sz="0" w:space="0" w:color="auto"/>
        <w:right w:val="none" w:sz="0" w:space="0" w:color="auto"/>
      </w:divBdr>
      <w:divsChild>
        <w:div w:id="1869028320">
          <w:marLeft w:val="0"/>
          <w:marRight w:val="0"/>
          <w:marTop w:val="0"/>
          <w:marBottom w:val="0"/>
          <w:divBdr>
            <w:top w:val="single" w:sz="12" w:space="0" w:color="000000"/>
            <w:left w:val="none" w:sz="0" w:space="0" w:color="auto"/>
            <w:bottom w:val="none" w:sz="0" w:space="0" w:color="auto"/>
            <w:right w:val="none" w:sz="0" w:space="0" w:color="auto"/>
          </w:divBdr>
        </w:div>
      </w:divsChild>
    </w:div>
    <w:div w:id="1706102657">
      <w:marLeft w:val="0"/>
      <w:marRight w:val="0"/>
      <w:marTop w:val="120"/>
      <w:marBottom w:val="120"/>
      <w:divBdr>
        <w:top w:val="none" w:sz="0" w:space="0" w:color="auto"/>
        <w:left w:val="none" w:sz="0" w:space="0" w:color="auto"/>
        <w:bottom w:val="single" w:sz="12" w:space="0" w:color="000000"/>
        <w:right w:val="none" w:sz="0" w:space="0" w:color="auto"/>
      </w:divBdr>
    </w:div>
    <w:div w:id="1717579561">
      <w:marLeft w:val="0"/>
      <w:marRight w:val="0"/>
      <w:marTop w:val="120"/>
      <w:marBottom w:val="120"/>
      <w:divBdr>
        <w:top w:val="none" w:sz="0" w:space="0" w:color="auto"/>
        <w:left w:val="none" w:sz="0" w:space="0" w:color="auto"/>
        <w:bottom w:val="single" w:sz="12" w:space="0" w:color="000000"/>
        <w:right w:val="none" w:sz="0" w:space="0" w:color="auto"/>
      </w:divBdr>
    </w:div>
    <w:div w:id="1813331561">
      <w:marLeft w:val="0"/>
      <w:marRight w:val="0"/>
      <w:marTop w:val="120"/>
      <w:marBottom w:val="120"/>
      <w:divBdr>
        <w:top w:val="none" w:sz="0" w:space="0" w:color="auto"/>
        <w:left w:val="none" w:sz="0" w:space="0" w:color="auto"/>
        <w:bottom w:val="single" w:sz="12" w:space="0" w:color="000000"/>
        <w:right w:val="none" w:sz="0" w:space="0" w:color="auto"/>
      </w:divBdr>
    </w:div>
    <w:div w:id="1815827519">
      <w:marLeft w:val="0"/>
      <w:marRight w:val="0"/>
      <w:marTop w:val="120"/>
      <w:marBottom w:val="120"/>
      <w:divBdr>
        <w:top w:val="none" w:sz="0" w:space="0" w:color="auto"/>
        <w:left w:val="none" w:sz="0" w:space="0" w:color="auto"/>
        <w:bottom w:val="none" w:sz="0" w:space="0" w:color="auto"/>
        <w:right w:val="none" w:sz="0" w:space="0" w:color="auto"/>
      </w:divBdr>
    </w:div>
    <w:div w:id="1826773268">
      <w:marLeft w:val="0"/>
      <w:marRight w:val="0"/>
      <w:marTop w:val="120"/>
      <w:marBottom w:val="120"/>
      <w:divBdr>
        <w:top w:val="none" w:sz="0" w:space="0" w:color="auto"/>
        <w:left w:val="none" w:sz="0" w:space="0" w:color="auto"/>
        <w:bottom w:val="single" w:sz="12" w:space="0" w:color="000000"/>
        <w:right w:val="none" w:sz="0" w:space="0" w:color="auto"/>
      </w:divBdr>
    </w:div>
    <w:div w:id="1828471828">
      <w:marLeft w:val="0"/>
      <w:marRight w:val="0"/>
      <w:marTop w:val="120"/>
      <w:marBottom w:val="120"/>
      <w:divBdr>
        <w:top w:val="none" w:sz="0" w:space="0" w:color="auto"/>
        <w:left w:val="none" w:sz="0" w:space="0" w:color="auto"/>
        <w:bottom w:val="none" w:sz="0" w:space="0" w:color="auto"/>
        <w:right w:val="none" w:sz="0" w:space="0" w:color="auto"/>
      </w:divBdr>
    </w:div>
    <w:div w:id="1841774431">
      <w:marLeft w:val="0"/>
      <w:marRight w:val="0"/>
      <w:marTop w:val="120"/>
      <w:marBottom w:val="120"/>
      <w:divBdr>
        <w:top w:val="none" w:sz="0" w:space="0" w:color="auto"/>
        <w:left w:val="none" w:sz="0" w:space="0" w:color="auto"/>
        <w:bottom w:val="single" w:sz="12" w:space="0" w:color="000000"/>
        <w:right w:val="none" w:sz="0" w:space="0" w:color="auto"/>
      </w:divBdr>
    </w:div>
    <w:div w:id="1885946750">
      <w:marLeft w:val="0"/>
      <w:marRight w:val="0"/>
      <w:marTop w:val="120"/>
      <w:marBottom w:val="120"/>
      <w:divBdr>
        <w:top w:val="none" w:sz="0" w:space="0" w:color="auto"/>
        <w:left w:val="none" w:sz="0" w:space="0" w:color="auto"/>
        <w:bottom w:val="none" w:sz="0" w:space="0" w:color="auto"/>
        <w:right w:val="none" w:sz="0" w:space="0" w:color="auto"/>
      </w:divBdr>
    </w:div>
    <w:div w:id="1961565752">
      <w:marLeft w:val="0"/>
      <w:marRight w:val="0"/>
      <w:marTop w:val="120"/>
      <w:marBottom w:val="120"/>
      <w:divBdr>
        <w:top w:val="none" w:sz="0" w:space="0" w:color="auto"/>
        <w:left w:val="none" w:sz="0" w:space="0" w:color="auto"/>
        <w:bottom w:val="single" w:sz="12" w:space="0" w:color="000000"/>
        <w:right w:val="none" w:sz="0" w:space="0" w:color="auto"/>
      </w:divBdr>
    </w:div>
    <w:div w:id="1968317377">
      <w:marLeft w:val="0"/>
      <w:marRight w:val="0"/>
      <w:marTop w:val="120"/>
      <w:marBottom w:val="120"/>
      <w:divBdr>
        <w:top w:val="none" w:sz="0" w:space="0" w:color="auto"/>
        <w:left w:val="none" w:sz="0" w:space="0" w:color="auto"/>
        <w:bottom w:val="none" w:sz="0" w:space="0" w:color="auto"/>
        <w:right w:val="none" w:sz="0" w:space="0" w:color="auto"/>
      </w:divBdr>
    </w:div>
    <w:div w:id="2017226653">
      <w:marLeft w:val="0"/>
      <w:marRight w:val="0"/>
      <w:marTop w:val="120"/>
      <w:marBottom w:val="120"/>
      <w:divBdr>
        <w:top w:val="none" w:sz="0" w:space="0" w:color="auto"/>
        <w:left w:val="none" w:sz="0" w:space="0" w:color="auto"/>
        <w:bottom w:val="none" w:sz="0" w:space="0" w:color="auto"/>
        <w:right w:val="none" w:sz="0" w:space="0" w:color="auto"/>
      </w:divBdr>
    </w:div>
    <w:div w:id="2052029122">
      <w:marLeft w:val="0"/>
      <w:marRight w:val="0"/>
      <w:marTop w:val="120"/>
      <w:marBottom w:val="120"/>
      <w:divBdr>
        <w:top w:val="none" w:sz="0" w:space="0" w:color="auto"/>
        <w:left w:val="none" w:sz="0" w:space="0" w:color="auto"/>
        <w:bottom w:val="single" w:sz="12" w:space="0" w:color="000000"/>
        <w:right w:val="none" w:sz="0" w:space="0" w:color="auto"/>
      </w:divBdr>
    </w:div>
    <w:div w:id="2062513472">
      <w:marLeft w:val="0"/>
      <w:marRight w:val="0"/>
      <w:marTop w:val="120"/>
      <w:marBottom w:val="120"/>
      <w:divBdr>
        <w:top w:val="none" w:sz="0" w:space="0" w:color="auto"/>
        <w:left w:val="none" w:sz="0" w:space="0" w:color="auto"/>
        <w:bottom w:val="single" w:sz="12" w:space="0" w:color="000000"/>
        <w:right w:val="none" w:sz="0" w:space="0" w:color="auto"/>
      </w:divBdr>
    </w:div>
    <w:div w:id="2087140741">
      <w:marLeft w:val="0"/>
      <w:marRight w:val="0"/>
      <w:marTop w:val="120"/>
      <w:marBottom w:val="120"/>
      <w:divBdr>
        <w:top w:val="none" w:sz="0" w:space="0" w:color="auto"/>
        <w:left w:val="none" w:sz="0" w:space="0" w:color="auto"/>
        <w:bottom w:val="none" w:sz="0" w:space="0" w:color="auto"/>
        <w:right w:val="none" w:sz="0" w:space="0" w:color="auto"/>
      </w:divBdr>
    </w:div>
    <w:div w:id="2088573399">
      <w:marLeft w:val="0"/>
      <w:marRight w:val="0"/>
      <w:marTop w:val="120"/>
      <w:marBottom w:val="120"/>
      <w:divBdr>
        <w:top w:val="none" w:sz="0" w:space="0" w:color="auto"/>
        <w:left w:val="none" w:sz="0" w:space="0" w:color="auto"/>
        <w:bottom w:val="single" w:sz="12" w:space="0" w:color="000000"/>
        <w:right w:val="none" w:sz="0" w:space="0" w:color="auto"/>
      </w:divBdr>
    </w:div>
    <w:div w:id="2094349585">
      <w:marLeft w:val="0"/>
      <w:marRight w:val="0"/>
      <w:marTop w:val="120"/>
      <w:marBottom w:val="120"/>
      <w:divBdr>
        <w:top w:val="none" w:sz="0" w:space="0" w:color="auto"/>
        <w:left w:val="none" w:sz="0" w:space="0" w:color="auto"/>
        <w:bottom w:val="none" w:sz="0" w:space="0" w:color="auto"/>
        <w:right w:val="none" w:sz="0" w:space="0" w:color="auto"/>
      </w:divBdr>
    </w:div>
    <w:div w:id="2103405293">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form10-q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26902</Words>
  <Characters>153347</Characters>
  <Application>Microsoft Office Word</Application>
  <DocSecurity>0</DocSecurity>
  <Lines>1277</Lines>
  <Paragraphs>359</Paragraphs>
  <ScaleCrop>false</ScaleCrop>
  <Company/>
  <LinksUpToDate>false</LinksUpToDate>
  <CharactersWithSpaces>179890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