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A6737">
      <w:pPr>
        <w:divId w:val="1328822820"/>
        <w:rPr>
          <w:rFonts w:eastAsia="Times New Roman"/>
          <w:vanish/>
          <w:sz w:val="20"/>
          <w:szCs w:val="20"/>
        </w:rPr>
      </w:pPr>
      <w:r>
        <w:rPr>
          <w:rFonts w:eastAsia="Times New Roman"/>
          <w:vanish/>
          <w:sz w:val="20"/>
          <w:szCs w:val="20"/>
        </w:rPr>
        <w:t xml:space="preserve">0001582982 false FY P5Y 0001582982 2022-01-01 2022-12-31 0001582982 CCLD:CommonStockParValue0.001PerShareMember 2022-01-01 2022-12-31 0001582982 </w:t>
      </w:r>
      <w:r>
        <w:rPr>
          <w:rFonts w:eastAsia="Times New Roman"/>
          <w:vanish/>
          <w:sz w:val="20"/>
          <w:szCs w:val="20"/>
        </w:rPr>
        <w:t>CCLD:Sec11SeriesCumulativeRedeemablePerpetualPreferredStockParValue0.001PerShareMember 2022-01-01 2022-12-31 0001582982 CCLD:Sec8.75SeriesBCumulativeRedeemablePerpetualPreferredStockParValue0.001PerShareMember 2022-01-01 2022-12-31 0001582982 2022-06-30 00</w:t>
      </w:r>
      <w:r>
        <w:rPr>
          <w:rFonts w:eastAsia="Times New Roman"/>
          <w:vanish/>
          <w:sz w:val="20"/>
          <w:szCs w:val="20"/>
        </w:rPr>
        <w:t>01582982 2023-02-27 0001582982 2022-12-31 0001582982 2021-12-31 0001582982 us-gaap:SeriesAPreferredStockMember 2022-12-31 0001582982 us-gaap:SeriesAPreferredStockMember 2021-12-31 0001582982 us-gaap:SeriesBPreferredStockMember 2022-12-31 0001582982 2021-01</w:t>
      </w:r>
      <w:r>
        <w:rPr>
          <w:rFonts w:eastAsia="Times New Roman"/>
          <w:vanish/>
          <w:sz w:val="20"/>
          <w:szCs w:val="20"/>
        </w:rPr>
        <w:t>-01 2021-12-31 0001582982 us-gaap:PreferredStockMember us-gaap:SeriesAPreferredStockMember 2021-12-31 0001582982 us-gaap:PreferredStockMember us-gaap:SeriesBPreferredStockMember 2021-12-31 0001582982 us-gaap:CommonStockMember 2021-12-31 0001582982 us-gaap:</w:t>
      </w:r>
      <w:r>
        <w:rPr>
          <w:rFonts w:eastAsia="Times New Roman"/>
          <w:vanish/>
          <w:sz w:val="20"/>
          <w:szCs w:val="20"/>
        </w:rPr>
        <w:t xml:space="preserve">AdditionalPaidInCapitalMember 2021-12-31 0001582982 us-gaap:RetainedEarningsMember 2021-12-31 0001582982 us-gaap:AccumulatedOtherComprehensiveIncomeMember 2021-12-31 0001582982 us-gaap:TreasuryStockMember 2021-12-31 0001582982 us-gaap:PreferredStockMember </w:t>
      </w:r>
      <w:r>
        <w:rPr>
          <w:rFonts w:eastAsia="Times New Roman"/>
          <w:vanish/>
          <w:sz w:val="20"/>
          <w:szCs w:val="20"/>
        </w:rPr>
        <w:t>us-gaap:SeriesAPreferredStockMember 2020-12-31 0001582982 us-gaap:PreferredStockMember us-gaap:SeriesBPreferredStockMember 2020-12-31 0001582982 us-gaap:CommonStockMember 2020-12-31 0001582982 us-gaap:AdditionalPaidInCapitalMember 2020-12-31 0001582982 us-</w:t>
      </w:r>
      <w:r>
        <w:rPr>
          <w:rFonts w:eastAsia="Times New Roman"/>
          <w:vanish/>
          <w:sz w:val="20"/>
          <w:szCs w:val="20"/>
        </w:rPr>
        <w:t>gaap:RetainedEarningsMember 2020-12-31 0001582982 us-gaap:AccumulatedOtherComprehensiveIncomeMember 2020-12-31 0001582982 us-gaap:TreasuryStockMember 2020-12-31 0001582982 2020-12-31 0001582982 us-gaap:PreferredStockMember us-gaap:SeriesAPreferredStockMemb</w:t>
      </w:r>
      <w:r>
        <w:rPr>
          <w:rFonts w:eastAsia="Times New Roman"/>
          <w:vanish/>
          <w:sz w:val="20"/>
          <w:szCs w:val="20"/>
        </w:rPr>
        <w:t>er 2022-01-01 2022-12-31 0001582982 us-gaap:PreferredStockMember us-gaap:SeriesBPreferredStockMember 2022-01-01 2022-12-31 0001582982 us-gaap:CommonStockMember 2022-01-01 2022-12-31 0001582982 us-gaap:AdditionalPaidInCapitalMember 2022-01-01 2022-12-31 000</w:t>
      </w:r>
      <w:r>
        <w:rPr>
          <w:rFonts w:eastAsia="Times New Roman"/>
          <w:vanish/>
          <w:sz w:val="20"/>
          <w:szCs w:val="20"/>
        </w:rPr>
        <w:t>1582982 us-gaap:RetainedEarningsMember 2022-01-01 2022-12-31 0001582982 us-gaap:AccumulatedOtherComprehensiveIncomeMember 2022-01-01 2022-12-31 0001582982 us-gaap:TreasuryStockMember 2022-01-01 2022-12-31 0001582982 us-gaap:PreferredStockMember us-gaap:Ser</w:t>
      </w:r>
      <w:r>
        <w:rPr>
          <w:rFonts w:eastAsia="Times New Roman"/>
          <w:vanish/>
          <w:sz w:val="20"/>
          <w:szCs w:val="20"/>
        </w:rPr>
        <w:t>iesAPreferredStockMember 2021-01-01 2021-12-31 0001582982 us-gaap:PreferredStockMember us-gaap:SeriesBPreferredStockMember 2021-01-01 2021-12-31 0001582982 us-gaap:CommonStockMember 2021-01-01 2021-12-31 0001582982 us-gaap:AdditionalPaidInCapitalMember 202</w:t>
      </w:r>
      <w:r>
        <w:rPr>
          <w:rFonts w:eastAsia="Times New Roman"/>
          <w:vanish/>
          <w:sz w:val="20"/>
          <w:szCs w:val="20"/>
        </w:rPr>
        <w:t>1-01-01 2021-12-31 0001582982 us-gaap:RetainedEarningsMember 2021-01-01 2021-12-31 0001582982 us-gaap:AccumulatedOtherComprehensiveIncomeMember 2021-01-01 2021-12-31 0001582982 us-gaap:TreasuryStockMember 2021-01-01 2021-12-31 0001582982 us-gaap:PreferredS</w:t>
      </w:r>
      <w:r>
        <w:rPr>
          <w:rFonts w:eastAsia="Times New Roman"/>
          <w:vanish/>
          <w:sz w:val="20"/>
          <w:szCs w:val="20"/>
        </w:rPr>
        <w:t>tockMember us-gaap:SeriesAPreferredStockMember 2022-12-31 0001582982 us-gaap:PreferredStockMember us-gaap:SeriesBPreferredStockMember 2022-12-31 0001582982 us-gaap:CommonStockMember 2022-12-31 0001582982 us-gaap:AdditionalPaidInCapitalMember 2022-12-31 000</w:t>
      </w:r>
      <w:r>
        <w:rPr>
          <w:rFonts w:eastAsia="Times New Roman"/>
          <w:vanish/>
          <w:sz w:val="20"/>
          <w:szCs w:val="20"/>
        </w:rPr>
        <w:t>1582982 us-gaap:RetainedEarningsMember 2022-12-31 0001582982 us-gaap:AccumulatedOtherComprehensiveIncomeMember 2022-12-31 0001582982 us-gaap:TreasuryStockMember 2022-12-31 0001582982 CCLD:MTBCPrivateLimitedMember 2004-12-31 0001582982 CCLD:MTBCPrivateLimit</w:t>
      </w:r>
      <w:r>
        <w:rPr>
          <w:rFonts w:eastAsia="Times New Roman"/>
          <w:vanish/>
          <w:sz w:val="20"/>
          <w:szCs w:val="20"/>
        </w:rPr>
        <w:t>edMember CCLD:FounderAndExecutiveChairmanMember 2004-12-31 0001582982 CCLD:MTBCBaghPvtLtdMember 2022-04-01 0001582982 CCLD:MTBCBaghPvtLtdMember CCLD:FounderAndExecutiveChairmanMember 2022-04-01 0001582982 CCLD:AssetAndStockPurchaseAgreementMember CCLD:MedM</w:t>
      </w:r>
      <w:r>
        <w:rPr>
          <w:rFonts w:eastAsia="Times New Roman"/>
          <w:vanish/>
          <w:sz w:val="20"/>
          <w:szCs w:val="20"/>
        </w:rPr>
        <w:t>aticaMember 2021-05-31 2021-06-01 0001582982 CCLD:AssetAndStockPurchaseAgreementMember CCLD:MedMaticaMember 2021-06-01 0001582982 CCLD:MedSRMember 2021-06-01 0001582982 CCLD:MedSRMember 2021-12-31 0001582982 CCLD:MedSRMember 2021-05-31 2021-06-01 000158298</w:t>
      </w:r>
      <w:r>
        <w:rPr>
          <w:rFonts w:eastAsia="Times New Roman"/>
          <w:vanish/>
          <w:sz w:val="20"/>
          <w:szCs w:val="20"/>
        </w:rPr>
        <w:t>2 CCLD:MedSRMember 2021-07-01 2021-09-30 0001582982 CCLD:MedSRMember 2021-09-30 0001582982 CCLD:MedSRMember 2022-01-01 2022-12-31 0001582982 CCLD:MedSRPurchasePriceMember 2022-12-31 0001582982 CCLD:MedSRMember 2022-12-31 0001582982 CCLD:MedSRMember 2021-01</w:t>
      </w:r>
      <w:r>
        <w:rPr>
          <w:rFonts w:eastAsia="Times New Roman"/>
          <w:vanish/>
          <w:sz w:val="20"/>
          <w:szCs w:val="20"/>
        </w:rPr>
        <w:t>-01 2021-12-31 0001582982 CCLD:Acquisition2021Member CCLD:MeridianBillingManagementCoMember 2022-01-01 2022-12-31 0001582982 2021-05-31 2021-06-01 0001582982 CCLD:MedSRPurchasePriceMember 2021-06-01 0001582982 CCLD:MedicalPracticeManagementSegmentHealthcar</w:t>
      </w:r>
      <w:r>
        <w:rPr>
          <w:rFonts w:eastAsia="Times New Roman"/>
          <w:vanish/>
          <w:sz w:val="20"/>
          <w:szCs w:val="20"/>
        </w:rPr>
        <w:t>eITSegmentMember 2022-12-31 0001582982 CCLD:MedicalPracticeManagementSegmentHealthcareITSegmentMember 2021-12-31 0001582982 us-gaap:CustomerRelationshipsMember 2021-12-31 0001582982 CCLD:CapitalizedSoftwareMember 2021-12-31 0001582982 us-gaap:OtherIntangib</w:t>
      </w:r>
      <w:r>
        <w:rPr>
          <w:rFonts w:eastAsia="Times New Roman"/>
          <w:vanish/>
          <w:sz w:val="20"/>
          <w:szCs w:val="20"/>
        </w:rPr>
        <w:t>leAssetsMember 2021-12-31 0001582982 us-gaap:CustomerRelationshipsMember 2022-01-01 2022-12-31 0001582982 CCLD:CapitalizedSoftwareMember 2022-01-01 2022-12-31 0001582982 us-gaap:OtherIntangibleAssetsMember 2022-01-01 2022-12-31 0001582982 us-gaap:CustomerR</w:t>
      </w:r>
      <w:r>
        <w:rPr>
          <w:rFonts w:eastAsia="Times New Roman"/>
          <w:vanish/>
          <w:sz w:val="20"/>
          <w:szCs w:val="20"/>
        </w:rPr>
        <w:t>elationshipsMember 2021-01-01 2021-12-31 0001582982 CCLD:CapitalizedSoftwareMember 2021-01-01 2021-12-31 0001582982 us-gaap:OtherIntangibleAssetsMember 2021-01-01 2021-12-31 0001582982 us-gaap:CustomerRelationshipsMember 2022-12-31 0001582982 CCLD:Capitali</w:t>
      </w:r>
      <w:r>
        <w:rPr>
          <w:rFonts w:eastAsia="Times New Roman"/>
          <w:vanish/>
          <w:sz w:val="20"/>
          <w:szCs w:val="20"/>
        </w:rPr>
        <w:t>zedSoftwareMember 2022-12-31 0001582982 us-gaap:OtherIntangibleAssetsMember 2022-12-31 0001582982 srt:MinimumMember us-gaap:CustomerRelationshipsMember 2022-01-01 2022-12-31 0001582982 srt:MaximumMember us-gaap:CustomerRelationshipsMember 2022-01-01 2022-1</w:t>
      </w:r>
      <w:r>
        <w:rPr>
          <w:rFonts w:eastAsia="Times New Roman"/>
          <w:vanish/>
          <w:sz w:val="20"/>
          <w:szCs w:val="20"/>
        </w:rPr>
        <w:t>2-31 0001582982 us-gaap:CustomerRelationshipsMember 2020-12-31 0001582982 CCLD:CapitalizedSoftwareMember 2020-12-31 0001582982 us-gaap:OtherIntangibleAssetsMember 2020-12-31 0001582982 srt:MinimumMember us-gaap:CustomerRelationshipsMember 2021-01-01 2021-1</w:t>
      </w:r>
      <w:r>
        <w:rPr>
          <w:rFonts w:eastAsia="Times New Roman"/>
          <w:vanish/>
          <w:sz w:val="20"/>
          <w:szCs w:val="20"/>
        </w:rPr>
        <w:t>2-31 0001582982 srt:MaximumMember us-gaap:CustomerRelationshipsMember 2021-01-01 2021-12-31 0001582982 us-gaap:ComputerEquipmentMember 2022-12-31 0001582982 us-gaap:ComputerEquipmentMember 2021-12-31 0001582982 CCLD:OfficeFurnitureAndEquipmentMember 2022-1</w:t>
      </w:r>
      <w:r>
        <w:rPr>
          <w:rFonts w:eastAsia="Times New Roman"/>
          <w:vanish/>
          <w:sz w:val="20"/>
          <w:szCs w:val="20"/>
        </w:rPr>
        <w:t>2-31 0001582982 CCLD:OfficeFurnitureAndEquipmentMember 2021-12-31 0001582982 us-gaap:TransportationEquipmentMember 2022-12-31 0001582982 us-gaap:TransportationEquipmentMember 2021-12-31 0001582982 us-gaap:LeaseholdImprovementsMember 2022-12-31 0001582982 u</w:t>
      </w:r>
      <w:r>
        <w:rPr>
          <w:rFonts w:eastAsia="Times New Roman"/>
          <w:vanish/>
          <w:sz w:val="20"/>
          <w:szCs w:val="20"/>
        </w:rPr>
        <w:t>s-gaap:LeaseholdImprovementsMember 2021-12-31 0001582982 CCLD:AssetsNotPlacedInServiceMember 2022-12-31 0001582982 CCLD:AssetsNotPlacedInServiceMember 2021-12-31 0001582982 CCLD:CustomerOneMember us-gaap:AccountsReceivableMember us-gaap:CustomerConcentrati</w:t>
      </w:r>
      <w:r>
        <w:rPr>
          <w:rFonts w:eastAsia="Times New Roman"/>
          <w:vanish/>
          <w:sz w:val="20"/>
          <w:szCs w:val="20"/>
        </w:rPr>
        <w:t>onRiskMember 2022-01-01 2022-12-31 0001582982 CCLD:CustomerTwoMember us-gaap:AccountsReceivableMember us-gaap:CustomerConcentrationRiskMember 2022-01-01 2022-12-31 0001582982 CCLD:CustomerOneMember us-gaap:AccountsReceivableMember us-gaap:CustomerConcentra</w:t>
      </w:r>
      <w:r>
        <w:rPr>
          <w:rFonts w:eastAsia="Times New Roman"/>
          <w:vanish/>
          <w:sz w:val="20"/>
          <w:szCs w:val="20"/>
        </w:rPr>
        <w:t>tionRiskMember 2021-01-01 2021-12-31 0001582982 CCLD:CustomerTwoMember us-gaap:AccountsReceivableMember us-gaap:CustomerConcentrationRiskMember 2021-01-01 2021-12-31 0001582982 CCLD:OneCustomerMember us-gaap:SalesRevenueNetMember us-gaap:CustomerConcentrat</w:t>
      </w:r>
      <w:r>
        <w:rPr>
          <w:rFonts w:eastAsia="Times New Roman"/>
          <w:vanish/>
          <w:sz w:val="20"/>
          <w:szCs w:val="20"/>
        </w:rPr>
        <w:t>ionRiskMember 2022-01-01 2022-12-31 0001582982 CCLD:OneCustomerMember us-gaap:SalesRevenueNetMember us-gaap:CustomerConcentrationRiskMember 2021-01-01 2021-12-31 0001582982 us-gaap:NonUsMember 2022-12-31 0001582982 us-gaap:NonUsMember 2021-12-31 0001582982</w:t>
      </w:r>
      <w:r>
        <w:rPr>
          <w:rFonts w:eastAsia="Times New Roman"/>
          <w:vanish/>
          <w:sz w:val="20"/>
          <w:szCs w:val="20"/>
        </w:rPr>
        <w:t xml:space="preserve"> CCLD:RestrictedStockUnitsMember 2022-01-01 2022-12-31 0001582982 CCLD:UnexercisedWarrantsMember 2022-01-01 2022-12-31 0001582982 srt:MinimumMember 2022-12-31 0001582982 srt:MaximumMember 2022-12-31 0001582982 CCLD:RestrictedStockUnitsMember 2021-01-01 202</w:t>
      </w:r>
      <w:r>
        <w:rPr>
          <w:rFonts w:eastAsia="Times New Roman"/>
          <w:vanish/>
          <w:sz w:val="20"/>
          <w:szCs w:val="20"/>
        </w:rPr>
        <w:t>1-12-31 0001582982 CCLD:UnexercisedWarrantsMember 2021-01-01 2021-12-31 0001582982 CCLD:SVBCreditFacilityMember 2017-10-31 0001582982 CCLD:SVBCreditFacilityMember srt:MinimumMember 2018-09-30 0001582982 CCLD:SVBCreditFacilityMember srt:MaximumMember 2018-0</w:t>
      </w:r>
      <w:r>
        <w:rPr>
          <w:rFonts w:eastAsia="Times New Roman"/>
          <w:vanish/>
          <w:sz w:val="20"/>
          <w:szCs w:val="20"/>
        </w:rPr>
        <w:t>9-30 0001582982 CCLD:SVBCreditFacilityMember 2021-09-30 0001582982 CCLD:SVBCreditFacilityMember us-gaap:SubsequentEventMember 2023-02-28 0001582982 CCLD:SVBCreditFacilityMember 2022-12-31 0001582982 CCLD:SVBCreditFacilityMember 2021-12-31 0001582982 CCLD:S</w:t>
      </w:r>
      <w:r>
        <w:rPr>
          <w:rFonts w:eastAsia="Times New Roman"/>
          <w:vanish/>
          <w:sz w:val="20"/>
          <w:szCs w:val="20"/>
        </w:rPr>
        <w:t>VBCreditFacilityMember us-gaap:PrimeRateMember 2017-10-31 0001582982 CCLD:SVBCreditFacilityMember 2017-10-01 2017-10-31 0001582982 CCLD:SVBDebtAgreementMember 2017-10-01 2017-10-31 0001582982 CCLD:SVBDebtAgreementMember 2017-10-31 0001582982 CCLD:SVBCredit</w:t>
      </w:r>
      <w:r>
        <w:rPr>
          <w:rFonts w:eastAsia="Times New Roman"/>
          <w:vanish/>
          <w:sz w:val="20"/>
          <w:szCs w:val="20"/>
        </w:rPr>
        <w:t>FacilityMember srt:MinimumMember 2017-10-31 0001582982 CCLD:SVBCreditFacilityMember srt:MaximumMember 2017-10-31 0001582982 CCLD:SVBDebtAgreementMember CCLD:AdditionalWarrantMember 2017-10-31 0001582982 CCLD:VehicleFinancingNotesMember 2022-01-01 2022-12-3</w:t>
      </w:r>
      <w:r>
        <w:rPr>
          <w:rFonts w:eastAsia="Times New Roman"/>
          <w:vanish/>
          <w:sz w:val="20"/>
          <w:szCs w:val="20"/>
        </w:rPr>
        <w:t>1 0001582982 CCLD:InsuranceFinancingMember 2022-12-31 0001582982 us-gaap:LineOfCreditMember 2022-12-31 0001582982 CCLD:VehicleFinancingNotesMember 2022-12-31 0001582982 CCLD:HealthcareITMember CCLD:TechnologyEnabledBusinessSolutionsMember 2022-01-01 2022-1</w:t>
      </w:r>
      <w:r>
        <w:rPr>
          <w:rFonts w:eastAsia="Times New Roman"/>
          <w:vanish/>
          <w:sz w:val="20"/>
          <w:szCs w:val="20"/>
        </w:rPr>
        <w:t>2-31 0001582982 CCLD:HealthcareITMember CCLD:TechnologyEnabledBusinessSolutionsMember 2021-01-01 2021-12-31 0001582982 CCLD:HealthcareITMember CCLD:ProfessionalServicesMember 2022-01-01 2022-12-31 0001582982 CCLD:HealthcareITMember CCLD:ProfessionalService</w:t>
      </w:r>
      <w:r>
        <w:rPr>
          <w:rFonts w:eastAsia="Times New Roman"/>
          <w:vanish/>
          <w:sz w:val="20"/>
          <w:szCs w:val="20"/>
        </w:rPr>
        <w:t>sMember 2021-01-01 2021-12-31 0001582982 CCLD:HealthcareITMember CCLD:PrintingAndMailingServicesMember 2022-01-01 2022-12-31 0001582982 CCLD:HealthcareITMember CCLD:PrintingAndMailingServicesMember 2021-01-01 2021-12-31 0001582982 CCLD:HealthcareITMember C</w:t>
      </w:r>
      <w:r>
        <w:rPr>
          <w:rFonts w:eastAsia="Times New Roman"/>
          <w:vanish/>
          <w:sz w:val="20"/>
          <w:szCs w:val="20"/>
        </w:rPr>
        <w:t>CLD:GroupPurchasingServicesMember 2022-01-01 2022-12-31 0001582982 CCLD:HealthcareITMember CCLD:GroupPurchasingServicesMember 2021-01-01 2021-12-31 0001582982 CCLD:MedicalPracticeManagementMember 2022-01-01 2022-12-31 0001582982 CCLD:MedicalPracticeManagem</w:t>
      </w:r>
      <w:r>
        <w:rPr>
          <w:rFonts w:eastAsia="Times New Roman"/>
          <w:vanish/>
          <w:sz w:val="20"/>
          <w:szCs w:val="20"/>
        </w:rPr>
        <w:t>entMember 2021-01-01 2021-12-31 0001582982 CCLD:RevenueCycleManagementandOrionAcquisitionMember 2022-12-31 0001582982 CCLD:OrionAcquisitionMember 2022-01-01 2022-12-31 0001582982 CCLD:OrionAcquisitionMember 2022-12-31 0001582982 us-gaap:AccountsReceivableM</w:t>
      </w:r>
      <w:r>
        <w:rPr>
          <w:rFonts w:eastAsia="Times New Roman"/>
          <w:vanish/>
          <w:sz w:val="20"/>
          <w:szCs w:val="20"/>
        </w:rPr>
        <w:t>ember 2021-12-31 0001582982 CCLD:ContractAssetMember 2021-12-31 0001582982 us-gaap:ShortTermContractWithCustomerMember 2021-12-31 0001582982 us-gaap:LongTermContractWithCustomerMember 2021-12-31 0001582982 us-gaap:AccountsReceivableMember 2022-01-01 2022-1</w:t>
      </w:r>
      <w:r>
        <w:rPr>
          <w:rFonts w:eastAsia="Times New Roman"/>
          <w:vanish/>
          <w:sz w:val="20"/>
          <w:szCs w:val="20"/>
        </w:rPr>
        <w:t>2-31 0001582982 CCLD:ContractAssetMember 2022-01-01 2022-12-31 0001582982 us-gaap:ShortTermContractWithCustomerMember 2022-01-01 2022-12-31 0001582982 us-gaap:LongTermContractWithCustomerMember 2022-01-01 2022-12-31 0001582982 us-gaap:AccountsReceivableMem</w:t>
      </w:r>
      <w:r>
        <w:rPr>
          <w:rFonts w:eastAsia="Times New Roman"/>
          <w:vanish/>
          <w:sz w:val="20"/>
          <w:szCs w:val="20"/>
        </w:rPr>
        <w:t>ber 2022-12-31 0001582982 CCLD:ContractAssetMember 2022-12-31 0001582982 us-gaap:ShortTermContractWithCustomerMember 2022-12-31 0001582982 us-gaap:LongTermContractWithCustomerMember 2022-12-31 0001582982 us-gaap:AccountsReceivableMember 2020-12-31 00015829</w:t>
      </w:r>
      <w:r>
        <w:rPr>
          <w:rFonts w:eastAsia="Times New Roman"/>
          <w:vanish/>
          <w:sz w:val="20"/>
          <w:szCs w:val="20"/>
        </w:rPr>
        <w:t>82 CCLD:ContractAssetMember 2020-12-31 0001582982 us-gaap:ShortTermContractWithCustomerMember 2020-12-31 0001582982 us-gaap:LongTermContractWithCustomerMember 2020-12-31 0001582982 us-gaap:AccountsReceivableMember 2021-01-01 2021-12-31 0001582982 CCLD:Cont</w:t>
      </w:r>
      <w:r>
        <w:rPr>
          <w:rFonts w:eastAsia="Times New Roman"/>
          <w:vanish/>
          <w:sz w:val="20"/>
          <w:szCs w:val="20"/>
        </w:rPr>
        <w:t>ractAssetMember 2021-01-01 2021-12-31 0001582982 us-gaap:ShortTermContractWithCustomerMember 2021-01-01 2021-12-31 0001582982 us-gaap:LongTermContractWithCustomerMember 2021-01-01 2021-12-31 0001582982 CCLD:TreasuryStockOneMember 2022-01-01 2022-12-31 0001</w:t>
      </w:r>
      <w:r>
        <w:rPr>
          <w:rFonts w:eastAsia="Times New Roman"/>
          <w:vanish/>
          <w:sz w:val="20"/>
          <w:szCs w:val="20"/>
        </w:rPr>
        <w:t xml:space="preserve">582982 CCLD:AtTheMarketMember 2022-01-01 2022-12-31 0001582982 CCLD:CommonStockAtTheMarketMember 2021-01-01 2021-12-31 0001582982 CCLD:CommonStockAtTheMarketMember 2022-01-01 2022-12-31 0001582982 CCLD:AtTheMarketMember us-gaap:SeriesBPreferredStockMember </w:t>
      </w:r>
      <w:r>
        <w:rPr>
          <w:rFonts w:eastAsia="Times New Roman"/>
          <w:vanish/>
          <w:sz w:val="20"/>
          <w:szCs w:val="20"/>
        </w:rPr>
        <w:t>2022-01-01 2022-12-31 0001582982 us-gaap:SeriesBPreferredStockMember 2022-01-01 2022-12-31 0001582982 us-gaap:PreferredStockMember us-gaap:SeriesAPreferredStockMember 2022-01-01 2022-03-18 0001582982 us-gaap:PreferredStockMember us-gaap:SeriesAPreferredSto</w:t>
      </w:r>
      <w:r>
        <w:rPr>
          <w:rFonts w:eastAsia="Times New Roman"/>
          <w:vanish/>
          <w:sz w:val="20"/>
          <w:szCs w:val="20"/>
        </w:rPr>
        <w:t>ckMember 2022-03-18 0001582982 us-gaap:SeriesAPreferredStockMember CCLD:CCHAcquisitionMember 2021-01-01 2021-12-31 0001582982 us-gaap:PreferredStockMember 2022-12-31 0001582982 srt:ScenarioForecastMember us-gaap:SeriesBPreferredStockMember 2024-02-15 00015</w:t>
      </w:r>
      <w:r>
        <w:rPr>
          <w:rFonts w:eastAsia="Times New Roman"/>
          <w:vanish/>
          <w:sz w:val="20"/>
          <w:szCs w:val="20"/>
        </w:rPr>
        <w:t>82982 srt:ScenarioForecastMember us-gaap:SeriesBPreferredStockMember 2025-02-15 0001582982 srt:ScenarioForecastMember us-gaap:SeriesBPreferredStockMember 2026-02-15 0001582982 srt:ScenarioForecastMember us-gaap:SeriesBPreferredStockMember 2027-02-15 000158</w:t>
      </w:r>
      <w:r>
        <w:rPr>
          <w:rFonts w:eastAsia="Times New Roman"/>
          <w:vanish/>
          <w:sz w:val="20"/>
          <w:szCs w:val="20"/>
        </w:rPr>
        <w:t>2982 us-gaap:SeriesAPreferredStockMember 2022-01-01 2022-12-31 0001582982 us-gaap:WarrantMember 2022-12-31 0001582982 CCLD:WarrantOneMember 2022-12-31 0001582982 CCLD:WarrantSixMember 2022-01-01 2022-12-31 0001582982 CCLD:WarrantTwoMember 2022-12-31 000158</w:t>
      </w:r>
      <w:r>
        <w:rPr>
          <w:rFonts w:eastAsia="Times New Roman"/>
          <w:vanish/>
          <w:sz w:val="20"/>
          <w:szCs w:val="20"/>
        </w:rPr>
        <w:t>2982 CCLD:WarrantSevenMember 2022-12-31 0001582982 CCLD:WarrantSevenMember 2022-01-01 2022-12-31 0001582982 CCLD:WarrantThreeMember 2022-12-31 0001582982 CCLD:WarrantEightMember 2022-12-31 0001582982 CCLD:WarrantEightMember 2022-01-01 2022-12-31 0001582982</w:t>
      </w:r>
      <w:r>
        <w:rPr>
          <w:rFonts w:eastAsia="Times New Roman"/>
          <w:vanish/>
          <w:sz w:val="20"/>
          <w:szCs w:val="20"/>
        </w:rPr>
        <w:t xml:space="preserve"> CCLD:WarrantFourMember 2022-12-31 0001582982 CCLD:WarrantFourMember 2021-12-31 0001582982 CCLD:WarrantNineMember 2022-12-31 0001582982 CCLD:WarrantNineMember 2021-12-31 0001582982 CCLD:TwoPublicOfferingsMember 2021-01-01 2021-12-31 0001582982 CCLD:EquityO</w:t>
      </w:r>
      <w:r>
        <w:rPr>
          <w:rFonts w:eastAsia="Times New Roman"/>
          <w:vanish/>
          <w:sz w:val="20"/>
          <w:szCs w:val="20"/>
        </w:rPr>
        <w:t>fferingsMember 2022-01-01 2022-12-31 0001582982 CCLD:EquityOfferingsMember 2021-01-01 2021-12-31 0001582982 2020-03-24 2020-03-25 0001582982 srt:MinimumMember 2022-01-01 2022-12-31 0001582982 srt:MaximumMember 2022-01-01 2022-12-31 0001582982 CCLD:Nonexclu</w:t>
      </w:r>
      <w:r>
        <w:rPr>
          <w:rFonts w:eastAsia="Times New Roman"/>
          <w:vanish/>
          <w:sz w:val="20"/>
          <w:szCs w:val="20"/>
        </w:rPr>
        <w:t>siveAircraftDryLeaseAgreementMember 2021-01-01 2021-12-31 0001582982 CCLD:PhysicianMember 2022-01-01 2022-12-31 0001582982 CCLD:PhysicianMember 2021-01-01 2021-12-31 0001582982 CCLD:PhysicianMember 2022-12-31 0001582982 CCLD:PhysicianMember 2021-12-31 0001</w:t>
      </w:r>
      <w:r>
        <w:rPr>
          <w:rFonts w:eastAsia="Times New Roman"/>
          <w:vanish/>
          <w:sz w:val="20"/>
          <w:szCs w:val="20"/>
        </w:rPr>
        <w:t>582982 CCLD:ExecutiveChairmanMember 2022-01-01 2022-12-31 0001582982 CCLD:ExecutiveChairmanMember 2021-01-01 2021-12-31 0001582982 CCLD:RelatedPartyLeaseMember 2022-12-31 0001582982 CCLD:RelatedPartyLeaseMember 2021-12-31 0001582982 srt:DirectorMember us-g</w:t>
      </w:r>
      <w:r>
        <w:rPr>
          <w:rFonts w:eastAsia="Times New Roman"/>
          <w:vanish/>
          <w:sz w:val="20"/>
          <w:szCs w:val="20"/>
        </w:rPr>
        <w:t>aap:SeriesBPreferredStockMember CCLD:ConsultingAgreementMember 2022-07-01 2022-07-31 0001582982 srt:DirectorMember us-gaap:SeriesBPreferredStockMember CCLD:FebruaryTwoThousandTwentyThreeMember CCLD:ConsultingAgreementMember 2022-01-01 2022-12-31 0001582982</w:t>
      </w:r>
      <w:r>
        <w:rPr>
          <w:rFonts w:eastAsia="Times New Roman"/>
          <w:vanish/>
          <w:sz w:val="20"/>
          <w:szCs w:val="20"/>
        </w:rPr>
        <w:t xml:space="preserve"> srt:DirectorMember us-gaap:SeriesBPreferredStockMember CCLD:JanuaryTwoThousandTwentyFourMember CCLD:ConsultingAgreementMember 2022-01-01 2022-12-31 0001582982 CCLD:TalkMDCliniciansMember 2022-01-01 2022-12-31 0001582982 CCLD:NonexclusiveAircraftDryLeaseAg</w:t>
      </w:r>
      <w:r>
        <w:rPr>
          <w:rFonts w:eastAsia="Times New Roman"/>
          <w:vanish/>
          <w:sz w:val="20"/>
          <w:szCs w:val="20"/>
        </w:rPr>
        <w:t>reementMember CCLD:KashmirAirIncMember 2021-01-01 2021-12-31 0001582982 CCLD:UnitedStatesPostretirementBenefitPlansOfUSEntityDefinedBenefitsMember 2022-01-01 2022-12-31 0001582982 CCLD:UnitedStatesPostretirementBenefitPlansOfUSEntityDefinedBenefitsMember 2</w:t>
      </w:r>
      <w:r>
        <w:rPr>
          <w:rFonts w:eastAsia="Times New Roman"/>
          <w:vanish/>
          <w:sz w:val="20"/>
          <w:szCs w:val="20"/>
        </w:rPr>
        <w:t>021-01-01 2021-12-31 0001582982 CCLD:DomesticPostretirementBenefitPlanOfForeignEntityDefinedBenefitMember us-gaap:ForeignPlanMember 2022-01-01 2022-12-31 0001582982 CCLD:DomesticPostretirementBenefitPlanOfForeignEntityDefinedBenefitMember us-gaap:ForeignPl</w:t>
      </w:r>
      <w:r>
        <w:rPr>
          <w:rFonts w:eastAsia="Times New Roman"/>
          <w:vanish/>
          <w:sz w:val="20"/>
          <w:szCs w:val="20"/>
        </w:rPr>
        <w:t>anMember 2021-01-01 2021-12-31 0001582982 CCLD:UnitedStatesPostretirementBenefitPlansOfUSEntityDefinedBenefitsMember CCLD:QualifiedCompensationDeferredPlanMember CCLD:MTBCPracticeManagementCorpMember 2022-01-01 2022-12-31 0001582982 CCLD:UnitedStatesPostre</w:t>
      </w:r>
      <w:r>
        <w:rPr>
          <w:rFonts w:eastAsia="Times New Roman"/>
          <w:vanish/>
          <w:sz w:val="20"/>
          <w:szCs w:val="20"/>
        </w:rPr>
        <w:t>tirementBenefitPlansOfUSEntityDefinedBenefitsMember CCLD:QualifiedCompensationDeferredPlanMember CCLD:MTBCPracticeManagementCorpMember 2021-01-01 2021-12-31 0001582982 CCLD:TwoThousandFourteenEquityIncentivePlanMember CCLD:EmployeesOfficersDirectorsAndCons</w:t>
      </w:r>
      <w:r>
        <w:rPr>
          <w:rFonts w:eastAsia="Times New Roman"/>
          <w:vanish/>
          <w:sz w:val="20"/>
          <w:szCs w:val="20"/>
        </w:rPr>
        <w:t>ultantsMember 2014-04-30 0001582982 CCLD:AmendedAndRestatedEquityIncentivePlanMember us-gaap:CommonStockMember 2017-04-14 0001582982 CCLD:AmendedAndRestatedEquityIncentivePlanMember us-gaap:SeriesAPreferredStockMember 2017-04-14 0001582982 CCLD:AmendedAndR</w:t>
      </w:r>
      <w:r>
        <w:rPr>
          <w:rFonts w:eastAsia="Times New Roman"/>
          <w:vanish/>
          <w:sz w:val="20"/>
          <w:szCs w:val="20"/>
        </w:rPr>
        <w:t>estatedEquityIncentivePlanMember us-gaap:SeriesAPreferredStockMember 2018-12-31 0001582982 CCLD:AmendedAndRestatedEquityIncentivePlanMember us-gaap:CommonStockMember 2020-05-31 0001582982 CCLD:AmendedAndRestatedEquityIncentivePlanMember us-gaap:SeriesAPref</w:t>
      </w:r>
      <w:r>
        <w:rPr>
          <w:rFonts w:eastAsia="Times New Roman"/>
          <w:vanish/>
          <w:sz w:val="20"/>
          <w:szCs w:val="20"/>
        </w:rPr>
        <w:t>erredStockMember 2020-05-31 0001582982 CCLD:AmendedAndRestatedEquityIncentivePlanMember us-gaap:CommonStockMember 2022-12-31 0001582982 CCLD:AmendedAndRestatedEquityIncentivePlanMember us-gaap:SeriesAPreferredStockMember 2022-12-31 0001582982 us-gaap:Restr</w:t>
      </w:r>
      <w:r>
        <w:rPr>
          <w:rFonts w:eastAsia="Times New Roman"/>
          <w:vanish/>
          <w:sz w:val="20"/>
          <w:szCs w:val="20"/>
        </w:rPr>
        <w:t>ictedStockUnitsRSUMember us-gaap:CommonStockMember 2022-12-31 0001582982 us-gaap:RestrictedStockUnitsRSUMember us-gaap:PreferredStockMember us-gaap:SeriesAPreferredStockMember 2022-12-31 0001582982 us-gaap:RestrictedStockUnitsRSUMember us-gaap:PreferredSto</w:t>
      </w:r>
      <w:r>
        <w:rPr>
          <w:rFonts w:eastAsia="Times New Roman"/>
          <w:vanish/>
          <w:sz w:val="20"/>
          <w:szCs w:val="20"/>
        </w:rPr>
        <w:t>ckMember us-gaap:SeriesBPreferredStockMember 2022-12-31 0001582982 us-gaap:RestrictedStockUnitsRSUMember us-gaap:CommonStockMember 2021-01-01 2021-12-31 0001582982 CCLD:AmendedAndRestatedEquityIncentivePlanMember us-gaap:RestrictedStockUnitsRSUMember CCLD:</w:t>
      </w:r>
      <w:r>
        <w:rPr>
          <w:rFonts w:eastAsia="Times New Roman"/>
          <w:vanish/>
          <w:sz w:val="20"/>
          <w:szCs w:val="20"/>
        </w:rPr>
        <w:t>FourOutsidesMembersofTheBoardMember 2021-01-01 2021-12-31 0001582982 us-gaap:RestrictedStockUnitsRSUMember us-gaap:CommonStockMember 2022-01-01 2022-12-31 0001582982 CCLD:AmendedAndRestatedEquityIncentivePlanMember us-gaap:RestrictedStockUnitsRSUMember CCL</w:t>
      </w:r>
      <w:r>
        <w:rPr>
          <w:rFonts w:eastAsia="Times New Roman"/>
          <w:vanish/>
          <w:sz w:val="20"/>
          <w:szCs w:val="20"/>
        </w:rPr>
        <w:t>D:FourOutsidesMembersofTheBoardMember 2022-01-01 2022-12-31 0001582982 CCLD:EmployeeMember 2022-01-01 2022-12-31 0001582982 us-gaap:RestrictedStockUnitsRSUMember us-gaap:PreferredStockMember 2022-12-31 0001582982 us-gaap:RestrictedStockUnitsRSUMember us-ga</w:t>
      </w:r>
      <w:r>
        <w:rPr>
          <w:rFonts w:eastAsia="Times New Roman"/>
          <w:vanish/>
          <w:sz w:val="20"/>
          <w:szCs w:val="20"/>
        </w:rPr>
        <w:t>ap:PreferredStockMember 2021-12-31 0001582982 us-gaap:SeriesAPreferredStockMember 2021-01-01 2021-12-31 0001582982 us-gaap:SeriesAPreferredStockMember CCLD:OneEmployeeMember 2021-01-01 2021-12-31 0001582982 us-gaap:RestrictedStockUnitsRSUMember us-gaap:Com</w:t>
      </w:r>
      <w:r>
        <w:rPr>
          <w:rFonts w:eastAsia="Times New Roman"/>
          <w:vanish/>
          <w:sz w:val="20"/>
          <w:szCs w:val="20"/>
        </w:rPr>
        <w:t>monStockMember 2021-12-31 0001582982 us-gaap:RestrictedStockUnitsRSUMember us-gaap:SeriesAPreferredStockMember 2021-12-31 0001582982 us-gaap:RestrictedStockUnitsRSUMember us-gaap:SeriesBPreferredStockMember 2021-12-31 0001582982 us-gaap:RestrictedStockUnit</w:t>
      </w:r>
      <w:r>
        <w:rPr>
          <w:rFonts w:eastAsia="Times New Roman"/>
          <w:vanish/>
          <w:sz w:val="20"/>
          <w:szCs w:val="20"/>
        </w:rPr>
        <w:t>sRSUMember us-gaap:SeriesAPreferredStockMember 2022-01-01 2022-12-31 0001582982 us-gaap:RestrictedStockUnitsRSUMember us-gaap:SeriesBPreferredStockMember 2022-01-01 2022-12-31 0001582982 us-gaap:RestrictedStockUnitsRSUMember us-gaap:SeriesAPreferredStockMe</w:t>
      </w:r>
      <w:r>
        <w:rPr>
          <w:rFonts w:eastAsia="Times New Roman"/>
          <w:vanish/>
          <w:sz w:val="20"/>
          <w:szCs w:val="20"/>
        </w:rPr>
        <w:t>mber 2022-12-31 0001582982 us-gaap:RestrictedStockUnitsRSUMember us-gaap:SeriesBPreferredStockMember 2022-12-31 0001582982 us-gaap:RestrictedStockUnitsRSUMember us-gaap:CommonStockMember 2020-12-31 0001582982 us-gaap:RestrictedStockUnitsRSUMember us-gaap:S</w:t>
      </w:r>
      <w:r>
        <w:rPr>
          <w:rFonts w:eastAsia="Times New Roman"/>
          <w:vanish/>
          <w:sz w:val="20"/>
          <w:szCs w:val="20"/>
        </w:rPr>
        <w:t>eriesAPreferredStockMember 2020-12-31 0001582982 us-gaap:RestrictedStockUnitsRSUMember us-gaap:SeriesBPreferredStockMember 2020-12-31 0001582982 us-gaap:RestrictedStockUnitsRSUMember us-gaap:SeriesAPreferredStockMember 2021-01-01 2021-12-31 0001582982 us-g</w:t>
      </w:r>
      <w:r>
        <w:rPr>
          <w:rFonts w:eastAsia="Times New Roman"/>
          <w:vanish/>
          <w:sz w:val="20"/>
          <w:szCs w:val="20"/>
        </w:rPr>
        <w:t>aap:RestrictedStockUnitsRSUMember us-gaap:SeriesBPreferredStockMember 2021-01-01 2021-12-31 0001582982 us-gaap:RestrictedStockUnitsRSUMember us-gaap:PreferredStockMember us-gaap:SeriesAPreferredStockMember 2021-12-31 0001582982 us-gaap:RestrictedStockUnits</w:t>
      </w:r>
      <w:r>
        <w:rPr>
          <w:rFonts w:eastAsia="Times New Roman"/>
          <w:vanish/>
          <w:sz w:val="20"/>
          <w:szCs w:val="20"/>
        </w:rPr>
        <w:t>RSUMember us-gaap:PreferredStockMember us-gaap:SeriesBPreferredStockMember 2021-12-31 0001582982 us-gaap:RestrictedStockUnitsRSUMember us-gaap:PreferredStockMember us-gaap:SeriesAPreferredStockMember 2022-01-01 2022-12-31 0001582982 us-gaap:RestrictedStock</w:t>
      </w:r>
      <w:r>
        <w:rPr>
          <w:rFonts w:eastAsia="Times New Roman"/>
          <w:vanish/>
          <w:sz w:val="20"/>
          <w:szCs w:val="20"/>
        </w:rPr>
        <w:t>UnitsRSUMember us-gaap:PreferredStockMember us-gaap:SeriesBPreferredStockMember 2022-01-01 2022-12-31 0001582982 us-gaap:RestrictedStockUnitsRSUMember us-gaap:PreferredStockMember us-gaap:SeriesAPreferredStockMember 2020-12-31 0001582982 us-gaap:Restricted</w:t>
      </w:r>
      <w:r>
        <w:rPr>
          <w:rFonts w:eastAsia="Times New Roman"/>
          <w:vanish/>
          <w:sz w:val="20"/>
          <w:szCs w:val="20"/>
        </w:rPr>
        <w:t>StockUnitsRSUMember us-gaap:PreferredStockMember us-gaap:SeriesBPreferredStockMember 2020-12-31 0001582982 us-gaap:RestrictedStockUnitsRSUMember us-gaap:PreferredStockMember us-gaap:SeriesAPreferredStockMember 2021-01-01 2021-12-31 0001582982 us-gaap:Restr</w:t>
      </w:r>
      <w:r>
        <w:rPr>
          <w:rFonts w:eastAsia="Times New Roman"/>
          <w:vanish/>
          <w:sz w:val="20"/>
          <w:szCs w:val="20"/>
        </w:rPr>
        <w:t>ictedStockUnitsRSUMember us-gaap:PreferredStockMember us-gaap:SeriesBPreferredStockMember 2021-01-01 2021-12-31 0001582982 CCLD:DirectOperatingCostsMember 2022-01-01 2022-12-31 0001582982 CCLD:DirectOperatingCostsMember 2021-01-01 2021-12-31 0001582982 us-</w:t>
      </w:r>
      <w:r>
        <w:rPr>
          <w:rFonts w:eastAsia="Times New Roman"/>
          <w:vanish/>
          <w:sz w:val="20"/>
          <w:szCs w:val="20"/>
        </w:rPr>
        <w:t>gaap:GeneralAndAdministrativeExpenseMember 2022-01-01 2022-12-31 0001582982 us-gaap:GeneralAndAdministrativeExpenseMember 2021-01-01 2021-12-31 0001582982 us-gaap:ResearchAndDevelopmentExpenseMember 2022-01-01 2022-12-31 0001582982 us-gaap:ResearchAndDevel</w:t>
      </w:r>
      <w:r>
        <w:rPr>
          <w:rFonts w:eastAsia="Times New Roman"/>
          <w:vanish/>
          <w:sz w:val="20"/>
          <w:szCs w:val="20"/>
        </w:rPr>
        <w:t xml:space="preserve">opmentExpenseMember 2021-01-01 2021-12-31 0001582982 us-gaap:SellingAndMarketingExpenseMember 2022-01-01 2022-12-31 0001582982 us-gaap:SellingAndMarketingExpenseMember 2021-01-01 2021-12-31 0001582982 2022-01-01 2022-06-30 0001582982 country:PK 2022-01-01 </w:t>
      </w:r>
      <w:r>
        <w:rPr>
          <w:rFonts w:eastAsia="Times New Roman"/>
          <w:vanish/>
          <w:sz w:val="20"/>
          <w:szCs w:val="20"/>
        </w:rPr>
        <w:t>2022-12-31 0001582982 country:PK 2021-01-01 2021-12-31 0001582982 CCLD:FederalMember 2022-12-31 0001582982 CCLD:FederalMember CCLD:BetweenTwoThousandThirtyFourAndTwoThousandThirtySevenMember 2022-12-31 0001582982 CCLD:FederalMember CCLD:IndefiniteLifeMembe</w:t>
      </w:r>
      <w:r>
        <w:rPr>
          <w:rFonts w:eastAsia="Times New Roman"/>
          <w:vanish/>
          <w:sz w:val="20"/>
          <w:szCs w:val="20"/>
        </w:rPr>
        <w:t>r 2022-12-31 0001582982 CCLD:FederalMember CCLD:CareCloudAndMeridianAcquisitionsMember 2022-12-31 0001582982 CCLD:StateMember CCLD:BetweenTwoThousandThirtyFourAndTwoThousandFortyOneMember 2022-12-31 0001582982 stpr:NJ CCLD:BetweenTwoThousandThirtyFourAndTw</w:t>
      </w:r>
      <w:r>
        <w:rPr>
          <w:rFonts w:eastAsia="Times New Roman"/>
          <w:vanish/>
          <w:sz w:val="20"/>
          <w:szCs w:val="20"/>
        </w:rPr>
        <w:t>oThousandFortyOneMember 2022-12-31 0001582982 CCLD:HealthcareITMember 2022-01-01 2022-12-31 0001582982 CCLD:UnallocatedCorporateExpensesMember 2022-01-01 2022-12-31 0001582982 CCLD:HealthcareITMember 2021-01-01 2021-12-31 0001582982 CCLD:UnallocatedCorpora</w:t>
      </w:r>
      <w:r>
        <w:rPr>
          <w:rFonts w:eastAsia="Times New Roman"/>
          <w:vanish/>
          <w:sz w:val="20"/>
          <w:szCs w:val="20"/>
        </w:rPr>
        <w:t>teExpensesMember 2021-01-01 2021-12-31 0001582982 us-gaap:FairValueInputsLevel3Member 2021-12-31 0001582982 us-gaap:FairValueInputsLevel3Member 2020-12-31 0001582982 us-gaap:FairValueInputsLevel3Member 2022-01-01 2022-12-31 0001582982 us-gaap:FairValueInpu</w:t>
      </w:r>
      <w:r>
        <w:rPr>
          <w:rFonts w:eastAsia="Times New Roman"/>
          <w:vanish/>
          <w:sz w:val="20"/>
          <w:szCs w:val="20"/>
        </w:rPr>
        <w:t>tsLevel3Member 2021-01-01 2021-12-31 0001582982 us-gaap:FairValueInputsLevel3Member 2022-12-31 0001582982 us-gaap:SubsequentEventMember CCLD:SVBCreditFacilityMember 2023-02-28 0001582982 us-gaap:SeriesBPreferredStockMember us-gaap:SubsequentEventMember 202</w:t>
      </w:r>
      <w:r>
        <w:rPr>
          <w:rFonts w:eastAsia="Times New Roman"/>
          <w:vanish/>
          <w:sz w:val="20"/>
          <w:szCs w:val="20"/>
        </w:rPr>
        <w:t xml:space="preserve">3-01-01 2023-01-31 0001582982 CCLD:CommonStockAtTheMarketMember us-gaap:SeriesBPreferredStockMember us-gaap:SubsequentEventMember 2023-01-01 2023-01-31 iso4217:USD xbrli:shares iso4217:USD xbrli:shares xbrli:pure </w:t>
      </w:r>
    </w:p>
    <w:p w:rsidR="00000000" w:rsidRDefault="003A6737">
      <w:pPr>
        <w:pStyle w:val="a3"/>
        <w:spacing w:before="0" w:beforeAutospacing="0" w:after="0" w:afterAutospacing="0"/>
        <w:rPr>
          <w:sz w:val="20"/>
          <w:szCs w:val="20"/>
        </w:rPr>
      </w:pPr>
      <w:r>
        <w:rPr>
          <w:sz w:val="20"/>
          <w:szCs w:val="20"/>
        </w:rPr>
        <w:t> </w:t>
      </w:r>
    </w:p>
    <w:p w:rsidR="00000000" w:rsidRDefault="003A6737">
      <w:pPr>
        <w:divId w:val="289288452"/>
        <w:rPr>
          <w:rFonts w:eastAsia="Times New Roman"/>
          <w:sz w:val="2"/>
          <w:szCs w:val="2"/>
        </w:rPr>
      </w:pPr>
      <w:r>
        <w:rPr>
          <w:rFonts w:eastAsia="Times New Roman"/>
          <w:sz w:val="2"/>
          <w:szCs w:val="2"/>
        </w:rPr>
        <w:t> </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center"/>
        <w:rPr>
          <w:sz w:val="20"/>
          <w:szCs w:val="20"/>
        </w:rPr>
      </w:pPr>
      <w:r>
        <w:rPr>
          <w:b/>
          <w:bCs/>
          <w:sz w:val="36"/>
          <w:szCs w:val="36"/>
        </w:rPr>
        <w:t>UNITED STATES</w:t>
      </w:r>
    </w:p>
    <w:p w:rsidR="00000000" w:rsidRDefault="003A6737">
      <w:pPr>
        <w:pStyle w:val="a3"/>
        <w:spacing w:before="0" w:beforeAutospacing="0" w:after="0" w:afterAutospacing="0"/>
        <w:jc w:val="center"/>
        <w:rPr>
          <w:sz w:val="20"/>
          <w:szCs w:val="20"/>
        </w:rPr>
      </w:pPr>
      <w:r>
        <w:rPr>
          <w:b/>
          <w:bCs/>
          <w:sz w:val="36"/>
          <w:szCs w:val="36"/>
        </w:rPr>
        <w:t>SECURITIES AND EXCHANG</w:t>
      </w:r>
      <w:r>
        <w:rPr>
          <w:b/>
          <w:bCs/>
          <w:sz w:val="36"/>
          <w:szCs w:val="36"/>
        </w:rPr>
        <w:t>E COMMISSION</w:t>
      </w:r>
    </w:p>
    <w:p w:rsidR="00000000" w:rsidRDefault="003A6737">
      <w:pPr>
        <w:pStyle w:val="a3"/>
        <w:spacing w:before="0" w:beforeAutospacing="0" w:after="0" w:afterAutospacing="0"/>
        <w:jc w:val="center"/>
        <w:rPr>
          <w:sz w:val="20"/>
          <w:szCs w:val="20"/>
        </w:rPr>
      </w:pPr>
      <w:r>
        <w:rPr>
          <w:b/>
          <w:bCs/>
        </w:rPr>
        <w:t>Washington, D.C. 20549</w:t>
      </w:r>
    </w:p>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K</w:t>
      </w:r>
    </w:p>
    <w:p w:rsidR="00000000" w:rsidRDefault="003A6737">
      <w:pPr>
        <w:pStyle w:val="a3"/>
        <w:spacing w:before="0" w:beforeAutospacing="0" w:after="0" w:afterAutospacing="0"/>
        <w:jc w:val="center"/>
        <w:rPr>
          <w:sz w:val="20"/>
          <w:szCs w:val="20"/>
        </w:rPr>
      </w:pPr>
      <w:r>
        <w:rPr>
          <w:b/>
          <w:bCs/>
          <w:sz w:val="20"/>
          <w:szCs w:val="20"/>
        </w:rPr>
        <w:t> </w:t>
      </w:r>
    </w:p>
    <w:p w:rsidR="00000000" w:rsidRDefault="003A6737">
      <w:pPr>
        <w:pStyle w:val="a3"/>
        <w:spacing w:before="0" w:beforeAutospacing="0" w:after="0" w:afterAutospacing="0"/>
        <w:rPr>
          <w:sz w:val="20"/>
          <w:szCs w:val="20"/>
        </w:rPr>
      </w:pPr>
      <w:r>
        <w:rPr>
          <w:b/>
          <w:bCs/>
          <w:sz w:val="20"/>
          <w:szCs w:val="20"/>
        </w:rPr>
        <w:t>(Mark one)</w:t>
      </w:r>
    </w:p>
    <w:p w:rsidR="00000000" w:rsidRDefault="003A6737">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3A6737">
            <w:pPr>
              <w:rPr>
                <w:rFonts w:eastAsia="Times New Roman"/>
                <w:sz w:val="20"/>
                <w:szCs w:val="20"/>
              </w:rPr>
            </w:pPr>
            <w:r>
              <w:rPr>
                <w:rFonts w:eastAsia="Times New Roman"/>
                <w:sz w:val="20"/>
                <w:szCs w:val="20"/>
              </w:rPr>
              <w:t> </w:t>
            </w:r>
          </w:p>
        </w:tc>
        <w:tc>
          <w:tcPr>
            <w:tcW w:w="360" w:type="dxa"/>
            <w:hideMark/>
          </w:tcPr>
          <w:p w:rsidR="00000000" w:rsidRDefault="003A6737">
            <w:pPr>
              <w:rPr>
                <w:rFonts w:eastAsia="Times New Roman"/>
                <w:sz w:val="20"/>
                <w:szCs w:val="20"/>
              </w:rPr>
            </w:pPr>
            <w:r>
              <w:rPr>
                <w:rFonts w:ascii="Segoe UI Symbol" w:eastAsia="Times New Roman" w:hAnsi="Segoe UI Symbol" w:cs="Segoe UI Symbol"/>
                <w:b/>
                <w:bCs/>
                <w:sz w:val="20"/>
                <w:szCs w:val="20"/>
              </w:rPr>
              <w:t>☒</w:t>
            </w:r>
          </w:p>
        </w:tc>
        <w:tc>
          <w:tcPr>
            <w:tcW w:w="0" w:type="auto"/>
            <w:hideMark/>
          </w:tcPr>
          <w:p w:rsidR="00000000" w:rsidRDefault="003A6737">
            <w:pPr>
              <w:jc w:val="both"/>
              <w:rPr>
                <w:rFonts w:eastAsia="Times New Roman"/>
                <w:sz w:val="20"/>
                <w:szCs w:val="20"/>
              </w:rPr>
            </w:pPr>
            <w:r>
              <w:rPr>
                <w:rFonts w:eastAsia="Times New Roman"/>
                <w:b/>
                <w:bCs/>
                <w:sz w:val="20"/>
                <w:szCs w:val="20"/>
              </w:rPr>
              <w:t>ANNUAL REPORT PURSUANT TO SECTION 13 OR 15(d) OF THE SECURITIES EXCHANGE ACT OF 1934</w:t>
            </w:r>
          </w:p>
        </w:tc>
      </w:tr>
    </w:tbl>
    <w:p w:rsidR="00000000" w:rsidRDefault="003A6737">
      <w:pPr>
        <w:pStyle w:val="a3"/>
        <w:spacing w:before="0" w:beforeAutospacing="0" w:after="0" w:afterAutospacing="0"/>
        <w:ind w:left="635" w:hanging="360"/>
        <w:rPr>
          <w:sz w:val="20"/>
          <w:szCs w:val="20"/>
        </w:rPr>
      </w:pPr>
      <w:r>
        <w:rPr>
          <w:b/>
          <w:bCs/>
          <w:sz w:val="20"/>
          <w:szCs w:val="20"/>
        </w:rPr>
        <w:t> </w:t>
      </w:r>
    </w:p>
    <w:p w:rsidR="00000000" w:rsidRDefault="003A6737">
      <w:pPr>
        <w:pStyle w:val="a3"/>
        <w:spacing w:before="0" w:beforeAutospacing="0" w:after="0" w:afterAutospacing="0"/>
        <w:ind w:left="635"/>
        <w:jc w:val="center"/>
        <w:rPr>
          <w:sz w:val="20"/>
          <w:szCs w:val="20"/>
        </w:rPr>
      </w:pPr>
      <w:r>
        <w:rPr>
          <w:b/>
          <w:bCs/>
          <w:sz w:val="20"/>
          <w:szCs w:val="20"/>
        </w:rPr>
        <w:t>For the fiscal year ended</w:t>
      </w:r>
      <w:r>
        <w:rPr>
          <w:b/>
          <w:bCs/>
          <w:sz w:val="20"/>
          <w:szCs w:val="20"/>
        </w:rPr>
        <w:t xml:space="preserve"> </w:t>
      </w:r>
      <w:r>
        <w:rPr>
          <w:b/>
          <w:bCs/>
          <w:sz w:val="20"/>
          <w:szCs w:val="20"/>
        </w:rPr>
        <w:t>December 3</w:t>
      </w:r>
      <w:r>
        <w:rPr>
          <w:b/>
          <w:bCs/>
          <w:sz w:val="20"/>
          <w:szCs w:val="20"/>
        </w:rPr>
        <w:t>1</w:t>
      </w:r>
      <w:r>
        <w:rPr>
          <w:b/>
          <w:bCs/>
          <w:sz w:val="20"/>
          <w:szCs w:val="20"/>
        </w:rPr>
        <w:t>,</w:t>
      </w:r>
      <w:r>
        <w:rPr>
          <w:b/>
          <w:bCs/>
          <w:sz w:val="20"/>
          <w:szCs w:val="20"/>
        </w:rPr>
        <w:t xml:space="preserve"> </w:t>
      </w:r>
      <w:r>
        <w:rPr>
          <w:b/>
          <w:bCs/>
          <w:sz w:val="20"/>
          <w:szCs w:val="20"/>
        </w:rPr>
        <w:t>202</w:t>
      </w:r>
      <w:r>
        <w:rPr>
          <w:b/>
          <w:bCs/>
          <w:sz w:val="20"/>
          <w:szCs w:val="20"/>
        </w:rPr>
        <w:t>2</w:t>
      </w:r>
    </w:p>
    <w:p w:rsidR="00000000" w:rsidRDefault="003A6737">
      <w:pPr>
        <w:pStyle w:val="a3"/>
        <w:spacing w:before="0" w:beforeAutospacing="0" w:after="0" w:afterAutospacing="0"/>
        <w:ind w:left="635"/>
        <w:jc w:val="center"/>
        <w:rPr>
          <w:sz w:val="20"/>
          <w:szCs w:val="20"/>
        </w:rPr>
      </w:pPr>
      <w:r>
        <w:rPr>
          <w:b/>
          <w:bCs/>
          <w:sz w:val="20"/>
          <w:szCs w:val="20"/>
        </w:rPr>
        <w:t> </w:t>
      </w:r>
    </w:p>
    <w:p w:rsidR="00000000" w:rsidRDefault="003A6737">
      <w:pPr>
        <w:pStyle w:val="a3"/>
        <w:spacing w:before="0" w:beforeAutospacing="0" w:after="0" w:afterAutospacing="0"/>
        <w:ind w:left="635"/>
        <w:jc w:val="center"/>
        <w:rPr>
          <w:sz w:val="20"/>
          <w:szCs w:val="20"/>
        </w:rPr>
      </w:pPr>
      <w:r>
        <w:rPr>
          <w:b/>
          <w:bCs/>
          <w:sz w:val="20"/>
          <w:szCs w:val="20"/>
        </w:rPr>
        <w:t>or</w:t>
      </w:r>
    </w:p>
    <w:p w:rsidR="00000000" w:rsidRDefault="003A6737">
      <w:pPr>
        <w:pStyle w:val="a3"/>
        <w:spacing w:before="0" w:beforeAutospacing="0" w:after="0" w:afterAutospacing="0"/>
        <w:ind w:firstLine="275"/>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3A6737">
            <w:pPr>
              <w:rPr>
                <w:rFonts w:eastAsia="Times New Roman"/>
                <w:sz w:val="20"/>
                <w:szCs w:val="20"/>
              </w:rPr>
            </w:pPr>
            <w:r>
              <w:rPr>
                <w:rFonts w:eastAsia="Times New Roman"/>
                <w:sz w:val="20"/>
                <w:szCs w:val="20"/>
              </w:rPr>
              <w:t> </w:t>
            </w:r>
          </w:p>
        </w:tc>
        <w:tc>
          <w:tcPr>
            <w:tcW w:w="360" w:type="dxa"/>
            <w:hideMark/>
          </w:tcPr>
          <w:p w:rsidR="00000000" w:rsidRDefault="003A6737">
            <w:pPr>
              <w:rPr>
                <w:rFonts w:eastAsia="Times New Roman"/>
                <w:sz w:val="20"/>
                <w:szCs w:val="20"/>
              </w:rPr>
            </w:pPr>
            <w:r>
              <w:rPr>
                <w:rFonts w:ascii="Segoe UI Symbol" w:eastAsia="Times New Roman" w:hAnsi="Segoe UI Symbol" w:cs="Segoe UI Symbol"/>
                <w:sz w:val="20"/>
                <w:szCs w:val="20"/>
              </w:rPr>
              <w:t>☐</w:t>
            </w:r>
          </w:p>
        </w:tc>
        <w:tc>
          <w:tcPr>
            <w:tcW w:w="0" w:type="auto"/>
            <w:hideMark/>
          </w:tcPr>
          <w:p w:rsidR="00000000" w:rsidRDefault="003A6737">
            <w:pPr>
              <w:jc w:val="both"/>
              <w:rPr>
                <w:rFonts w:eastAsia="Times New Roman"/>
                <w:sz w:val="20"/>
                <w:szCs w:val="20"/>
              </w:rPr>
            </w:pPr>
            <w:r>
              <w:rPr>
                <w:rFonts w:eastAsia="Times New Roman"/>
                <w:b/>
                <w:bCs/>
                <w:sz w:val="20"/>
                <w:szCs w:val="20"/>
              </w:rPr>
              <w:t xml:space="preserve">TRANSITION </w:t>
            </w:r>
            <w:r>
              <w:rPr>
                <w:rFonts w:eastAsia="Times New Roman"/>
                <w:b/>
                <w:bCs/>
                <w:sz w:val="20"/>
                <w:szCs w:val="20"/>
              </w:rPr>
              <w:t>REPORT PURSUANT TO SECTION 13 OR 15(d) OF THE SECURITIES EXCHANGE ACT OF 1934</w:t>
            </w:r>
          </w:p>
        </w:tc>
      </w:tr>
    </w:tbl>
    <w:p w:rsidR="00000000" w:rsidRDefault="003A6737">
      <w:pPr>
        <w:pStyle w:val="a3"/>
        <w:spacing w:before="0" w:beforeAutospacing="0" w:after="0" w:afterAutospacing="0"/>
        <w:jc w:val="center"/>
        <w:rPr>
          <w:sz w:val="20"/>
          <w:szCs w:val="20"/>
        </w:rPr>
      </w:pPr>
      <w:r>
        <w:rPr>
          <w:b/>
          <w:bCs/>
          <w:sz w:val="20"/>
          <w:szCs w:val="20"/>
        </w:rPr>
        <w:t> </w:t>
      </w:r>
    </w:p>
    <w:p w:rsidR="00000000" w:rsidRDefault="003A6737">
      <w:pPr>
        <w:pStyle w:val="a3"/>
        <w:spacing w:before="0" w:beforeAutospacing="0" w:after="0" w:afterAutospacing="0"/>
        <w:jc w:val="center"/>
        <w:rPr>
          <w:sz w:val="20"/>
          <w:szCs w:val="20"/>
        </w:rPr>
      </w:pPr>
      <w:r>
        <w:rPr>
          <w:b/>
          <w:bCs/>
          <w:sz w:val="20"/>
          <w:szCs w:val="20"/>
        </w:rPr>
        <w:t>For the transition period from to</w:t>
      </w:r>
    </w:p>
    <w:p w:rsidR="00000000" w:rsidRDefault="003A6737">
      <w:pPr>
        <w:pStyle w:val="a3"/>
        <w:spacing w:before="0" w:beforeAutospacing="0" w:after="0" w:afterAutospacing="0"/>
        <w:ind w:firstLine="275"/>
        <w:rPr>
          <w:sz w:val="20"/>
          <w:szCs w:val="20"/>
        </w:rPr>
      </w:pPr>
      <w:r>
        <w:rPr>
          <w:sz w:val="20"/>
          <w:szCs w:val="20"/>
        </w:rPr>
        <w:t> </w:t>
      </w:r>
    </w:p>
    <w:p w:rsidR="00000000" w:rsidRDefault="003A6737">
      <w:pPr>
        <w:pStyle w:val="a3"/>
        <w:spacing w:before="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001-3652</w:t>
      </w:r>
      <w:r>
        <w:rPr>
          <w:b/>
          <w:bCs/>
          <w:sz w:val="20"/>
          <w:szCs w:val="20"/>
        </w:rPr>
        <w:t>9</w:t>
      </w:r>
    </w:p>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3A6737">
      <w:pPr>
        <w:pStyle w:val="a3"/>
        <w:spacing w:before="0" w:beforeAutospacing="0" w:after="0" w:afterAutospacing="0"/>
        <w:jc w:val="center"/>
        <w:rPr>
          <w:sz w:val="20"/>
          <w:szCs w:val="20"/>
        </w:rPr>
      </w:pPr>
      <w:r>
        <w:rPr>
          <w:b/>
          <w:bCs/>
          <w:sz w:val="20"/>
          <w:szCs w:val="20"/>
        </w:rPr>
        <w:t> </w:t>
      </w:r>
    </w:p>
    <w:p w:rsidR="00000000" w:rsidRDefault="003A6737">
      <w:pPr>
        <w:pStyle w:val="a3"/>
        <w:spacing w:before="0" w:beforeAutospacing="0" w:after="0" w:afterAutospacing="0"/>
        <w:jc w:val="center"/>
        <w:rPr>
          <w:sz w:val="20"/>
          <w:szCs w:val="20"/>
        </w:rPr>
      </w:pPr>
      <w:r>
        <w:rPr>
          <w:b/>
          <w:bCs/>
          <w:sz w:val="20"/>
          <w:szCs w:val="20"/>
        </w:rPr>
        <w:t>CareCloud, Inc</w:t>
      </w:r>
      <w:r>
        <w:rPr>
          <w:b/>
          <w:bCs/>
          <w:sz w:val="20"/>
          <w:szCs w:val="20"/>
        </w:rPr>
        <w:t>.</w:t>
      </w:r>
    </w:p>
    <w:p w:rsidR="00000000" w:rsidRDefault="003A6737">
      <w:pPr>
        <w:pStyle w:val="a3"/>
        <w:spacing w:before="0" w:beforeAutospacing="0" w:after="0" w:afterAutospacing="0"/>
        <w:jc w:val="center"/>
        <w:rPr>
          <w:sz w:val="20"/>
          <w:szCs w:val="20"/>
        </w:rPr>
      </w:pPr>
      <w:r>
        <w:rPr>
          <w:i/>
          <w:iCs/>
          <w:sz w:val="20"/>
          <w:szCs w:val="20"/>
        </w:rPr>
        <w:t xml:space="preserve">(Exact </w:t>
      </w:r>
      <w:r>
        <w:rPr>
          <w:i/>
          <w:iCs/>
          <w:sz w:val="20"/>
          <w:szCs w:val="20"/>
        </w:rPr>
        <w:t>name of registrant as specified in its charter)</w:t>
      </w:r>
    </w:p>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3A6737">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hideMark/>
          </w:tcPr>
          <w:p w:rsidR="00000000" w:rsidRDefault="003A6737">
            <w:pPr>
              <w:jc w:val="center"/>
              <w:rPr>
                <w:rFonts w:eastAsia="Times New Roman"/>
                <w:sz w:val="20"/>
                <w:szCs w:val="20"/>
              </w:rPr>
            </w:pPr>
            <w:r>
              <w:rPr>
                <w:rFonts w:eastAsia="Times New Roman"/>
                <w:sz w:val="20"/>
                <w:szCs w:val="20"/>
              </w:rPr>
              <w:t> </w:t>
            </w:r>
          </w:p>
        </w:tc>
        <w:tc>
          <w:tcPr>
            <w:tcW w:w="2450" w:type="pct"/>
            <w:hideMark/>
          </w:tcPr>
          <w:p w:rsidR="00000000" w:rsidRDefault="003A6737">
            <w:pPr>
              <w:jc w:val="center"/>
              <w:rPr>
                <w:rFonts w:eastAsia="Times New Roman"/>
                <w:sz w:val="20"/>
                <w:szCs w:val="20"/>
              </w:rPr>
            </w:pPr>
            <w:r>
              <w:rPr>
                <w:rFonts w:eastAsia="Times New Roman"/>
                <w:b/>
                <w:bCs/>
                <w:sz w:val="20"/>
                <w:szCs w:val="20"/>
              </w:rPr>
              <w:t>22-383230</w:t>
            </w:r>
            <w:r>
              <w:rPr>
                <w:rFonts w:eastAsia="Times New Roman"/>
                <w:b/>
                <w:bCs/>
                <w:sz w:val="20"/>
                <w:szCs w:val="20"/>
              </w:rPr>
              <w:t>2</w:t>
            </w:r>
          </w:p>
        </w:tc>
      </w:tr>
      <w:tr w:rsidR="00000000">
        <w:tc>
          <w:tcPr>
            <w:tcW w:w="0" w:type="auto"/>
            <w:hideMark/>
          </w:tcPr>
          <w:p w:rsidR="00000000" w:rsidRDefault="003A6737">
            <w:pPr>
              <w:pStyle w:val="a3"/>
              <w:spacing w:before="0" w:beforeAutospacing="0" w:after="0" w:afterAutospacing="0"/>
              <w:jc w:val="center"/>
              <w:rPr>
                <w:sz w:val="20"/>
                <w:szCs w:val="20"/>
              </w:rPr>
            </w:pPr>
            <w:r>
              <w:rPr>
                <w:i/>
                <w:iCs/>
                <w:sz w:val="20"/>
                <w:szCs w:val="20"/>
              </w:rPr>
              <w:t>(State or other jurisdiction of</w:t>
            </w:r>
          </w:p>
          <w:p w:rsidR="00000000" w:rsidRDefault="003A6737">
            <w:pPr>
              <w:pStyle w:val="a3"/>
              <w:spacing w:before="0" w:beforeAutospacing="0" w:after="0" w:afterAutospacing="0"/>
              <w:jc w:val="center"/>
              <w:rPr>
                <w:sz w:val="20"/>
                <w:szCs w:val="20"/>
              </w:rPr>
            </w:pPr>
            <w:r>
              <w:rPr>
                <w:i/>
                <w:iCs/>
                <w:sz w:val="20"/>
                <w:szCs w:val="20"/>
              </w:rPr>
              <w:t>incorporation or organization)</w:t>
            </w:r>
          </w:p>
        </w:tc>
        <w:tc>
          <w:tcPr>
            <w:tcW w:w="0" w:type="auto"/>
            <w:hideMark/>
          </w:tcPr>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center"/>
              <w:rPr>
                <w:sz w:val="20"/>
                <w:szCs w:val="20"/>
              </w:rPr>
            </w:pPr>
            <w:r>
              <w:rPr>
                <w:sz w:val="20"/>
                <w:szCs w:val="20"/>
              </w:rPr>
              <w:t> </w:t>
            </w:r>
          </w:p>
        </w:tc>
        <w:tc>
          <w:tcPr>
            <w:tcW w:w="0" w:type="auto"/>
            <w:hideMark/>
          </w:tcPr>
          <w:p w:rsidR="00000000" w:rsidRDefault="003A6737">
            <w:pPr>
              <w:pStyle w:val="a3"/>
              <w:spacing w:before="0" w:beforeAutospacing="0" w:after="0" w:afterAutospacing="0"/>
              <w:jc w:val="center"/>
              <w:rPr>
                <w:sz w:val="20"/>
                <w:szCs w:val="20"/>
              </w:rPr>
            </w:pPr>
            <w:r>
              <w:rPr>
                <w:i/>
                <w:iCs/>
                <w:sz w:val="20"/>
                <w:szCs w:val="20"/>
              </w:rPr>
              <w:t>(I.R.S. Employer</w:t>
            </w:r>
          </w:p>
          <w:p w:rsidR="00000000" w:rsidRDefault="003A6737">
            <w:pPr>
              <w:pStyle w:val="a3"/>
              <w:spacing w:before="0" w:beforeAutospacing="0" w:after="0" w:afterAutospacing="0"/>
              <w:jc w:val="center"/>
              <w:rPr>
                <w:sz w:val="20"/>
                <w:szCs w:val="20"/>
              </w:rPr>
            </w:pPr>
            <w:r>
              <w:rPr>
                <w:i/>
                <w:iCs/>
                <w:sz w:val="20"/>
                <w:szCs w:val="20"/>
              </w:rPr>
              <w:t>Identification No.)</w:t>
            </w:r>
          </w:p>
        </w:tc>
      </w:tr>
    </w:tbl>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3A6737">
            <w:pPr>
              <w:pStyle w:val="a3"/>
              <w:spacing w:before="0" w:beforeAutospacing="0" w:after="0" w:afterAutospacing="0"/>
              <w:jc w:val="center"/>
              <w:rPr>
                <w:sz w:val="20"/>
                <w:szCs w:val="20"/>
              </w:rPr>
            </w:pPr>
            <w:r>
              <w:rPr>
                <w:b/>
                <w:bCs/>
                <w:sz w:val="20"/>
                <w:szCs w:val="20"/>
              </w:rPr>
              <w:t>7 Clyde Roa</w:t>
            </w:r>
            <w:r>
              <w:rPr>
                <w:b/>
                <w:bCs/>
                <w:sz w:val="20"/>
                <w:szCs w:val="20"/>
              </w:rPr>
              <w:t>d</w:t>
            </w:r>
          </w:p>
          <w:p w:rsidR="00000000" w:rsidRDefault="003A6737">
            <w:pPr>
              <w:pStyle w:val="a3"/>
              <w:spacing w:before="0" w:beforeAutospacing="0" w:after="0" w:afterAutospacing="0"/>
              <w:jc w:val="center"/>
              <w:rPr>
                <w:sz w:val="20"/>
                <w:szCs w:val="20"/>
              </w:rPr>
            </w:pPr>
            <w:r>
              <w:rPr>
                <w:b/>
                <w:bCs/>
                <w:sz w:val="20"/>
                <w:szCs w:val="20"/>
              </w:rPr>
              <w:t>Somerse</w:t>
            </w:r>
            <w:r>
              <w:rPr>
                <w:b/>
                <w:bCs/>
                <w:sz w:val="20"/>
                <w:szCs w:val="20"/>
              </w:rPr>
              <w:t>t</w:t>
            </w:r>
            <w:r>
              <w:rPr>
                <w:b/>
                <w:bCs/>
                <w:sz w:val="20"/>
                <w:szCs w:val="20"/>
              </w:rPr>
              <w:t>,</w:t>
            </w:r>
            <w:r>
              <w:rPr>
                <w:b/>
                <w:bCs/>
                <w:sz w:val="20"/>
                <w:szCs w:val="20"/>
              </w:rPr>
              <w:t xml:space="preserve"> </w:t>
            </w:r>
            <w:r>
              <w:rPr>
                <w:b/>
                <w:bCs/>
                <w:sz w:val="20"/>
                <w:szCs w:val="20"/>
              </w:rPr>
              <w:t>New Jerse</w:t>
            </w:r>
            <w:r>
              <w:rPr>
                <w:b/>
                <w:bCs/>
                <w:sz w:val="20"/>
                <w:szCs w:val="20"/>
              </w:rPr>
              <w:t>y</w:t>
            </w:r>
          </w:p>
        </w:tc>
        <w:tc>
          <w:tcPr>
            <w:tcW w:w="100" w:type="pct"/>
            <w:hideMark/>
          </w:tcPr>
          <w:p w:rsidR="00000000" w:rsidRDefault="003A6737">
            <w:pPr>
              <w:jc w:val="center"/>
              <w:rPr>
                <w:rFonts w:eastAsia="Times New Roman"/>
                <w:sz w:val="20"/>
                <w:szCs w:val="20"/>
              </w:rPr>
            </w:pPr>
            <w:r>
              <w:rPr>
                <w:rFonts w:eastAsia="Times New Roman"/>
                <w:sz w:val="20"/>
                <w:szCs w:val="20"/>
              </w:rPr>
              <w:t> </w:t>
            </w:r>
          </w:p>
        </w:tc>
        <w:tc>
          <w:tcPr>
            <w:tcW w:w="2450" w:type="pct"/>
            <w:hideMark/>
          </w:tcPr>
          <w:p w:rsidR="00000000" w:rsidRDefault="003A6737">
            <w:pPr>
              <w:pStyle w:val="a3"/>
              <w:spacing w:before="0" w:beforeAutospacing="0" w:after="0" w:afterAutospacing="0"/>
              <w:jc w:val="center"/>
              <w:rPr>
                <w:sz w:val="20"/>
                <w:szCs w:val="20"/>
              </w:rPr>
            </w:pPr>
            <w:r>
              <w:rPr>
                <w:b/>
                <w:bCs/>
                <w:sz w:val="20"/>
                <w:szCs w:val="20"/>
              </w:rPr>
              <w:t> </w:t>
            </w:r>
          </w:p>
          <w:p w:rsidR="00000000" w:rsidRDefault="003A6737">
            <w:pPr>
              <w:pStyle w:val="a3"/>
              <w:spacing w:before="0" w:beforeAutospacing="0" w:after="0" w:afterAutospacing="0"/>
              <w:jc w:val="center"/>
              <w:rPr>
                <w:sz w:val="20"/>
                <w:szCs w:val="20"/>
              </w:rPr>
            </w:pPr>
            <w:r>
              <w:rPr>
                <w:b/>
                <w:bCs/>
                <w:sz w:val="20"/>
                <w:szCs w:val="20"/>
              </w:rPr>
              <w:t>0887</w:t>
            </w:r>
            <w:r>
              <w:rPr>
                <w:b/>
                <w:bCs/>
                <w:sz w:val="20"/>
                <w:szCs w:val="20"/>
              </w:rPr>
              <w:t>3</w:t>
            </w:r>
          </w:p>
        </w:tc>
      </w:tr>
      <w:tr w:rsidR="00000000">
        <w:tc>
          <w:tcPr>
            <w:tcW w:w="0" w:type="auto"/>
            <w:hideMark/>
          </w:tcPr>
          <w:p w:rsidR="00000000" w:rsidRDefault="003A6737">
            <w:pPr>
              <w:jc w:val="center"/>
              <w:rPr>
                <w:rFonts w:eastAsia="Times New Roman"/>
                <w:sz w:val="20"/>
                <w:szCs w:val="20"/>
              </w:rPr>
            </w:pPr>
            <w:r>
              <w:rPr>
                <w:rFonts w:eastAsia="Times New Roman"/>
                <w:i/>
                <w:iCs/>
                <w:sz w:val="20"/>
                <w:szCs w:val="20"/>
              </w:rPr>
              <w:t xml:space="preserve">(Address </w:t>
            </w:r>
            <w:r>
              <w:rPr>
                <w:rFonts w:eastAsia="Times New Roman"/>
                <w:i/>
                <w:iCs/>
                <w:sz w:val="20"/>
                <w:szCs w:val="20"/>
              </w:rPr>
              <w:t>of principal executive offices)</w:t>
            </w:r>
          </w:p>
        </w:tc>
        <w:tc>
          <w:tcPr>
            <w:tcW w:w="0" w:type="auto"/>
            <w:hideMark/>
          </w:tcPr>
          <w:p w:rsidR="00000000" w:rsidRDefault="003A6737">
            <w:pPr>
              <w:pStyle w:val="a3"/>
              <w:spacing w:before="0" w:beforeAutospacing="0" w:after="0" w:afterAutospacing="0"/>
              <w:jc w:val="center"/>
              <w:rPr>
                <w:sz w:val="20"/>
                <w:szCs w:val="20"/>
              </w:rPr>
            </w:pPr>
            <w:r>
              <w:rPr>
                <w:sz w:val="20"/>
                <w:szCs w:val="20"/>
              </w:rPr>
              <w:t> </w:t>
            </w:r>
          </w:p>
        </w:tc>
        <w:tc>
          <w:tcPr>
            <w:tcW w:w="0" w:type="auto"/>
            <w:hideMark/>
          </w:tcPr>
          <w:p w:rsidR="00000000" w:rsidRDefault="003A6737">
            <w:pPr>
              <w:jc w:val="center"/>
              <w:rPr>
                <w:rFonts w:eastAsia="Times New Roman"/>
                <w:sz w:val="20"/>
                <w:szCs w:val="20"/>
              </w:rPr>
            </w:pPr>
            <w:r>
              <w:rPr>
                <w:rFonts w:eastAsia="Times New Roman"/>
                <w:i/>
                <w:iCs/>
                <w:sz w:val="20"/>
                <w:szCs w:val="20"/>
              </w:rPr>
              <w:t>(Zip Code)</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center"/>
        <w:rPr>
          <w:sz w:val="20"/>
          <w:szCs w:val="20"/>
        </w:rPr>
      </w:pPr>
      <w:r>
        <w:rPr>
          <w:b/>
          <w:bCs/>
          <w:sz w:val="20"/>
          <w:szCs w:val="20"/>
        </w:rPr>
        <w:t>(732</w:t>
      </w:r>
      <w:r>
        <w:rPr>
          <w:b/>
          <w:bCs/>
          <w:sz w:val="20"/>
          <w:szCs w:val="20"/>
        </w:rPr>
        <w:t>)</w:t>
      </w:r>
      <w:r>
        <w:rPr>
          <w:b/>
          <w:bCs/>
          <w:sz w:val="20"/>
          <w:szCs w:val="20"/>
        </w:rPr>
        <w:t xml:space="preserve"> </w:t>
      </w:r>
      <w:r>
        <w:rPr>
          <w:b/>
          <w:bCs/>
          <w:sz w:val="20"/>
          <w:szCs w:val="20"/>
        </w:rPr>
        <w:t>873-513</w:t>
      </w:r>
      <w:r>
        <w:rPr>
          <w:b/>
          <w:bCs/>
          <w:sz w:val="20"/>
          <w:szCs w:val="20"/>
        </w:rPr>
        <w:t>3</w:t>
      </w:r>
    </w:p>
    <w:p w:rsidR="00000000" w:rsidRDefault="003A6737">
      <w:pPr>
        <w:pStyle w:val="a3"/>
        <w:spacing w:before="0" w:beforeAutospacing="0" w:after="0" w:afterAutospacing="0"/>
        <w:jc w:val="center"/>
        <w:rPr>
          <w:sz w:val="20"/>
          <w:szCs w:val="20"/>
        </w:rPr>
      </w:pPr>
      <w:r>
        <w:rPr>
          <w:i/>
          <w:iCs/>
          <w:sz w:val="20"/>
          <w:szCs w:val="20"/>
        </w:rPr>
        <w:t>(Registrant’s telephone number, including area code)</w:t>
      </w:r>
    </w:p>
    <w:p w:rsidR="00000000" w:rsidRDefault="003A6737">
      <w:pPr>
        <w:pStyle w:val="a3"/>
        <w:spacing w:before="0" w:beforeAutospacing="0" w:after="0" w:afterAutospacing="0"/>
        <w:jc w:val="center"/>
        <w:rPr>
          <w:sz w:val="20"/>
          <w:szCs w:val="20"/>
        </w:rPr>
      </w:pPr>
      <w:r>
        <w:rPr>
          <w:i/>
          <w:iCs/>
          <w:sz w:val="20"/>
          <w:szCs w:val="20"/>
        </w:rPr>
        <w:t> </w:t>
      </w:r>
    </w:p>
    <w:p w:rsidR="00000000" w:rsidRDefault="003A6737">
      <w:pPr>
        <w:pStyle w:val="a3"/>
        <w:spacing w:before="0" w:beforeAutospacing="0" w:after="0" w:afterAutospacing="0"/>
        <w:jc w:val="center"/>
        <w:rPr>
          <w:sz w:val="20"/>
          <w:szCs w:val="20"/>
        </w:rPr>
      </w:pPr>
      <w:r>
        <w:rPr>
          <w:sz w:val="20"/>
          <w:szCs w:val="20"/>
        </w:rPr>
        <w:t>Securities registered pursuant to Section 12(b) of the Act:</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89"/>
        <w:gridCol w:w="166"/>
        <w:gridCol w:w="1329"/>
        <w:gridCol w:w="166"/>
        <w:gridCol w:w="3156"/>
      </w:tblGrid>
      <w:tr w:rsidR="00000000">
        <w:tc>
          <w:tcPr>
            <w:tcW w:w="2100" w:type="pct"/>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Title of each class</w:t>
            </w:r>
          </w:p>
        </w:tc>
        <w:tc>
          <w:tcPr>
            <w:tcW w:w="100" w:type="pct"/>
            <w:tcMar>
              <w:top w:w="0" w:type="dxa"/>
              <w:left w:w="0" w:type="dxa"/>
              <w:bottom w:w="30" w:type="dxa"/>
              <w:right w:w="0" w:type="dxa"/>
            </w:tcMar>
            <w:hideMark/>
          </w:tcPr>
          <w:p w:rsidR="00000000" w:rsidRDefault="003A6737">
            <w:pPr>
              <w:jc w:val="center"/>
              <w:rPr>
                <w:rFonts w:eastAsia="Times New Roman"/>
                <w:sz w:val="20"/>
                <w:szCs w:val="20"/>
              </w:rPr>
            </w:pPr>
            <w:r>
              <w:rPr>
                <w:rFonts w:eastAsia="Times New Roman"/>
                <w:sz w:val="20"/>
                <w:szCs w:val="20"/>
              </w:rPr>
              <w:t> </w:t>
            </w:r>
          </w:p>
        </w:tc>
        <w:tc>
          <w:tcPr>
            <w:tcW w:w="800" w:type="pct"/>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Trading Symbol(s)</w:t>
            </w:r>
          </w:p>
        </w:tc>
        <w:tc>
          <w:tcPr>
            <w:tcW w:w="100" w:type="pct"/>
            <w:tcMar>
              <w:top w:w="0" w:type="dxa"/>
              <w:left w:w="0" w:type="dxa"/>
              <w:bottom w:w="30" w:type="dxa"/>
              <w:right w:w="0" w:type="dxa"/>
            </w:tcMar>
            <w:hideMark/>
          </w:tcPr>
          <w:p w:rsidR="00000000" w:rsidRDefault="003A6737">
            <w:pPr>
              <w:jc w:val="center"/>
              <w:rPr>
                <w:rFonts w:eastAsia="Times New Roman"/>
                <w:sz w:val="20"/>
                <w:szCs w:val="20"/>
              </w:rPr>
            </w:pPr>
            <w:r>
              <w:rPr>
                <w:rFonts w:eastAsia="Times New Roman"/>
                <w:sz w:val="20"/>
                <w:szCs w:val="20"/>
              </w:rPr>
              <w:t> </w:t>
            </w:r>
          </w:p>
        </w:tc>
        <w:tc>
          <w:tcPr>
            <w:tcW w:w="1900" w:type="pct"/>
            <w:tcBorders>
              <w:bottom w:val="single" w:sz="12" w:space="0" w:color="000000"/>
            </w:tcBorders>
            <w:hideMark/>
          </w:tcPr>
          <w:p w:rsidR="00000000" w:rsidRDefault="003A6737">
            <w:pPr>
              <w:jc w:val="center"/>
              <w:rPr>
                <w:rFonts w:eastAsia="Times New Roman"/>
                <w:sz w:val="20"/>
                <w:szCs w:val="20"/>
              </w:rPr>
            </w:pPr>
            <w:r>
              <w:rPr>
                <w:rFonts w:eastAsia="Times New Roman"/>
                <w:sz w:val="20"/>
                <w:szCs w:val="20"/>
              </w:rPr>
              <w:t xml:space="preserve">Name </w:t>
            </w:r>
            <w:r>
              <w:rPr>
                <w:rFonts w:eastAsia="Times New Roman"/>
                <w:sz w:val="20"/>
                <w:szCs w:val="20"/>
              </w:rPr>
              <w:t>of each exchange on which registered</w:t>
            </w:r>
          </w:p>
        </w:tc>
      </w:tr>
      <w:tr w:rsidR="00000000">
        <w:tc>
          <w:tcPr>
            <w:tcW w:w="0" w:type="auto"/>
            <w:vAlign w:val="center"/>
            <w:hideMark/>
          </w:tcPr>
          <w:p w:rsidR="00000000" w:rsidRDefault="003A6737">
            <w:pPr>
              <w:rPr>
                <w:rFonts w:eastAsia="Times New Roman"/>
                <w:sz w:val="20"/>
                <w:szCs w:val="20"/>
              </w:rPr>
            </w:pPr>
            <w:r>
              <w:rPr>
                <w:rFonts w:eastAsia="Times New Roman"/>
                <w:sz w:val="20"/>
                <w:szCs w:val="20"/>
              </w:rPr>
              <w:t>Common Stock, par value $0.001 per shar</w:t>
            </w:r>
            <w:r>
              <w:rPr>
                <w:rFonts w:eastAsia="Times New Roman"/>
                <w:sz w:val="20"/>
                <w:szCs w:val="20"/>
              </w:rPr>
              <w:t>e</w:t>
            </w:r>
          </w:p>
        </w:tc>
        <w:tc>
          <w:tcPr>
            <w:tcW w:w="0" w:type="auto"/>
            <w:hideMark/>
          </w:tcPr>
          <w:p w:rsidR="00000000" w:rsidRDefault="003A6737">
            <w:pPr>
              <w:jc w:val="center"/>
              <w:rPr>
                <w:rFonts w:eastAsia="Times New Roman"/>
                <w:sz w:val="20"/>
                <w:szCs w:val="20"/>
              </w:rPr>
            </w:pPr>
            <w:r>
              <w:rPr>
                <w:rFonts w:eastAsia="Times New Roman"/>
                <w:sz w:val="20"/>
                <w:szCs w:val="20"/>
              </w:rPr>
              <w:t> </w:t>
            </w:r>
          </w:p>
        </w:tc>
        <w:tc>
          <w:tcPr>
            <w:tcW w:w="0" w:type="auto"/>
            <w:vAlign w:val="center"/>
            <w:hideMark/>
          </w:tcPr>
          <w:p w:rsidR="00000000" w:rsidRDefault="003A6737">
            <w:pPr>
              <w:jc w:val="center"/>
              <w:rPr>
                <w:rFonts w:eastAsia="Times New Roman"/>
                <w:sz w:val="20"/>
                <w:szCs w:val="20"/>
              </w:rPr>
            </w:pPr>
            <w:r>
              <w:rPr>
                <w:rFonts w:eastAsia="Times New Roman"/>
                <w:sz w:val="20"/>
                <w:szCs w:val="20"/>
              </w:rPr>
              <w:t>CCL</w:t>
            </w:r>
            <w:r>
              <w:rPr>
                <w:rFonts w:eastAsia="Times New Roman"/>
                <w:sz w:val="20"/>
                <w:szCs w:val="20"/>
              </w:rPr>
              <w:t>D</w:t>
            </w:r>
          </w:p>
        </w:tc>
        <w:tc>
          <w:tcPr>
            <w:tcW w:w="0" w:type="auto"/>
            <w:hideMark/>
          </w:tcPr>
          <w:p w:rsidR="00000000" w:rsidRDefault="003A6737">
            <w:pPr>
              <w:jc w:val="center"/>
              <w:rPr>
                <w:rFonts w:eastAsia="Times New Roman"/>
                <w:sz w:val="20"/>
                <w:szCs w:val="20"/>
              </w:rPr>
            </w:pPr>
            <w:r>
              <w:rPr>
                <w:rFonts w:eastAsia="Times New Roman"/>
                <w:sz w:val="20"/>
                <w:szCs w:val="20"/>
              </w:rPr>
              <w:t> </w:t>
            </w:r>
          </w:p>
        </w:tc>
        <w:tc>
          <w:tcPr>
            <w:tcW w:w="0" w:type="auto"/>
            <w:vAlign w:val="center"/>
            <w:hideMark/>
          </w:tcPr>
          <w:p w:rsidR="00000000" w:rsidRDefault="003A6737">
            <w:pPr>
              <w:jc w:val="center"/>
              <w:rPr>
                <w:rFonts w:eastAsia="Times New Roman"/>
                <w:sz w:val="20"/>
                <w:szCs w:val="20"/>
              </w:rPr>
            </w:pPr>
            <w:r>
              <w:rPr>
                <w:rFonts w:eastAsia="Times New Roman"/>
                <w:sz w:val="20"/>
                <w:szCs w:val="20"/>
              </w:rPr>
              <w:t>Nasda</w:t>
            </w:r>
            <w:r>
              <w:rPr>
                <w:rFonts w:eastAsia="Times New Roman"/>
                <w:sz w:val="20"/>
                <w:szCs w:val="20"/>
              </w:rPr>
              <w:t>q</w:t>
            </w:r>
            <w:r>
              <w:rPr>
                <w:rFonts w:eastAsia="Times New Roman"/>
                <w:sz w:val="20"/>
                <w:szCs w:val="20"/>
              </w:rPr>
              <w:t xml:space="preserve"> Global Market</w:t>
            </w:r>
          </w:p>
        </w:tc>
      </w:tr>
      <w:tr w:rsidR="00000000">
        <w:tc>
          <w:tcPr>
            <w:tcW w:w="0" w:type="auto"/>
            <w:vAlign w:val="center"/>
            <w:hideMark/>
          </w:tcPr>
          <w:p w:rsidR="00000000" w:rsidRDefault="003A6737">
            <w:pPr>
              <w:rPr>
                <w:rFonts w:eastAsia="Times New Roman"/>
                <w:sz w:val="20"/>
                <w:szCs w:val="20"/>
              </w:rPr>
            </w:pPr>
            <w:r>
              <w:rPr>
                <w:rFonts w:eastAsia="Times New Roman"/>
                <w:sz w:val="20"/>
                <w:szCs w:val="20"/>
              </w:rPr>
              <w:t xml:space="preserve">11% </w:t>
            </w:r>
            <w:r>
              <w:rPr>
                <w:rFonts w:eastAsia="Times New Roman"/>
                <w:sz w:val="20"/>
                <w:szCs w:val="20"/>
              </w:rPr>
              <w:t>Series A Cumulative Redeemable Perpetual Preferred Stock, par value $0.001 per shar</w:t>
            </w:r>
            <w:r>
              <w:rPr>
                <w:rFonts w:eastAsia="Times New Roman"/>
                <w:sz w:val="20"/>
                <w:szCs w:val="20"/>
              </w:rPr>
              <w:t>e</w:t>
            </w:r>
          </w:p>
        </w:tc>
        <w:tc>
          <w:tcPr>
            <w:tcW w:w="0" w:type="auto"/>
            <w:hideMark/>
          </w:tcPr>
          <w:p w:rsidR="00000000" w:rsidRDefault="003A6737">
            <w:pPr>
              <w:jc w:val="center"/>
              <w:rPr>
                <w:rFonts w:eastAsia="Times New Roman"/>
                <w:sz w:val="20"/>
                <w:szCs w:val="20"/>
              </w:rPr>
            </w:pPr>
            <w:r>
              <w:rPr>
                <w:rFonts w:eastAsia="Times New Roman"/>
                <w:sz w:val="20"/>
                <w:szCs w:val="20"/>
              </w:rPr>
              <w:t> </w:t>
            </w:r>
          </w:p>
        </w:tc>
        <w:tc>
          <w:tcPr>
            <w:tcW w:w="0" w:type="auto"/>
            <w:vAlign w:val="center"/>
            <w:hideMark/>
          </w:tcPr>
          <w:p w:rsidR="00000000" w:rsidRDefault="003A6737">
            <w:pPr>
              <w:pStyle w:val="a3"/>
              <w:spacing w:before="0" w:beforeAutospacing="0" w:after="0" w:afterAutospacing="0"/>
              <w:jc w:val="center"/>
              <w:rPr>
                <w:sz w:val="20"/>
                <w:szCs w:val="20"/>
              </w:rPr>
            </w:pPr>
            <w:r>
              <w:rPr>
                <w:sz w:val="20"/>
                <w:szCs w:val="20"/>
              </w:rPr>
              <w:t>CCLD</w:t>
            </w:r>
            <w:r>
              <w:rPr>
                <w:sz w:val="20"/>
                <w:szCs w:val="20"/>
              </w:rPr>
              <w:t>P</w:t>
            </w:r>
          </w:p>
          <w:p w:rsidR="00000000" w:rsidRDefault="003A6737">
            <w:pPr>
              <w:pStyle w:val="a3"/>
              <w:spacing w:before="0" w:beforeAutospacing="0" w:after="0" w:afterAutospacing="0"/>
              <w:rPr>
                <w:sz w:val="20"/>
                <w:szCs w:val="20"/>
              </w:rPr>
            </w:pPr>
            <w:r>
              <w:rPr>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c>
          <w:tcPr>
            <w:tcW w:w="0" w:type="auto"/>
            <w:vAlign w:val="center"/>
            <w:hideMark/>
          </w:tcPr>
          <w:p w:rsidR="00000000" w:rsidRDefault="003A6737">
            <w:pPr>
              <w:pStyle w:val="a3"/>
              <w:spacing w:before="0" w:beforeAutospacing="0" w:after="0" w:afterAutospacing="0"/>
              <w:jc w:val="center"/>
              <w:rPr>
                <w:sz w:val="20"/>
                <w:szCs w:val="20"/>
              </w:rPr>
            </w:pPr>
            <w:r>
              <w:rPr>
                <w:sz w:val="20"/>
                <w:szCs w:val="20"/>
              </w:rPr>
              <w:t>Nasda</w:t>
            </w:r>
            <w:r>
              <w:rPr>
                <w:sz w:val="20"/>
                <w:szCs w:val="20"/>
              </w:rPr>
              <w:t>q</w:t>
            </w:r>
            <w:r>
              <w:rPr>
                <w:sz w:val="20"/>
                <w:szCs w:val="20"/>
              </w:rPr>
              <w:t xml:space="preserve"> Global Market</w:t>
            </w:r>
          </w:p>
          <w:p w:rsidR="00000000" w:rsidRDefault="003A6737">
            <w:pPr>
              <w:pStyle w:val="a3"/>
              <w:spacing w:before="0" w:beforeAutospacing="0" w:after="0" w:afterAutospacing="0"/>
              <w:jc w:val="center"/>
              <w:rPr>
                <w:sz w:val="20"/>
                <w:szCs w:val="20"/>
              </w:rPr>
            </w:pPr>
            <w:r>
              <w:rPr>
                <w:sz w:val="20"/>
                <w:szCs w:val="20"/>
              </w:rPr>
              <w:t> </w:t>
            </w:r>
          </w:p>
        </w:tc>
      </w:tr>
      <w:tr w:rsidR="00000000">
        <w:tc>
          <w:tcPr>
            <w:tcW w:w="0" w:type="auto"/>
            <w:vAlign w:val="center"/>
            <w:hideMark/>
          </w:tcPr>
          <w:p w:rsidR="00000000" w:rsidRDefault="003A6737">
            <w:pPr>
              <w:rPr>
                <w:rFonts w:eastAsia="Times New Roman"/>
                <w:sz w:val="20"/>
                <w:szCs w:val="20"/>
              </w:rPr>
            </w:pPr>
            <w:r>
              <w:rPr>
                <w:rFonts w:eastAsia="Times New Roman"/>
                <w:sz w:val="20"/>
                <w:szCs w:val="20"/>
              </w:rPr>
              <w:t>8.75% Series B Cumulative Redeemable Perpetual Preferred Stock, par value $0.001 per shar</w:t>
            </w:r>
            <w:r>
              <w:rPr>
                <w:rFonts w:eastAsia="Times New Roman"/>
                <w:sz w:val="20"/>
                <w:szCs w:val="20"/>
              </w:rPr>
              <w:t>e</w:t>
            </w:r>
          </w:p>
        </w:tc>
        <w:tc>
          <w:tcPr>
            <w:tcW w:w="0" w:type="auto"/>
            <w:hideMark/>
          </w:tcPr>
          <w:p w:rsidR="00000000" w:rsidRDefault="003A6737">
            <w:pPr>
              <w:jc w:val="center"/>
              <w:rPr>
                <w:rFonts w:eastAsia="Times New Roman"/>
                <w:sz w:val="20"/>
                <w:szCs w:val="20"/>
              </w:rPr>
            </w:pPr>
            <w:r>
              <w:rPr>
                <w:rFonts w:eastAsia="Times New Roman"/>
                <w:sz w:val="20"/>
                <w:szCs w:val="20"/>
              </w:rPr>
              <w:t> </w:t>
            </w:r>
          </w:p>
        </w:tc>
        <w:tc>
          <w:tcPr>
            <w:tcW w:w="0" w:type="auto"/>
            <w:vAlign w:val="center"/>
            <w:hideMark/>
          </w:tcPr>
          <w:p w:rsidR="00000000" w:rsidRDefault="003A6737">
            <w:pPr>
              <w:pStyle w:val="a3"/>
              <w:spacing w:before="0" w:beforeAutospacing="0" w:after="0" w:afterAutospacing="0"/>
              <w:jc w:val="center"/>
              <w:rPr>
                <w:sz w:val="20"/>
                <w:szCs w:val="20"/>
              </w:rPr>
            </w:pPr>
            <w:r>
              <w:rPr>
                <w:sz w:val="20"/>
                <w:szCs w:val="20"/>
              </w:rPr>
              <w:t>CCLD</w:t>
            </w:r>
            <w:r>
              <w:rPr>
                <w:sz w:val="20"/>
                <w:szCs w:val="20"/>
              </w:rPr>
              <w:t>O</w:t>
            </w:r>
          </w:p>
          <w:p w:rsidR="00000000" w:rsidRDefault="003A6737">
            <w:pPr>
              <w:pStyle w:val="a3"/>
              <w:spacing w:before="0" w:beforeAutospacing="0" w:after="0" w:afterAutospacing="0"/>
              <w:rPr>
                <w:sz w:val="20"/>
                <w:szCs w:val="20"/>
              </w:rPr>
            </w:pPr>
            <w:r>
              <w:rPr>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c>
          <w:tcPr>
            <w:tcW w:w="0" w:type="auto"/>
            <w:vAlign w:val="center"/>
            <w:hideMark/>
          </w:tcPr>
          <w:p w:rsidR="00000000" w:rsidRDefault="003A6737">
            <w:pPr>
              <w:pStyle w:val="a3"/>
              <w:spacing w:before="0" w:beforeAutospacing="0" w:after="0" w:afterAutospacing="0"/>
              <w:jc w:val="center"/>
              <w:rPr>
                <w:sz w:val="20"/>
                <w:szCs w:val="20"/>
              </w:rPr>
            </w:pPr>
            <w:r>
              <w:rPr>
                <w:sz w:val="20"/>
                <w:szCs w:val="20"/>
              </w:rPr>
              <w:t>Nasda</w:t>
            </w:r>
            <w:r>
              <w:rPr>
                <w:sz w:val="20"/>
                <w:szCs w:val="20"/>
              </w:rPr>
              <w:t>q</w:t>
            </w:r>
            <w:r>
              <w:rPr>
                <w:sz w:val="20"/>
                <w:szCs w:val="20"/>
              </w:rPr>
              <w:t xml:space="preserve"> Global Market</w:t>
            </w:r>
          </w:p>
          <w:p w:rsidR="00000000" w:rsidRDefault="003A6737">
            <w:pPr>
              <w:pStyle w:val="a3"/>
              <w:spacing w:before="0" w:beforeAutospacing="0" w:after="0" w:afterAutospacing="0"/>
              <w:jc w:val="center"/>
              <w:rPr>
                <w:sz w:val="20"/>
                <w:szCs w:val="20"/>
              </w:rPr>
            </w:pPr>
            <w:r>
              <w:rPr>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rPr>
          <w:sz w:val="20"/>
          <w:szCs w:val="20"/>
        </w:rPr>
      </w:pPr>
      <w:r>
        <w:rPr>
          <w:sz w:val="20"/>
          <w:szCs w:val="20"/>
        </w:rPr>
        <w:t>Securi</w:t>
      </w:r>
      <w:r>
        <w:rPr>
          <w:sz w:val="20"/>
          <w:szCs w:val="20"/>
        </w:rPr>
        <w:t>ties registered pursuant to Section 12(g) of the Act: None</w:t>
      </w:r>
    </w:p>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Indicate by check mark if the registrant is a well-known seasoned issuer, as defined in Rule 405 of the Securities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3A6737">
      <w:pPr>
        <w:pStyle w:val="a3"/>
        <w:spacing w:before="0" w:beforeAutospacing="0" w:after="0" w:afterAutospacing="0"/>
        <w:jc w:val="both"/>
        <w:rPr>
          <w:sz w:val="20"/>
          <w:szCs w:val="20"/>
        </w:rPr>
      </w:pPr>
      <w:r>
        <w:rPr>
          <w:sz w:val="20"/>
          <w:szCs w:val="20"/>
        </w:rPr>
        <w:lastRenderedPageBreak/>
        <w:t> </w:t>
      </w:r>
    </w:p>
    <w:p w:rsidR="00000000" w:rsidRDefault="003A6737">
      <w:pPr>
        <w:pStyle w:val="a3"/>
        <w:spacing w:before="0" w:beforeAutospacing="0" w:after="0" w:afterAutospacing="0"/>
        <w:jc w:val="both"/>
        <w:rPr>
          <w:sz w:val="20"/>
          <w:szCs w:val="20"/>
        </w:rPr>
      </w:pPr>
      <w:r>
        <w:rPr>
          <w:sz w:val="20"/>
          <w:szCs w:val="20"/>
        </w:rPr>
        <w:t xml:space="preserve">Indicate </w:t>
      </w:r>
      <w:r>
        <w:rPr>
          <w:sz w:val="20"/>
          <w:szCs w:val="20"/>
        </w:rPr>
        <w:t xml:space="preserve">by check mark if the registrant is not required to file reports pursuant to Section 13 or Section 15(d) of the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w:t>
      </w:r>
      <w:r>
        <w:rPr>
          <w:sz w:val="20"/>
          <w:szCs w:val="20"/>
        </w:rPr>
        <w:t>rities Exchange Act of 1934 during the preceding 12 months (or for such shorter period that the registrant was required to file such reports),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3A6737">
      <w:pPr>
        <w:pStyle w:val="a3"/>
        <w:spacing w:before="0" w:beforeAutospacing="0" w:after="0" w:afterAutospacing="0"/>
        <w:ind w:firstLine="275"/>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Indicate by check mark wh</w:t>
      </w:r>
      <w:r>
        <w:rPr>
          <w:sz w:val="20"/>
          <w:szCs w:val="20"/>
        </w:rPr>
        <w:t>ether the registrant has submitted electronically every Interactive Data File required to be submitted pursuant to Rule 405 of Regulation S-T (§232.405 of this chapter) during the preceding 12 months (or for such shorter period that the registrant was requ</w:t>
      </w:r>
      <w:r>
        <w:rPr>
          <w:sz w:val="20"/>
          <w:szCs w:val="20"/>
        </w:rPr>
        <w:t>ired 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w:t>
      </w:r>
      <w:r>
        <w:rPr>
          <w:sz w:val="20"/>
          <w:szCs w:val="20"/>
        </w:rPr>
        <w:t>celerated filer,” “accelerated filer,” “smaller reporting company,” and “emerging growth company” in Rule 12b-2 of the Exchange Act.</w:t>
      </w:r>
    </w:p>
    <w:p w:rsidR="00000000" w:rsidRDefault="003A6737">
      <w:pPr>
        <w:pStyle w:val="a3"/>
        <w:spacing w:before="0" w:beforeAutospacing="0" w:after="0" w:afterAutospacing="0"/>
        <w:ind w:firstLine="27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58"/>
        <w:gridCol w:w="2658"/>
        <w:gridCol w:w="2990"/>
      </w:tblGrid>
      <w:tr w:rsidR="00000000">
        <w:tc>
          <w:tcPr>
            <w:tcW w:w="1600" w:type="pct"/>
            <w:hideMark/>
          </w:tcPr>
          <w:p w:rsidR="00000000" w:rsidRDefault="003A6737">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1600" w:type="pct"/>
            <w:hideMark/>
          </w:tcPr>
          <w:p w:rsidR="00000000" w:rsidRDefault="003A6737">
            <w:pPr>
              <w:jc w:val="center"/>
              <w:rPr>
                <w:rFonts w:eastAsia="Times New Roman"/>
                <w:sz w:val="20"/>
                <w:szCs w:val="20"/>
              </w:rPr>
            </w:pPr>
            <w:r>
              <w:rPr>
                <w:rFonts w:eastAsia="Times New Roman"/>
                <w:sz w:val="20"/>
                <w:szCs w:val="20"/>
              </w:rPr>
              <w:t> </w:t>
            </w:r>
          </w:p>
        </w:tc>
        <w:tc>
          <w:tcPr>
            <w:tcW w:w="1800" w:type="pct"/>
            <w:hideMark/>
          </w:tcPr>
          <w:p w:rsidR="00000000" w:rsidRDefault="003A6737">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c>
          <w:tcPr>
            <w:tcW w:w="0" w:type="auto"/>
            <w:gridSpan w:val="2"/>
            <w:hideMark/>
          </w:tcPr>
          <w:p w:rsidR="00000000" w:rsidRDefault="003A6737">
            <w:pPr>
              <w:rPr>
                <w:rFonts w:eastAsia="Times New Roman"/>
                <w:sz w:val="20"/>
                <w:szCs w:val="20"/>
              </w:rPr>
            </w:pPr>
            <w:r>
              <w:rPr>
                <w:rFonts w:eastAsia="Times New Roman"/>
                <w:sz w:val="20"/>
                <w:szCs w:val="20"/>
              </w:rPr>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rsidR="00000000" w:rsidRDefault="003A6737">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sz w:val="20"/>
                <w:szCs w:val="20"/>
              </w:rPr>
              <w:t>☒</w:t>
            </w:r>
          </w:p>
        </w:tc>
      </w:tr>
      <w:tr w:rsidR="00000000">
        <w:tc>
          <w:tcPr>
            <w:tcW w:w="0" w:type="auto"/>
            <w:gridSpan w:val="2"/>
            <w:hideMark/>
          </w:tcPr>
          <w:p w:rsidR="00000000" w:rsidRDefault="003A6737">
            <w:pPr>
              <w:rPr>
                <w:rFonts w:eastAsia="Times New Roman"/>
                <w:sz w:val="20"/>
                <w:szCs w:val="20"/>
              </w:rPr>
            </w:pPr>
          </w:p>
        </w:tc>
        <w:tc>
          <w:tcPr>
            <w:tcW w:w="0" w:type="auto"/>
            <w:hideMark/>
          </w:tcPr>
          <w:p w:rsidR="00000000" w:rsidRDefault="003A6737">
            <w:pPr>
              <w:rPr>
                <w:rFonts w:eastAsia="Times New Roman"/>
                <w:sz w:val="20"/>
                <w:szCs w:val="20"/>
              </w:rPr>
            </w:pPr>
            <w:r>
              <w:rPr>
                <w:rFonts w:eastAsia="Times New Roman"/>
                <w:sz w:val="20"/>
                <w:szCs w:val="20"/>
              </w:rPr>
              <w:t xml:space="preserve">Emerging </w:t>
            </w:r>
            <w:r>
              <w:rPr>
                <w:rFonts w:eastAsia="Times New Roman"/>
                <w:sz w:val="20"/>
                <w:szCs w:val="20"/>
              </w:rPr>
              <w:t>growth company</w:t>
            </w:r>
            <w:r>
              <w:rPr>
                <w:rFonts w:eastAsia="Times New Roman"/>
                <w:sz w:val="20"/>
                <w:szCs w:val="20"/>
              </w:rPr>
              <w:t xml:space="preserve"> </w:t>
            </w:r>
            <w:r>
              <w:rPr>
                <w:rFonts w:ascii="Segoe UI Symbol" w:eastAsia="Times New Roman" w:hAnsi="Segoe UI Symbol" w:cs="Segoe UI Symbol"/>
                <w:sz w:val="20"/>
                <w:szCs w:val="20"/>
              </w:rPr>
              <w:t>☐</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 13(a) of t</w:t>
      </w:r>
      <w:r>
        <w:rPr>
          <w:sz w:val="20"/>
          <w:szCs w:val="20"/>
        </w:rPr>
        <w:t xml:space="preserve">he Exchange Act. </w:t>
      </w:r>
      <w:r>
        <w:rPr>
          <w:rFonts w:ascii="Segoe UI Symbol" w:hAnsi="Segoe UI Symbol" w:cs="Segoe UI Symbol"/>
          <w:sz w:val="20"/>
          <w:szCs w:val="20"/>
        </w:rPr>
        <w:t>☐</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Indicate by check mark whether the registrant has filed a report on and attestation to its management’s assessment of the effectiveness of its internal control over financial reporting under Section 404(b) of the Sarbanes-Oxley Act (15</w:t>
      </w:r>
      <w:r>
        <w:rPr>
          <w:sz w:val="20"/>
          <w:szCs w:val="20"/>
        </w:rPr>
        <w:t xml:space="preserve"> U.S.C. 7262(b)) by the registered public accounting firm that prepared or issued its audit report.</w:t>
      </w:r>
      <w:r>
        <w:rPr>
          <w:sz w:val="20"/>
          <w:szCs w:val="20"/>
        </w:rPr>
        <w:t xml:space="preserve"> </w:t>
      </w:r>
      <w:r>
        <w:rPr>
          <w:rFonts w:ascii="Segoe UI Symbol" w:hAnsi="Segoe UI Symbol" w:cs="Segoe UI Symbol"/>
          <w:b/>
          <w:bCs/>
          <w:sz w:val="20"/>
          <w:szCs w:val="20"/>
        </w:rPr>
        <w:t>☐</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If securities are registered pursuant to Section 12(b) of the Act, indicate by check mark whether the financial statements of the registrant included in</w:t>
      </w:r>
      <w:r>
        <w:rPr>
          <w:sz w:val="20"/>
          <w:szCs w:val="20"/>
        </w:rPr>
        <w:t xml:space="preserve"> the filing reflect the correction of an error to previously issued financial statements. </w:t>
      </w:r>
      <w:r>
        <w:rPr>
          <w:rFonts w:ascii="Segoe UI Symbol" w:hAnsi="Segoe UI Symbol" w:cs="Segoe UI Symbol"/>
          <w:b/>
          <w:bCs/>
          <w:color w:val="000000"/>
          <w:sz w:val="20"/>
          <w:szCs w:val="20"/>
        </w:rPr>
        <w:t>☐</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Indicate by check mark whether any of those error corrections are restatements that required a recovery analysis of incentive-based compensation received by any o</w:t>
      </w:r>
      <w:r>
        <w:rPr>
          <w:sz w:val="20"/>
          <w:szCs w:val="20"/>
        </w:rPr>
        <w:t xml:space="preserve">f the registrant’s executive officers during the relevant recovery period pursuant to §240.10D-1(b). </w:t>
      </w:r>
      <w:r>
        <w:rPr>
          <w:rFonts w:ascii="Segoe UI Symbol" w:hAnsi="Segoe UI Symbol" w:cs="Segoe UI Symbol"/>
          <w:b/>
          <w:bCs/>
          <w:color w:val="000000"/>
          <w:sz w:val="20"/>
          <w:szCs w:val="20"/>
        </w:rPr>
        <w:t>☐</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Indicate by check mark whether the registrant is a shell company (as defined in Rule 12b-2 of the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3A6737">
      <w:pPr>
        <w:pStyle w:val="a3"/>
        <w:spacing w:before="0" w:beforeAutospacing="0" w:after="0" w:afterAutospacing="0"/>
        <w:ind w:firstLine="27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As </w:t>
      </w:r>
      <w:r>
        <w:rPr>
          <w:sz w:val="20"/>
          <w:szCs w:val="20"/>
        </w:rPr>
        <w:t xml:space="preserve">of June 30, 2022, the aggregate market value of the registrant’s common stock held by non-affiliates of the registrant was approximately </w:t>
      </w:r>
      <w:r>
        <w:rPr>
          <w:color w:val="000000"/>
          <w:sz w:val="20"/>
          <w:szCs w:val="20"/>
        </w:rPr>
        <w:t>$</w:t>
      </w:r>
      <w:r>
        <w:rPr>
          <w:color w:val="000000"/>
          <w:sz w:val="20"/>
          <w:szCs w:val="20"/>
        </w:rPr>
        <w:t>33.</w:t>
      </w:r>
      <w:r>
        <w:rPr>
          <w:color w:val="000000"/>
          <w:sz w:val="20"/>
          <w:szCs w:val="20"/>
        </w:rPr>
        <w:t>6</w:t>
      </w:r>
      <w:r>
        <w:rPr>
          <w:color w:val="000000"/>
          <w:sz w:val="20"/>
          <w:szCs w:val="20"/>
        </w:rPr>
        <w:t xml:space="preserve"> million</w:t>
      </w:r>
      <w:r>
        <w:rPr>
          <w:sz w:val="20"/>
          <w:szCs w:val="20"/>
        </w:rPr>
        <w:t>, based on the last reported trading price of the common stock on that date, as reported on the Nasdaq Glo</w:t>
      </w:r>
      <w:r>
        <w:rPr>
          <w:sz w:val="20"/>
          <w:szCs w:val="20"/>
        </w:rPr>
        <w:t>bal Market.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At </w:t>
      </w:r>
      <w:r>
        <w:rPr>
          <w:color w:val="000000"/>
          <w:sz w:val="20"/>
          <w:szCs w:val="20"/>
        </w:rPr>
        <w:t>February 27, 2023</w:t>
      </w:r>
      <w:r>
        <w:rPr>
          <w:sz w:val="20"/>
          <w:szCs w:val="20"/>
        </w:rPr>
        <w:t>, the registrant had</w:t>
      </w:r>
      <w:r>
        <w:rPr>
          <w:sz w:val="20"/>
          <w:szCs w:val="20"/>
        </w:rPr>
        <w:t xml:space="preserve"> </w:t>
      </w:r>
      <w:r>
        <w:rPr>
          <w:sz w:val="20"/>
          <w:szCs w:val="20"/>
        </w:rPr>
        <w:t>15,509,216</w:t>
      </w:r>
      <w:r>
        <w:rPr>
          <w:sz w:val="20"/>
          <w:szCs w:val="20"/>
        </w:rPr>
        <w:t xml:space="preserve"> </w:t>
      </w:r>
      <w:r>
        <w:rPr>
          <w:sz w:val="20"/>
          <w:szCs w:val="20"/>
        </w:rPr>
        <w:t>shares of common stock, par value $0.001 per share, outstanding.</w:t>
      </w:r>
    </w:p>
    <w:p w:rsidR="00000000" w:rsidRDefault="003A6737">
      <w:pPr>
        <w:pStyle w:val="a3"/>
        <w:spacing w:before="0" w:beforeAutospacing="0" w:after="0" w:afterAutospacing="0"/>
        <w:jc w:val="center"/>
        <w:rPr>
          <w:sz w:val="20"/>
          <w:szCs w:val="20"/>
        </w:rPr>
      </w:pPr>
      <w:r>
        <w:rPr>
          <w:b/>
          <w:bCs/>
          <w:sz w:val="20"/>
          <w:szCs w:val="20"/>
        </w:rPr>
        <w:t> </w:t>
      </w:r>
    </w:p>
    <w:p w:rsidR="00000000" w:rsidRDefault="003A6737">
      <w:pPr>
        <w:pStyle w:val="a3"/>
        <w:spacing w:before="0" w:beforeAutospacing="0" w:after="0" w:afterAutospacing="0"/>
        <w:jc w:val="center"/>
        <w:rPr>
          <w:sz w:val="20"/>
          <w:szCs w:val="20"/>
        </w:rPr>
      </w:pPr>
      <w:r>
        <w:rPr>
          <w:b/>
          <w:bCs/>
          <w:sz w:val="20"/>
          <w:szCs w:val="20"/>
        </w:rPr>
        <w:t>DOCUMENTS INCORPORATED BY REFERENCE</w:t>
      </w:r>
    </w:p>
    <w:p w:rsidR="00000000" w:rsidRDefault="003A6737">
      <w:pPr>
        <w:pStyle w:val="a3"/>
        <w:spacing w:before="0" w:beforeAutospacing="0" w:after="0" w:afterAutospacing="0"/>
        <w:jc w:val="center"/>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 xml:space="preserve">Portions of the Proxy Statement for the Annual Meeting of Shareholders to be held on </w:t>
      </w:r>
      <w:r>
        <w:rPr>
          <w:sz w:val="20"/>
          <w:szCs w:val="20"/>
        </w:rPr>
        <w:t>May 22, 2023 are incorporated by reference into Part III, Items 10, 11, 12, 13, and 14 of this Annual Report on Form 10-</w:t>
      </w:r>
      <w:r>
        <w:rPr>
          <w:sz w:val="20"/>
          <w:szCs w:val="20"/>
        </w:rPr>
        <w:t>K</w:t>
      </w:r>
      <w:r>
        <w:rPr>
          <w:sz w:val="20"/>
          <w:szCs w:val="20"/>
        </w:rPr>
        <w: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divId w:val="602344513"/>
        <w:rPr>
          <w:rFonts w:eastAsia="Times New Roman"/>
          <w:sz w:val="2"/>
          <w:szCs w:val="2"/>
        </w:rPr>
      </w:pPr>
      <w:r>
        <w:rPr>
          <w:rFonts w:eastAsia="Times New Roman"/>
          <w:sz w:val="2"/>
          <w:szCs w:val="2"/>
        </w:rPr>
        <w:t> </w:t>
      </w:r>
    </w:p>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04358458"/>
        </w:trPr>
        <w:tc>
          <w:tcPr>
            <w:tcW w:w="5000" w:type="pct"/>
            <w:hideMark/>
          </w:tcPr>
          <w:p w:rsidR="00000000" w:rsidRDefault="003A6737">
            <w:pPr>
              <w:rPr>
                <w:rFonts w:eastAsia="Times New Roman"/>
                <w:sz w:val="20"/>
                <w:szCs w:val="20"/>
              </w:rPr>
            </w:pPr>
            <w:r>
              <w:rPr>
                <w:rFonts w:eastAsia="Times New Roman"/>
                <w:sz w:val="20"/>
                <w:szCs w:val="20"/>
              </w:rPr>
              <w:lastRenderedPageBreak/>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center"/>
        <w:rPr>
          <w:sz w:val="20"/>
          <w:szCs w:val="20"/>
        </w:rPr>
      </w:pPr>
      <w:r>
        <w:rPr>
          <w:b/>
          <w:bCs/>
          <w:sz w:val="20"/>
          <w:szCs w:val="20"/>
        </w:rPr>
        <w:t>Table of Contents</w:t>
      </w:r>
    </w:p>
    <w:p w:rsidR="00000000" w:rsidRDefault="003A6737">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442"/>
        <w:gridCol w:w="144"/>
        <w:gridCol w:w="720"/>
      </w:tblGrid>
      <w:tr w:rsidR="00000000">
        <w:tc>
          <w:tcPr>
            <w:tcW w:w="0" w:type="auto"/>
            <w:shd w:val="clear" w:color="auto" w:fill="CCEEFF"/>
            <w:hideMark/>
          </w:tcPr>
          <w:p w:rsidR="00000000" w:rsidRDefault="003A6737">
            <w:pPr>
              <w:jc w:val="both"/>
              <w:rPr>
                <w:rFonts w:eastAsia="Times New Roman"/>
                <w:sz w:val="20"/>
                <w:szCs w:val="20"/>
              </w:rPr>
            </w:pPr>
            <w:hyperlink w:anchor="a_001" w:history="1">
              <w:r>
                <w:rPr>
                  <w:rStyle w:val="a4"/>
                  <w:rFonts w:eastAsia="Times New Roman"/>
                  <w:sz w:val="20"/>
                  <w:szCs w:val="20"/>
                </w:rPr>
                <w:t>Forward-Looking Statements</w:t>
              </w:r>
            </w:hyperlink>
          </w:p>
        </w:tc>
        <w:tc>
          <w:tcPr>
            <w:tcW w:w="144" w:type="dxa"/>
            <w:shd w:val="clear" w:color="auto" w:fill="CCEEFF"/>
            <w:hideMark/>
          </w:tcPr>
          <w:p w:rsidR="00000000" w:rsidRDefault="003A6737">
            <w:pPr>
              <w:rPr>
                <w:rFonts w:eastAsia="Times New Roman"/>
                <w:sz w:val="20"/>
                <w:szCs w:val="20"/>
              </w:rPr>
            </w:pPr>
            <w:r>
              <w:rPr>
                <w:rFonts w:eastAsia="Times New Roman"/>
                <w:sz w:val="20"/>
                <w:szCs w:val="20"/>
              </w:rPr>
              <w:t> </w:t>
            </w:r>
          </w:p>
        </w:tc>
        <w:tc>
          <w:tcPr>
            <w:tcW w:w="720" w:type="dxa"/>
            <w:shd w:val="clear" w:color="auto" w:fill="CCEEFF"/>
            <w:vAlign w:val="bottom"/>
            <w:hideMark/>
          </w:tcPr>
          <w:p w:rsidR="00000000" w:rsidRDefault="003A6737">
            <w:pPr>
              <w:jc w:val="center"/>
              <w:rPr>
                <w:rFonts w:eastAsia="Times New Roman"/>
                <w:sz w:val="20"/>
                <w:szCs w:val="20"/>
              </w:rPr>
            </w:pPr>
            <w:r>
              <w:rPr>
                <w:rFonts w:eastAsia="Times New Roman"/>
                <w:sz w:val="20"/>
                <w:szCs w:val="20"/>
              </w:rPr>
              <w:t>2</w:t>
            </w:r>
          </w:p>
        </w:tc>
      </w:tr>
      <w:tr w:rsidR="00000000">
        <w:tc>
          <w:tcPr>
            <w:tcW w:w="0" w:type="auto"/>
            <w:shd w:val="clear" w:color="auto" w:fill="FFFFFF"/>
            <w:hideMark/>
          </w:tcPr>
          <w:p w:rsidR="00000000" w:rsidRDefault="003A6737">
            <w:pPr>
              <w:jc w:val="both"/>
              <w:rPr>
                <w:rFonts w:eastAsia="Times New Roman"/>
                <w:sz w:val="20"/>
                <w:szCs w:val="20"/>
              </w:rPr>
            </w:pPr>
            <w:hyperlink w:anchor="a_002" w:history="1">
              <w:r>
                <w:rPr>
                  <w:rStyle w:val="a4"/>
                  <w:rFonts w:eastAsia="Times New Roman"/>
                  <w:sz w:val="20"/>
                  <w:szCs w:val="20"/>
                </w:rPr>
                <w:t>Summary Risk Factors</w:t>
              </w:r>
            </w:hyperlink>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center"/>
              <w:rPr>
                <w:rFonts w:eastAsia="Times New Roman"/>
                <w:sz w:val="20"/>
                <w:szCs w:val="20"/>
              </w:rPr>
            </w:pPr>
            <w:r>
              <w:rPr>
                <w:rFonts w:eastAsia="Times New Roman"/>
                <w:sz w:val="20"/>
                <w:szCs w:val="20"/>
              </w:rPr>
              <w:t>3</w:t>
            </w:r>
          </w:p>
        </w:tc>
      </w:tr>
      <w:tr w:rsidR="00000000">
        <w:tc>
          <w:tcPr>
            <w:tcW w:w="0" w:type="auto"/>
            <w:shd w:val="clear" w:color="auto" w:fill="CCEEFF"/>
            <w:hideMark/>
          </w:tcPr>
          <w:p w:rsidR="00000000" w:rsidRDefault="003A6737">
            <w:pPr>
              <w:jc w:val="both"/>
              <w:rPr>
                <w:rFonts w:eastAsia="Times New Roman"/>
                <w:sz w:val="20"/>
                <w:szCs w:val="20"/>
              </w:rPr>
            </w:pPr>
            <w:hyperlink w:anchor="a_003" w:history="1">
              <w:r>
                <w:rPr>
                  <w:rStyle w:val="a4"/>
                  <w:rFonts w:eastAsia="Times New Roman"/>
                  <w:sz w:val="20"/>
                  <w:szCs w:val="20"/>
                </w:rPr>
                <w:t>PART I</w:t>
              </w:r>
            </w:hyperlink>
          </w:p>
        </w:tc>
        <w:tc>
          <w:tcPr>
            <w:tcW w:w="0" w:type="auto"/>
            <w:shd w:val="clear" w:color="auto" w:fill="CCEE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center"/>
              <w:rPr>
                <w:rFonts w:eastAsia="Times New Roman"/>
                <w:sz w:val="20"/>
                <w:szCs w:val="20"/>
              </w:rPr>
            </w:pPr>
            <w:r>
              <w:rPr>
                <w:rFonts w:eastAsia="Times New Roman"/>
                <w:sz w:val="20"/>
                <w:szCs w:val="20"/>
              </w:rPr>
              <w:t>6</w:t>
            </w:r>
          </w:p>
        </w:tc>
      </w:tr>
      <w:tr w:rsidR="00000000">
        <w:tc>
          <w:tcPr>
            <w:tcW w:w="0" w:type="auto"/>
            <w:shd w:val="clear" w:color="auto" w:fill="FFFFFF"/>
            <w:hideMark/>
          </w:tcPr>
          <w:p w:rsidR="00000000" w:rsidRDefault="003A6737">
            <w:pPr>
              <w:jc w:val="both"/>
              <w:rPr>
                <w:rFonts w:eastAsia="Times New Roman"/>
                <w:sz w:val="20"/>
                <w:szCs w:val="20"/>
              </w:rPr>
            </w:pPr>
            <w:hyperlink w:anchor="a_004" w:history="1">
              <w:r>
                <w:rPr>
                  <w:rStyle w:val="a4"/>
                  <w:rFonts w:eastAsia="Times New Roman"/>
                  <w:sz w:val="20"/>
                  <w:szCs w:val="20"/>
                </w:rPr>
                <w:t>Item 1. Business</w:t>
              </w:r>
            </w:hyperlink>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center"/>
              <w:rPr>
                <w:rFonts w:eastAsia="Times New Roman"/>
                <w:sz w:val="20"/>
                <w:szCs w:val="20"/>
              </w:rPr>
            </w:pPr>
            <w:r>
              <w:rPr>
                <w:rFonts w:eastAsia="Times New Roman"/>
                <w:sz w:val="20"/>
                <w:szCs w:val="20"/>
              </w:rPr>
              <w:t>6</w:t>
            </w:r>
          </w:p>
        </w:tc>
      </w:tr>
      <w:tr w:rsidR="00000000">
        <w:tc>
          <w:tcPr>
            <w:tcW w:w="0" w:type="auto"/>
            <w:shd w:val="clear" w:color="auto" w:fill="CCEEFF"/>
            <w:hideMark/>
          </w:tcPr>
          <w:p w:rsidR="00000000" w:rsidRDefault="003A6737">
            <w:pPr>
              <w:jc w:val="both"/>
              <w:rPr>
                <w:rFonts w:eastAsia="Times New Roman"/>
                <w:sz w:val="20"/>
                <w:szCs w:val="20"/>
              </w:rPr>
            </w:pPr>
            <w:hyperlink w:anchor="a_005" w:history="1">
              <w:r>
                <w:rPr>
                  <w:rStyle w:val="a4"/>
                  <w:rFonts w:eastAsia="Times New Roman"/>
                  <w:sz w:val="20"/>
                  <w:szCs w:val="20"/>
                </w:rPr>
                <w:t>Item 1A. Risk Factors</w:t>
              </w:r>
            </w:hyperlink>
          </w:p>
        </w:tc>
        <w:tc>
          <w:tcPr>
            <w:tcW w:w="0" w:type="auto"/>
            <w:shd w:val="clear" w:color="auto" w:fill="CCEE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center"/>
              <w:rPr>
                <w:rFonts w:eastAsia="Times New Roman"/>
                <w:sz w:val="20"/>
                <w:szCs w:val="20"/>
              </w:rPr>
            </w:pPr>
            <w:r>
              <w:rPr>
                <w:rFonts w:eastAsia="Times New Roman"/>
                <w:sz w:val="20"/>
                <w:szCs w:val="20"/>
              </w:rPr>
              <w:t>14</w:t>
            </w:r>
          </w:p>
        </w:tc>
      </w:tr>
      <w:tr w:rsidR="00000000">
        <w:tc>
          <w:tcPr>
            <w:tcW w:w="0" w:type="auto"/>
            <w:shd w:val="clear" w:color="auto" w:fill="FFFFFF"/>
            <w:hideMark/>
          </w:tcPr>
          <w:p w:rsidR="00000000" w:rsidRDefault="003A6737">
            <w:pPr>
              <w:jc w:val="both"/>
              <w:rPr>
                <w:rFonts w:eastAsia="Times New Roman"/>
                <w:sz w:val="20"/>
                <w:szCs w:val="20"/>
              </w:rPr>
            </w:pPr>
            <w:hyperlink w:anchor="a_006" w:history="1">
              <w:r>
                <w:rPr>
                  <w:rStyle w:val="a4"/>
                  <w:rFonts w:eastAsia="Times New Roman"/>
                  <w:sz w:val="20"/>
                  <w:szCs w:val="20"/>
                </w:rPr>
                <w:t>Item 1B. Unresolved Staff Comments</w:t>
              </w:r>
            </w:hyperlink>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center"/>
              <w:rPr>
                <w:rFonts w:eastAsia="Times New Roman"/>
                <w:sz w:val="20"/>
                <w:szCs w:val="20"/>
              </w:rPr>
            </w:pPr>
            <w:r>
              <w:rPr>
                <w:rFonts w:eastAsia="Times New Roman"/>
                <w:sz w:val="20"/>
                <w:szCs w:val="20"/>
              </w:rPr>
              <w:t>35</w:t>
            </w:r>
          </w:p>
        </w:tc>
      </w:tr>
      <w:tr w:rsidR="00000000">
        <w:tc>
          <w:tcPr>
            <w:tcW w:w="0" w:type="auto"/>
            <w:shd w:val="clear" w:color="auto" w:fill="CCEEFF"/>
            <w:hideMark/>
          </w:tcPr>
          <w:p w:rsidR="00000000" w:rsidRDefault="003A6737">
            <w:pPr>
              <w:jc w:val="both"/>
              <w:rPr>
                <w:rFonts w:eastAsia="Times New Roman"/>
                <w:sz w:val="20"/>
                <w:szCs w:val="20"/>
              </w:rPr>
            </w:pPr>
            <w:hyperlink w:anchor="a_007" w:history="1">
              <w:r>
                <w:rPr>
                  <w:rStyle w:val="a4"/>
                  <w:rFonts w:eastAsia="Times New Roman"/>
                  <w:sz w:val="20"/>
                  <w:szCs w:val="20"/>
                </w:rPr>
                <w:t>Item 2. Properties</w:t>
              </w:r>
            </w:hyperlink>
          </w:p>
        </w:tc>
        <w:tc>
          <w:tcPr>
            <w:tcW w:w="0" w:type="auto"/>
            <w:shd w:val="clear" w:color="auto" w:fill="CCEE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center"/>
              <w:rPr>
                <w:rFonts w:eastAsia="Times New Roman"/>
                <w:sz w:val="20"/>
                <w:szCs w:val="20"/>
              </w:rPr>
            </w:pPr>
            <w:r>
              <w:rPr>
                <w:rFonts w:eastAsia="Times New Roman"/>
                <w:sz w:val="20"/>
                <w:szCs w:val="20"/>
              </w:rPr>
              <w:t>35</w:t>
            </w:r>
          </w:p>
        </w:tc>
      </w:tr>
      <w:tr w:rsidR="00000000">
        <w:tc>
          <w:tcPr>
            <w:tcW w:w="0" w:type="auto"/>
            <w:shd w:val="clear" w:color="auto" w:fill="FFFFFF"/>
            <w:hideMark/>
          </w:tcPr>
          <w:p w:rsidR="00000000" w:rsidRDefault="003A6737">
            <w:pPr>
              <w:jc w:val="both"/>
              <w:rPr>
                <w:rFonts w:eastAsia="Times New Roman"/>
                <w:sz w:val="20"/>
                <w:szCs w:val="20"/>
              </w:rPr>
            </w:pPr>
            <w:hyperlink w:anchor="a_008" w:history="1">
              <w:r>
                <w:rPr>
                  <w:rStyle w:val="a4"/>
                  <w:rFonts w:eastAsia="Times New Roman"/>
                  <w:sz w:val="20"/>
                  <w:szCs w:val="20"/>
                </w:rPr>
                <w:t>Item 3. Legal Proceedings</w:t>
              </w:r>
            </w:hyperlink>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center"/>
              <w:rPr>
                <w:rFonts w:eastAsia="Times New Roman"/>
                <w:sz w:val="20"/>
                <w:szCs w:val="20"/>
              </w:rPr>
            </w:pPr>
            <w:r>
              <w:rPr>
                <w:rFonts w:eastAsia="Times New Roman"/>
                <w:sz w:val="20"/>
                <w:szCs w:val="20"/>
              </w:rPr>
              <w:t>35</w:t>
            </w:r>
          </w:p>
        </w:tc>
      </w:tr>
      <w:tr w:rsidR="00000000">
        <w:tc>
          <w:tcPr>
            <w:tcW w:w="0" w:type="auto"/>
            <w:shd w:val="clear" w:color="auto" w:fill="CCEEFF"/>
            <w:hideMark/>
          </w:tcPr>
          <w:p w:rsidR="00000000" w:rsidRDefault="003A6737">
            <w:pPr>
              <w:jc w:val="both"/>
              <w:rPr>
                <w:rFonts w:eastAsia="Times New Roman"/>
                <w:sz w:val="20"/>
                <w:szCs w:val="20"/>
              </w:rPr>
            </w:pPr>
            <w:hyperlink w:anchor="a_009" w:history="1">
              <w:r>
                <w:rPr>
                  <w:rStyle w:val="a4"/>
                  <w:rFonts w:eastAsia="Times New Roman"/>
                  <w:sz w:val="20"/>
                  <w:szCs w:val="20"/>
                </w:rPr>
                <w:t>Item 4. Mine Safety Disclosures</w:t>
              </w:r>
            </w:hyperlink>
          </w:p>
        </w:tc>
        <w:tc>
          <w:tcPr>
            <w:tcW w:w="0" w:type="auto"/>
            <w:shd w:val="clear" w:color="auto" w:fill="CCEE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center"/>
              <w:rPr>
                <w:rFonts w:eastAsia="Times New Roman"/>
                <w:sz w:val="20"/>
                <w:szCs w:val="20"/>
              </w:rPr>
            </w:pPr>
            <w:r>
              <w:rPr>
                <w:rFonts w:eastAsia="Times New Roman"/>
                <w:sz w:val="20"/>
                <w:szCs w:val="20"/>
              </w:rPr>
              <w:t>36</w:t>
            </w:r>
          </w:p>
        </w:tc>
      </w:tr>
      <w:tr w:rsidR="00000000">
        <w:tc>
          <w:tcPr>
            <w:tcW w:w="0" w:type="auto"/>
            <w:shd w:val="clear" w:color="auto" w:fill="FFFFFF"/>
            <w:hideMark/>
          </w:tcPr>
          <w:p w:rsidR="00000000" w:rsidRDefault="003A6737">
            <w:pPr>
              <w:jc w:val="both"/>
              <w:rPr>
                <w:rFonts w:eastAsia="Times New Roman"/>
                <w:sz w:val="20"/>
                <w:szCs w:val="20"/>
              </w:rPr>
            </w:pPr>
            <w:hyperlink w:anchor="a_010" w:history="1">
              <w:r>
                <w:rPr>
                  <w:rStyle w:val="a4"/>
                  <w:rFonts w:eastAsia="Times New Roman"/>
                  <w:sz w:val="20"/>
                  <w:szCs w:val="20"/>
                </w:rPr>
                <w:t>PART II</w:t>
              </w:r>
            </w:hyperlink>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center"/>
              <w:rPr>
                <w:rFonts w:eastAsia="Times New Roman"/>
                <w:sz w:val="20"/>
                <w:szCs w:val="20"/>
              </w:rPr>
            </w:pPr>
            <w:r>
              <w:rPr>
                <w:rFonts w:eastAsia="Times New Roman"/>
                <w:sz w:val="20"/>
                <w:szCs w:val="20"/>
              </w:rPr>
              <w:t>36</w:t>
            </w:r>
          </w:p>
        </w:tc>
      </w:tr>
      <w:tr w:rsidR="00000000">
        <w:tc>
          <w:tcPr>
            <w:tcW w:w="0" w:type="auto"/>
            <w:shd w:val="clear" w:color="auto" w:fill="CCEEFF"/>
            <w:hideMark/>
          </w:tcPr>
          <w:p w:rsidR="00000000" w:rsidRDefault="003A6737">
            <w:pPr>
              <w:jc w:val="both"/>
              <w:rPr>
                <w:rFonts w:eastAsia="Times New Roman"/>
                <w:sz w:val="20"/>
                <w:szCs w:val="20"/>
              </w:rPr>
            </w:pPr>
            <w:hyperlink w:anchor="a_011" w:history="1">
              <w:r>
                <w:rPr>
                  <w:rStyle w:val="a4"/>
                  <w:rFonts w:eastAsia="Times New Roman"/>
                  <w:sz w:val="20"/>
                  <w:szCs w:val="20"/>
                </w:rPr>
                <w:t>Item 5. Market for Registrant’s Common Equity, Related Stockholder Matters and Issuer Purchases of Equity Securities</w:t>
              </w:r>
            </w:hyperlink>
          </w:p>
        </w:tc>
        <w:tc>
          <w:tcPr>
            <w:tcW w:w="0" w:type="auto"/>
            <w:shd w:val="clear" w:color="auto" w:fill="CCEE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pStyle w:val="a3"/>
              <w:spacing w:before="0" w:beforeAutospacing="0" w:after="0" w:afterAutospacing="0"/>
              <w:jc w:val="center"/>
              <w:rPr>
                <w:sz w:val="20"/>
                <w:szCs w:val="20"/>
              </w:rPr>
            </w:pPr>
            <w:r>
              <w:rPr>
                <w:sz w:val="20"/>
                <w:szCs w:val="20"/>
              </w:rPr>
              <w:t>36</w:t>
            </w:r>
          </w:p>
        </w:tc>
      </w:tr>
      <w:tr w:rsidR="00000000">
        <w:tc>
          <w:tcPr>
            <w:tcW w:w="0" w:type="auto"/>
            <w:shd w:val="clear" w:color="auto" w:fill="FFFFFF"/>
            <w:hideMark/>
          </w:tcPr>
          <w:p w:rsidR="00000000" w:rsidRDefault="003A6737">
            <w:pPr>
              <w:jc w:val="both"/>
              <w:rPr>
                <w:rFonts w:eastAsia="Times New Roman"/>
                <w:sz w:val="20"/>
                <w:szCs w:val="20"/>
              </w:rPr>
            </w:pPr>
            <w:hyperlink w:anchor="a_012" w:history="1">
              <w:r>
                <w:rPr>
                  <w:rStyle w:val="a4"/>
                  <w:rFonts w:eastAsia="Times New Roman"/>
                  <w:sz w:val="20"/>
                  <w:szCs w:val="20"/>
                </w:rPr>
                <w:t>Item 6. [Reserved]</w:t>
              </w:r>
            </w:hyperlink>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center"/>
              <w:rPr>
                <w:rFonts w:eastAsia="Times New Roman"/>
                <w:sz w:val="20"/>
                <w:szCs w:val="20"/>
              </w:rPr>
            </w:pPr>
            <w:r>
              <w:rPr>
                <w:rFonts w:eastAsia="Times New Roman"/>
                <w:sz w:val="20"/>
                <w:szCs w:val="20"/>
              </w:rPr>
              <w:t>37</w:t>
            </w:r>
          </w:p>
        </w:tc>
      </w:tr>
      <w:tr w:rsidR="00000000">
        <w:tc>
          <w:tcPr>
            <w:tcW w:w="0" w:type="auto"/>
            <w:shd w:val="clear" w:color="auto" w:fill="CCEEFF"/>
            <w:hideMark/>
          </w:tcPr>
          <w:p w:rsidR="00000000" w:rsidRDefault="003A6737">
            <w:pPr>
              <w:jc w:val="both"/>
              <w:rPr>
                <w:rFonts w:eastAsia="Times New Roman"/>
                <w:sz w:val="20"/>
                <w:szCs w:val="20"/>
              </w:rPr>
            </w:pPr>
            <w:hyperlink w:anchor="a_013" w:history="1">
              <w:r>
                <w:rPr>
                  <w:rStyle w:val="a4"/>
                  <w:rFonts w:eastAsia="Times New Roman"/>
                  <w:sz w:val="20"/>
                  <w:szCs w:val="20"/>
                </w:rPr>
                <w:t>Item 7. Management’s Discussion and Analysis of Financial Condition and Results of Operations</w:t>
              </w:r>
            </w:hyperlink>
          </w:p>
        </w:tc>
        <w:tc>
          <w:tcPr>
            <w:tcW w:w="0" w:type="auto"/>
            <w:shd w:val="clear" w:color="auto" w:fill="CCEE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center"/>
              <w:rPr>
                <w:rFonts w:eastAsia="Times New Roman"/>
                <w:sz w:val="20"/>
                <w:szCs w:val="20"/>
              </w:rPr>
            </w:pPr>
            <w:r>
              <w:rPr>
                <w:rFonts w:eastAsia="Times New Roman"/>
                <w:sz w:val="20"/>
                <w:szCs w:val="20"/>
              </w:rPr>
              <w:t>37</w:t>
            </w:r>
          </w:p>
        </w:tc>
      </w:tr>
      <w:tr w:rsidR="00000000">
        <w:tc>
          <w:tcPr>
            <w:tcW w:w="0" w:type="auto"/>
            <w:shd w:val="clear" w:color="auto" w:fill="FFFFFF"/>
            <w:hideMark/>
          </w:tcPr>
          <w:p w:rsidR="00000000" w:rsidRDefault="003A6737">
            <w:pPr>
              <w:jc w:val="both"/>
              <w:rPr>
                <w:rFonts w:eastAsia="Times New Roman"/>
                <w:sz w:val="20"/>
                <w:szCs w:val="20"/>
              </w:rPr>
            </w:pPr>
            <w:hyperlink w:anchor="a_014" w:history="1">
              <w:r>
                <w:rPr>
                  <w:rStyle w:val="a4"/>
                  <w:rFonts w:eastAsia="Times New Roman"/>
                  <w:sz w:val="20"/>
                  <w:szCs w:val="20"/>
                </w:rPr>
                <w:t>Item 7A. Quantitative and Qualitative Disclosures about Market Risk</w:t>
              </w:r>
            </w:hyperlink>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center"/>
              <w:rPr>
                <w:rFonts w:eastAsia="Times New Roman"/>
                <w:sz w:val="20"/>
                <w:szCs w:val="20"/>
              </w:rPr>
            </w:pPr>
            <w:r>
              <w:rPr>
                <w:rFonts w:eastAsia="Times New Roman"/>
                <w:sz w:val="20"/>
                <w:szCs w:val="20"/>
              </w:rPr>
              <w:t>51</w:t>
            </w:r>
          </w:p>
        </w:tc>
      </w:tr>
      <w:tr w:rsidR="00000000">
        <w:tc>
          <w:tcPr>
            <w:tcW w:w="0" w:type="auto"/>
            <w:shd w:val="clear" w:color="auto" w:fill="CCEEFF"/>
            <w:hideMark/>
          </w:tcPr>
          <w:p w:rsidR="00000000" w:rsidRDefault="003A6737">
            <w:pPr>
              <w:jc w:val="both"/>
              <w:rPr>
                <w:rFonts w:eastAsia="Times New Roman"/>
                <w:sz w:val="20"/>
                <w:szCs w:val="20"/>
              </w:rPr>
            </w:pPr>
            <w:hyperlink w:anchor="a_015" w:history="1">
              <w:r>
                <w:rPr>
                  <w:rStyle w:val="a4"/>
                  <w:rFonts w:eastAsia="Times New Roman"/>
                  <w:sz w:val="20"/>
                  <w:szCs w:val="20"/>
                </w:rPr>
                <w:t>Item 8. Financial Statements and Supplementary Data</w:t>
              </w:r>
            </w:hyperlink>
          </w:p>
        </w:tc>
        <w:tc>
          <w:tcPr>
            <w:tcW w:w="0" w:type="auto"/>
            <w:shd w:val="clear" w:color="auto" w:fill="CCEE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center"/>
              <w:rPr>
                <w:rFonts w:eastAsia="Times New Roman"/>
                <w:sz w:val="20"/>
                <w:szCs w:val="20"/>
              </w:rPr>
            </w:pPr>
            <w:r>
              <w:rPr>
                <w:rFonts w:eastAsia="Times New Roman"/>
                <w:sz w:val="20"/>
                <w:szCs w:val="20"/>
              </w:rPr>
              <w:t>51</w:t>
            </w:r>
          </w:p>
        </w:tc>
      </w:tr>
      <w:tr w:rsidR="00000000">
        <w:tc>
          <w:tcPr>
            <w:tcW w:w="0" w:type="auto"/>
            <w:shd w:val="clear" w:color="auto" w:fill="FFFFFF"/>
            <w:hideMark/>
          </w:tcPr>
          <w:p w:rsidR="00000000" w:rsidRDefault="003A6737">
            <w:pPr>
              <w:jc w:val="both"/>
              <w:rPr>
                <w:rFonts w:eastAsia="Times New Roman"/>
                <w:sz w:val="20"/>
                <w:szCs w:val="20"/>
              </w:rPr>
            </w:pPr>
            <w:hyperlink w:anchor="a_016" w:history="1">
              <w:r>
                <w:rPr>
                  <w:rStyle w:val="a4"/>
                  <w:rFonts w:eastAsia="Times New Roman"/>
                  <w:sz w:val="20"/>
                  <w:szCs w:val="20"/>
                </w:rPr>
                <w:t xml:space="preserve">Item 9. Changes in and Disagreements with Accountants on Accounting </w:t>
              </w:r>
              <w:r>
                <w:rPr>
                  <w:rStyle w:val="a4"/>
                  <w:rFonts w:eastAsia="Times New Roman"/>
                  <w:sz w:val="20"/>
                  <w:szCs w:val="20"/>
                </w:rPr>
                <w:t>and Financial Disclosure</w:t>
              </w:r>
            </w:hyperlink>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center"/>
              <w:rPr>
                <w:rFonts w:eastAsia="Times New Roman"/>
                <w:sz w:val="20"/>
                <w:szCs w:val="20"/>
              </w:rPr>
            </w:pPr>
            <w:r>
              <w:rPr>
                <w:rFonts w:eastAsia="Times New Roman"/>
                <w:sz w:val="20"/>
                <w:szCs w:val="20"/>
              </w:rPr>
              <w:t>51</w:t>
            </w:r>
          </w:p>
        </w:tc>
      </w:tr>
      <w:tr w:rsidR="00000000">
        <w:tc>
          <w:tcPr>
            <w:tcW w:w="0" w:type="auto"/>
            <w:shd w:val="clear" w:color="auto" w:fill="CCEEFF"/>
            <w:hideMark/>
          </w:tcPr>
          <w:p w:rsidR="00000000" w:rsidRDefault="003A6737">
            <w:pPr>
              <w:jc w:val="both"/>
              <w:rPr>
                <w:rFonts w:eastAsia="Times New Roman"/>
                <w:sz w:val="20"/>
                <w:szCs w:val="20"/>
              </w:rPr>
            </w:pPr>
            <w:hyperlink w:anchor="a_017" w:history="1">
              <w:r>
                <w:rPr>
                  <w:rStyle w:val="a4"/>
                  <w:rFonts w:eastAsia="Times New Roman"/>
                  <w:sz w:val="20"/>
                  <w:szCs w:val="20"/>
                </w:rPr>
                <w:t>Item 9A. Controls and Procedures</w:t>
              </w:r>
            </w:hyperlink>
          </w:p>
        </w:tc>
        <w:tc>
          <w:tcPr>
            <w:tcW w:w="0" w:type="auto"/>
            <w:shd w:val="clear" w:color="auto" w:fill="CCEE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center"/>
              <w:rPr>
                <w:rFonts w:eastAsia="Times New Roman"/>
                <w:sz w:val="20"/>
                <w:szCs w:val="20"/>
              </w:rPr>
            </w:pPr>
            <w:r>
              <w:rPr>
                <w:rFonts w:eastAsia="Times New Roman"/>
                <w:sz w:val="20"/>
                <w:szCs w:val="20"/>
              </w:rPr>
              <w:t>52</w:t>
            </w:r>
          </w:p>
        </w:tc>
      </w:tr>
      <w:tr w:rsidR="00000000">
        <w:tc>
          <w:tcPr>
            <w:tcW w:w="0" w:type="auto"/>
            <w:shd w:val="clear" w:color="auto" w:fill="FFFFFF"/>
            <w:hideMark/>
          </w:tcPr>
          <w:p w:rsidR="00000000" w:rsidRDefault="003A6737">
            <w:pPr>
              <w:jc w:val="both"/>
              <w:rPr>
                <w:rFonts w:eastAsia="Times New Roman"/>
                <w:sz w:val="20"/>
                <w:szCs w:val="20"/>
              </w:rPr>
            </w:pPr>
            <w:hyperlink w:anchor="a_018" w:history="1">
              <w:r>
                <w:rPr>
                  <w:rStyle w:val="a4"/>
                  <w:rFonts w:eastAsia="Times New Roman"/>
                  <w:sz w:val="20"/>
                  <w:szCs w:val="20"/>
                </w:rPr>
                <w:t>Item 9B. Other Information</w:t>
              </w:r>
            </w:hyperlink>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center"/>
              <w:rPr>
                <w:rFonts w:eastAsia="Times New Roman"/>
                <w:sz w:val="20"/>
                <w:szCs w:val="20"/>
              </w:rPr>
            </w:pPr>
            <w:r>
              <w:rPr>
                <w:rFonts w:eastAsia="Times New Roman"/>
                <w:sz w:val="20"/>
                <w:szCs w:val="20"/>
              </w:rPr>
              <w:t>53</w:t>
            </w:r>
          </w:p>
        </w:tc>
      </w:tr>
      <w:tr w:rsidR="00000000">
        <w:tc>
          <w:tcPr>
            <w:tcW w:w="0" w:type="auto"/>
            <w:shd w:val="clear" w:color="auto" w:fill="CCEEFF"/>
            <w:hideMark/>
          </w:tcPr>
          <w:p w:rsidR="00000000" w:rsidRDefault="003A6737">
            <w:pPr>
              <w:jc w:val="both"/>
              <w:rPr>
                <w:rFonts w:eastAsia="Times New Roman"/>
                <w:sz w:val="20"/>
                <w:szCs w:val="20"/>
              </w:rPr>
            </w:pPr>
            <w:hyperlink w:anchor="a_019" w:history="1">
              <w:r>
                <w:rPr>
                  <w:rStyle w:val="a4"/>
                  <w:rFonts w:eastAsia="Times New Roman"/>
                  <w:sz w:val="20"/>
                  <w:szCs w:val="20"/>
                </w:rPr>
                <w:t>Item 9C. Disclosure Regarding Foreign Jurisdictions that Prevent Inspection</w:t>
              </w:r>
            </w:hyperlink>
          </w:p>
        </w:tc>
        <w:tc>
          <w:tcPr>
            <w:tcW w:w="0" w:type="auto"/>
            <w:shd w:val="clear" w:color="auto" w:fill="CCEE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center"/>
              <w:rPr>
                <w:rFonts w:eastAsia="Times New Roman"/>
                <w:sz w:val="20"/>
                <w:szCs w:val="20"/>
              </w:rPr>
            </w:pPr>
            <w:r>
              <w:rPr>
                <w:rFonts w:eastAsia="Times New Roman"/>
                <w:sz w:val="20"/>
                <w:szCs w:val="20"/>
              </w:rPr>
              <w:t>53</w:t>
            </w:r>
          </w:p>
        </w:tc>
      </w:tr>
      <w:tr w:rsidR="00000000">
        <w:tc>
          <w:tcPr>
            <w:tcW w:w="0" w:type="auto"/>
            <w:shd w:val="clear" w:color="auto" w:fill="FFFFFF"/>
            <w:hideMark/>
          </w:tcPr>
          <w:p w:rsidR="00000000" w:rsidRDefault="003A6737">
            <w:pPr>
              <w:jc w:val="both"/>
              <w:rPr>
                <w:rFonts w:eastAsia="Times New Roman"/>
                <w:sz w:val="20"/>
                <w:szCs w:val="20"/>
              </w:rPr>
            </w:pPr>
            <w:hyperlink w:anchor="a_020" w:history="1">
              <w:r>
                <w:rPr>
                  <w:rStyle w:val="a4"/>
                  <w:rFonts w:eastAsia="Times New Roman"/>
                  <w:sz w:val="20"/>
                  <w:szCs w:val="20"/>
                </w:rPr>
                <w:t>PART III</w:t>
              </w:r>
            </w:hyperlink>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center"/>
              <w:rPr>
                <w:rFonts w:eastAsia="Times New Roman"/>
                <w:sz w:val="20"/>
                <w:szCs w:val="20"/>
              </w:rPr>
            </w:pPr>
            <w:r>
              <w:rPr>
                <w:rFonts w:eastAsia="Times New Roman"/>
                <w:sz w:val="20"/>
                <w:szCs w:val="20"/>
              </w:rPr>
              <w:t>53</w:t>
            </w:r>
          </w:p>
        </w:tc>
      </w:tr>
      <w:tr w:rsidR="00000000">
        <w:tc>
          <w:tcPr>
            <w:tcW w:w="0" w:type="auto"/>
            <w:shd w:val="clear" w:color="auto" w:fill="CCEEFF"/>
            <w:hideMark/>
          </w:tcPr>
          <w:p w:rsidR="00000000" w:rsidRDefault="003A6737">
            <w:pPr>
              <w:jc w:val="both"/>
              <w:rPr>
                <w:rFonts w:eastAsia="Times New Roman"/>
                <w:sz w:val="20"/>
                <w:szCs w:val="20"/>
              </w:rPr>
            </w:pPr>
            <w:hyperlink w:anchor="a_021" w:history="1">
              <w:r>
                <w:rPr>
                  <w:rStyle w:val="a4"/>
                  <w:rFonts w:eastAsia="Times New Roman"/>
                  <w:sz w:val="20"/>
                  <w:szCs w:val="20"/>
                </w:rPr>
                <w:t>Item 10. Directors, Executive Officers and Corporate Governance</w:t>
              </w:r>
            </w:hyperlink>
          </w:p>
        </w:tc>
        <w:tc>
          <w:tcPr>
            <w:tcW w:w="0" w:type="auto"/>
            <w:shd w:val="clear" w:color="auto" w:fill="CCEE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center"/>
              <w:rPr>
                <w:rFonts w:eastAsia="Times New Roman"/>
                <w:sz w:val="20"/>
                <w:szCs w:val="20"/>
              </w:rPr>
            </w:pPr>
            <w:r>
              <w:rPr>
                <w:rFonts w:eastAsia="Times New Roman"/>
                <w:sz w:val="20"/>
                <w:szCs w:val="20"/>
              </w:rPr>
              <w:t>53</w:t>
            </w:r>
          </w:p>
        </w:tc>
      </w:tr>
      <w:tr w:rsidR="00000000">
        <w:tc>
          <w:tcPr>
            <w:tcW w:w="0" w:type="auto"/>
            <w:shd w:val="clear" w:color="auto" w:fill="FFFFFF"/>
            <w:hideMark/>
          </w:tcPr>
          <w:p w:rsidR="00000000" w:rsidRDefault="003A6737">
            <w:pPr>
              <w:jc w:val="both"/>
              <w:rPr>
                <w:rFonts w:eastAsia="Times New Roman"/>
                <w:sz w:val="20"/>
                <w:szCs w:val="20"/>
              </w:rPr>
            </w:pPr>
            <w:hyperlink w:anchor="a_022" w:history="1">
              <w:r>
                <w:rPr>
                  <w:rStyle w:val="a4"/>
                  <w:rFonts w:eastAsia="Times New Roman"/>
                  <w:sz w:val="20"/>
                  <w:szCs w:val="20"/>
                </w:rPr>
                <w:t xml:space="preserve">Item </w:t>
              </w:r>
              <w:r>
                <w:rPr>
                  <w:rStyle w:val="a4"/>
                  <w:rFonts w:eastAsia="Times New Roman"/>
                  <w:sz w:val="20"/>
                  <w:szCs w:val="20"/>
                </w:rPr>
                <w:t>11. Executive Compensation</w:t>
              </w:r>
            </w:hyperlink>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center"/>
              <w:rPr>
                <w:rFonts w:eastAsia="Times New Roman"/>
                <w:sz w:val="20"/>
                <w:szCs w:val="20"/>
              </w:rPr>
            </w:pPr>
            <w:r>
              <w:rPr>
                <w:rFonts w:eastAsia="Times New Roman"/>
                <w:sz w:val="20"/>
                <w:szCs w:val="20"/>
              </w:rPr>
              <w:t>53</w:t>
            </w:r>
          </w:p>
        </w:tc>
      </w:tr>
      <w:tr w:rsidR="00000000">
        <w:tc>
          <w:tcPr>
            <w:tcW w:w="0" w:type="auto"/>
            <w:shd w:val="clear" w:color="auto" w:fill="CCEEFF"/>
            <w:hideMark/>
          </w:tcPr>
          <w:p w:rsidR="00000000" w:rsidRDefault="003A6737">
            <w:pPr>
              <w:jc w:val="both"/>
              <w:rPr>
                <w:rFonts w:eastAsia="Times New Roman"/>
                <w:sz w:val="20"/>
                <w:szCs w:val="20"/>
              </w:rPr>
            </w:pPr>
            <w:hyperlink w:anchor="a_023" w:history="1">
              <w:r>
                <w:rPr>
                  <w:rStyle w:val="a4"/>
                  <w:rFonts w:eastAsia="Times New Roman"/>
                  <w:sz w:val="20"/>
                  <w:szCs w:val="20"/>
                </w:rPr>
                <w:t>Item 12. Security Ownership of Certain Beneficial Owners and Management and Related Stockholder Matters</w:t>
              </w:r>
            </w:hyperlink>
          </w:p>
        </w:tc>
        <w:tc>
          <w:tcPr>
            <w:tcW w:w="0" w:type="auto"/>
            <w:shd w:val="clear" w:color="auto" w:fill="CCEE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center"/>
              <w:rPr>
                <w:rFonts w:eastAsia="Times New Roman"/>
                <w:sz w:val="20"/>
                <w:szCs w:val="20"/>
              </w:rPr>
            </w:pPr>
            <w:r>
              <w:rPr>
                <w:rFonts w:eastAsia="Times New Roman"/>
                <w:sz w:val="20"/>
                <w:szCs w:val="20"/>
              </w:rPr>
              <w:t>53</w:t>
            </w:r>
          </w:p>
        </w:tc>
      </w:tr>
      <w:tr w:rsidR="00000000">
        <w:tc>
          <w:tcPr>
            <w:tcW w:w="0" w:type="auto"/>
            <w:shd w:val="clear" w:color="auto" w:fill="FFFFFF"/>
            <w:hideMark/>
          </w:tcPr>
          <w:p w:rsidR="00000000" w:rsidRDefault="003A6737">
            <w:pPr>
              <w:jc w:val="both"/>
              <w:rPr>
                <w:rFonts w:eastAsia="Times New Roman"/>
                <w:sz w:val="20"/>
                <w:szCs w:val="20"/>
              </w:rPr>
            </w:pPr>
            <w:hyperlink w:anchor="a_024" w:history="1">
              <w:r>
                <w:rPr>
                  <w:rStyle w:val="a4"/>
                  <w:rFonts w:eastAsia="Times New Roman"/>
                  <w:sz w:val="20"/>
                  <w:szCs w:val="20"/>
                </w:rPr>
                <w:t>Item 13. Certain Relationships and Related Transactions, and Director Independence</w:t>
              </w:r>
            </w:hyperlink>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center"/>
              <w:rPr>
                <w:rFonts w:eastAsia="Times New Roman"/>
                <w:sz w:val="20"/>
                <w:szCs w:val="20"/>
              </w:rPr>
            </w:pPr>
            <w:r>
              <w:rPr>
                <w:rFonts w:eastAsia="Times New Roman"/>
                <w:sz w:val="20"/>
                <w:szCs w:val="20"/>
              </w:rPr>
              <w:t>53</w:t>
            </w:r>
          </w:p>
        </w:tc>
      </w:tr>
      <w:tr w:rsidR="00000000">
        <w:tc>
          <w:tcPr>
            <w:tcW w:w="0" w:type="auto"/>
            <w:shd w:val="clear" w:color="auto" w:fill="CCEEFF"/>
            <w:hideMark/>
          </w:tcPr>
          <w:p w:rsidR="00000000" w:rsidRDefault="003A6737">
            <w:pPr>
              <w:jc w:val="both"/>
              <w:rPr>
                <w:rFonts w:eastAsia="Times New Roman"/>
                <w:sz w:val="20"/>
                <w:szCs w:val="20"/>
              </w:rPr>
            </w:pPr>
            <w:hyperlink w:anchor="a_025" w:history="1">
              <w:r>
                <w:rPr>
                  <w:rStyle w:val="a4"/>
                  <w:rFonts w:eastAsia="Times New Roman"/>
                  <w:sz w:val="20"/>
                  <w:szCs w:val="20"/>
                </w:rPr>
                <w:t>Item 14. Principal Accountant Fees and Services</w:t>
              </w:r>
            </w:hyperlink>
          </w:p>
        </w:tc>
        <w:tc>
          <w:tcPr>
            <w:tcW w:w="0" w:type="auto"/>
            <w:shd w:val="clear" w:color="auto" w:fill="CCEE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center"/>
              <w:rPr>
                <w:rFonts w:eastAsia="Times New Roman"/>
                <w:sz w:val="20"/>
                <w:szCs w:val="20"/>
              </w:rPr>
            </w:pPr>
            <w:r>
              <w:rPr>
                <w:rFonts w:eastAsia="Times New Roman"/>
                <w:sz w:val="20"/>
                <w:szCs w:val="20"/>
              </w:rPr>
              <w:t>53</w:t>
            </w:r>
          </w:p>
        </w:tc>
      </w:tr>
      <w:tr w:rsidR="00000000">
        <w:tc>
          <w:tcPr>
            <w:tcW w:w="0" w:type="auto"/>
            <w:shd w:val="clear" w:color="auto" w:fill="FFFFFF"/>
            <w:hideMark/>
          </w:tcPr>
          <w:p w:rsidR="00000000" w:rsidRDefault="003A6737">
            <w:pPr>
              <w:jc w:val="both"/>
              <w:rPr>
                <w:rFonts w:eastAsia="Times New Roman"/>
                <w:sz w:val="20"/>
                <w:szCs w:val="20"/>
              </w:rPr>
            </w:pPr>
            <w:hyperlink w:anchor="a_026" w:history="1">
              <w:r>
                <w:rPr>
                  <w:rStyle w:val="a4"/>
                  <w:rFonts w:eastAsia="Times New Roman"/>
                  <w:sz w:val="20"/>
                  <w:szCs w:val="20"/>
                </w:rPr>
                <w:t>PART IV</w:t>
              </w:r>
            </w:hyperlink>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center"/>
              <w:rPr>
                <w:rFonts w:eastAsia="Times New Roman"/>
                <w:sz w:val="20"/>
                <w:szCs w:val="20"/>
              </w:rPr>
            </w:pPr>
            <w:r>
              <w:rPr>
                <w:rFonts w:eastAsia="Times New Roman"/>
                <w:sz w:val="20"/>
                <w:szCs w:val="20"/>
              </w:rPr>
              <w:t>54</w:t>
            </w:r>
          </w:p>
        </w:tc>
      </w:tr>
      <w:tr w:rsidR="00000000">
        <w:tc>
          <w:tcPr>
            <w:tcW w:w="0" w:type="auto"/>
            <w:shd w:val="clear" w:color="auto" w:fill="CCEEFF"/>
            <w:hideMark/>
          </w:tcPr>
          <w:p w:rsidR="00000000" w:rsidRDefault="003A6737">
            <w:pPr>
              <w:jc w:val="both"/>
              <w:rPr>
                <w:rFonts w:eastAsia="Times New Roman"/>
                <w:sz w:val="20"/>
                <w:szCs w:val="20"/>
              </w:rPr>
            </w:pPr>
            <w:hyperlink w:anchor="a_027" w:history="1">
              <w:r>
                <w:rPr>
                  <w:rStyle w:val="a4"/>
                  <w:rFonts w:eastAsia="Times New Roman"/>
                  <w:sz w:val="20"/>
                  <w:szCs w:val="20"/>
                </w:rPr>
                <w:t>Item 15. Exhibi</w:t>
              </w:r>
              <w:r>
                <w:rPr>
                  <w:rStyle w:val="a4"/>
                  <w:rFonts w:eastAsia="Times New Roman"/>
                  <w:sz w:val="20"/>
                  <w:szCs w:val="20"/>
                </w:rPr>
                <w:t>ts and Financial Statement Schedules</w:t>
              </w:r>
            </w:hyperlink>
          </w:p>
        </w:tc>
        <w:tc>
          <w:tcPr>
            <w:tcW w:w="0" w:type="auto"/>
            <w:shd w:val="clear" w:color="auto" w:fill="CCEE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center"/>
              <w:rPr>
                <w:rFonts w:eastAsia="Times New Roman"/>
                <w:sz w:val="20"/>
                <w:szCs w:val="20"/>
              </w:rPr>
            </w:pPr>
            <w:r>
              <w:rPr>
                <w:rFonts w:eastAsia="Times New Roman"/>
                <w:sz w:val="20"/>
                <w:szCs w:val="20"/>
              </w:rPr>
              <w:t>54</w:t>
            </w:r>
          </w:p>
        </w:tc>
      </w:tr>
      <w:tr w:rsidR="00000000">
        <w:tc>
          <w:tcPr>
            <w:tcW w:w="0" w:type="auto"/>
            <w:shd w:val="clear" w:color="auto" w:fill="FFFFFF"/>
            <w:hideMark/>
          </w:tcPr>
          <w:p w:rsidR="00000000" w:rsidRDefault="003A6737">
            <w:pPr>
              <w:jc w:val="both"/>
              <w:rPr>
                <w:rFonts w:eastAsia="Times New Roman"/>
                <w:sz w:val="20"/>
                <w:szCs w:val="20"/>
              </w:rPr>
            </w:pPr>
            <w:hyperlink w:anchor="a_028" w:history="1">
              <w:r>
                <w:rPr>
                  <w:rStyle w:val="a4"/>
                  <w:rFonts w:eastAsia="Times New Roman"/>
                  <w:sz w:val="20"/>
                  <w:szCs w:val="20"/>
                </w:rPr>
                <w:t>Signatures</w:t>
              </w:r>
            </w:hyperlink>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center"/>
              <w:rPr>
                <w:rFonts w:eastAsia="Times New Roman"/>
                <w:sz w:val="20"/>
                <w:szCs w:val="20"/>
              </w:rPr>
            </w:pPr>
            <w:r>
              <w:rPr>
                <w:rFonts w:eastAsia="Times New Roman"/>
                <w:sz w:val="20"/>
                <w:szCs w:val="20"/>
              </w:rPr>
              <w:t>60</w:t>
            </w:r>
          </w:p>
        </w:tc>
      </w:tr>
    </w:tbl>
    <w:p w:rsidR="00000000" w:rsidRDefault="003A6737">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82218677"/>
        </w:trPr>
        <w:tc>
          <w:tcPr>
            <w:tcW w:w="5000" w:type="pct"/>
            <w:hideMark/>
          </w:tcPr>
          <w:p w:rsidR="00000000" w:rsidRDefault="003A6737">
            <w:pPr>
              <w:jc w:val="center"/>
              <w:rPr>
                <w:rFonts w:eastAsia="Times New Roman"/>
                <w:sz w:val="20"/>
                <w:szCs w:val="20"/>
              </w:rPr>
            </w:pP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sz w:val="20"/>
          <w:szCs w:val="20"/>
        </w:rPr>
      </w:pPr>
      <w:r>
        <w:rPr>
          <w:sz w:val="20"/>
          <w:szCs w:val="20"/>
        </w:rPr>
        <w:t>Forward-Looking Statements</w:t>
      </w:r>
    </w:p>
    <w:p w:rsidR="00000000" w:rsidRDefault="003A6737">
      <w:pPr>
        <w:pStyle w:val="a3"/>
        <w:spacing w:before="0" w:beforeAutospacing="0" w:after="0" w:afterAutospacing="0"/>
        <w:jc w:val="both"/>
        <w:rPr>
          <w:sz w:val="20"/>
          <w:szCs w:val="20"/>
        </w:rPr>
      </w:pPr>
      <w:r>
        <w:rPr>
          <w:i/>
          <w:iCs/>
          <w:sz w:val="20"/>
          <w:szCs w:val="20"/>
        </w:rPr>
        <w:t> </w:t>
      </w:r>
    </w:p>
    <w:p w:rsidR="00000000" w:rsidRDefault="003A6737">
      <w:pPr>
        <w:pStyle w:val="a3"/>
        <w:spacing w:before="0" w:beforeAutospacing="0" w:after="0" w:afterAutospacing="0"/>
        <w:jc w:val="both"/>
        <w:rPr>
          <w:sz w:val="20"/>
          <w:szCs w:val="20"/>
        </w:rPr>
      </w:pPr>
      <w:r>
        <w:rPr>
          <w:i/>
          <w:iCs/>
          <w:sz w:val="20"/>
          <w:szCs w:val="20"/>
        </w:rPr>
        <w:t xml:space="preserve">Certain </w:t>
      </w:r>
      <w:r>
        <w:rPr>
          <w:i/>
          <w:iCs/>
          <w:sz w:val="20"/>
          <w:szCs w:val="20"/>
        </w:rPr>
        <w:t>statements that we make from time to time, including statements contained in this Annual Report on Form 10-K, constitute “forward-looking statements” within the meaning of Section 27A of the Securities Act of 1933, as amended, or the Securities Act, and Se</w:t>
      </w:r>
      <w:r>
        <w:rPr>
          <w:i/>
          <w:iCs/>
          <w:sz w:val="20"/>
          <w:szCs w:val="20"/>
        </w:rPr>
        <w:t>ction 21E of the Securities Exchange Act of 1934, as amended, or the Exchange Act. All statements other than statements of historical fact contained in this Annual Report on Form 10-K are forward-looking statements. These statements relate to anticipated f</w:t>
      </w:r>
      <w:r>
        <w:rPr>
          <w:i/>
          <w:iCs/>
          <w:sz w:val="20"/>
          <w:szCs w:val="20"/>
        </w:rPr>
        <w:t>uture events, future results of operations or future financial performance. In some cases, you can identify forward-looking statements by terminology such as “may,” “might,” “will,” “shall,” “should,” “could,” “intends,” “expects,” “plans,” “goals,” “proje</w:t>
      </w:r>
      <w:r>
        <w:rPr>
          <w:i/>
          <w:iCs/>
          <w:sz w:val="20"/>
          <w:szCs w:val="20"/>
        </w:rPr>
        <w:t>cts,” “anticipates,” “believes,” “seeks,” “estimates,” “forecasts,” “predicts,” “possible,” “potential,” “target,” or “continue” or the negative of these terms or other comparable terminology. Our operations involve risks and uncertainties, many of which a</w:t>
      </w:r>
      <w:r>
        <w:rPr>
          <w:i/>
          <w:iCs/>
          <w:sz w:val="20"/>
          <w:szCs w:val="20"/>
        </w:rPr>
        <w:t>re outside our control, and any one of which, or a combination of which, could materially affect our results of operations and whether the forward-looking statements ultimately prove to be correct. Forward-looking statements in this Annual Report on Form 1</w:t>
      </w:r>
      <w:r>
        <w:rPr>
          <w:i/>
          <w:iCs/>
          <w:sz w:val="20"/>
          <w:szCs w:val="20"/>
        </w:rPr>
        <w:t xml:space="preserve">0-K include, without limitation, statements reflecting management’s expectations for future financial performance and operating expenditures (including our ability to continue as a going concern, to raise additional capital and to </w:t>
      </w:r>
      <w:r>
        <w:rPr>
          <w:i/>
          <w:iCs/>
          <w:sz w:val="20"/>
          <w:szCs w:val="20"/>
        </w:rPr>
        <w:lastRenderedPageBreak/>
        <w:t>succeed in our future ope</w:t>
      </w:r>
      <w:r>
        <w:rPr>
          <w:i/>
          <w:iCs/>
          <w:sz w:val="20"/>
          <w:szCs w:val="20"/>
        </w:rPr>
        <w:t>rations), expected growth, profitability and business outlook, increased sales and marketing expenses, and the expected results from the integration of our acquisitions.</w:t>
      </w:r>
    </w:p>
    <w:p w:rsidR="00000000" w:rsidRDefault="003A6737">
      <w:pPr>
        <w:pStyle w:val="a3"/>
        <w:spacing w:before="0" w:beforeAutospacing="0" w:after="0" w:afterAutospacing="0"/>
        <w:ind w:firstLine="48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i/>
          <w:iCs/>
          <w:sz w:val="20"/>
          <w:szCs w:val="20"/>
        </w:rPr>
        <w:t>Forward-looking statements are only predictions, are uncertain and involve substanti</w:t>
      </w:r>
      <w:r>
        <w:rPr>
          <w:i/>
          <w:iCs/>
          <w:sz w:val="20"/>
          <w:szCs w:val="20"/>
        </w:rPr>
        <w:t>al known and unknown risks, uncertainties, and other factors that may cause our (or our industry’s) actual results, levels of activity or performance to be materially different from any future results, levels of activity or performance expressed or implied</w:t>
      </w:r>
      <w:r>
        <w:rPr>
          <w:i/>
          <w:iCs/>
          <w:sz w:val="20"/>
          <w:szCs w:val="20"/>
        </w:rPr>
        <w:t xml:space="preserve"> by these forward-looking statements. These factors include, among other things, the unknown risks and uncertainties that we believe could cause actual results to differ from these forward-looking statements as set forth under the heading, “Risk Factors” a</w:t>
      </w:r>
      <w:r>
        <w:rPr>
          <w:i/>
          <w:iCs/>
          <w:sz w:val="20"/>
          <w:szCs w:val="20"/>
        </w:rPr>
        <w:t>nd elsewhere in this Annual Report on Form 10-K</w:t>
      </w:r>
      <w:r>
        <w:rPr>
          <w:sz w:val="20"/>
          <w:szCs w:val="20"/>
        </w:rPr>
        <w:t xml:space="preserve">. </w:t>
      </w:r>
      <w:r>
        <w:rPr>
          <w:i/>
          <w:iCs/>
          <w:color w:val="000000"/>
          <w:sz w:val="20"/>
          <w:szCs w:val="20"/>
        </w:rPr>
        <w:t>New risks and uncertainties emerge from time to time, and it is not possible for us to predict all of the risks and uncertainties that could have an impact on the forward-looking statements, including withou</w:t>
      </w:r>
      <w:r>
        <w:rPr>
          <w:i/>
          <w:iCs/>
          <w:color w:val="000000"/>
          <w:sz w:val="20"/>
          <w:szCs w:val="20"/>
        </w:rPr>
        <w:t>t limitation, risks and uncertainties relating to:</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3A6737">
            <w:pPr>
              <w:rPr>
                <w:rFonts w:eastAsia="Times New Roman"/>
                <w:sz w:val="20"/>
                <w:szCs w:val="20"/>
              </w:rPr>
            </w:pPr>
            <w:r>
              <w:rPr>
                <w:rFonts w:eastAsia="Times New Roman"/>
                <w:sz w:val="20"/>
                <w:szCs w:val="20"/>
              </w:rPr>
              <w:t> </w:t>
            </w: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our ability to manage our growth, including acquiring, partnering with, and effectively integrating acquired businesses into our infrastructure and avoiding legal exposure and liabilities associated </w:t>
            </w:r>
            <w:r>
              <w:rPr>
                <w:rFonts w:eastAsia="Times New Roman"/>
                <w:sz w:val="20"/>
                <w:szCs w:val="20"/>
              </w:rPr>
              <w:t>with acquired companies and assets;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our </w:t>
            </w:r>
            <w:r>
              <w:rPr>
                <w:rFonts w:eastAsia="Times New Roman"/>
                <w:sz w:val="20"/>
                <w:szCs w:val="20"/>
              </w:rPr>
              <w:t>ability to retain our clients and revenue levels, including effectively migrating new clients and maintaining or growing the revenue levels of our new and existing clients;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our ability to maintain operations in our Offshore Offices in a manner </w:t>
            </w:r>
            <w:r>
              <w:rPr>
                <w:rFonts w:eastAsia="Times New Roman"/>
                <w:sz w:val="20"/>
                <w:szCs w:val="20"/>
              </w:rPr>
              <w:t>that continues to enable us to offer competitively priced products and services;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our ability to keep pace with a rapidly changing healthcare industry;</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our </w:t>
            </w:r>
            <w:r>
              <w:rPr>
                <w:rFonts w:eastAsia="Times New Roman"/>
                <w:sz w:val="20"/>
                <w:szCs w:val="20"/>
              </w:rPr>
              <w:t>ability to consistently achieve and maintain compliance with a myriad of federal, state, foreign, local, payor and industry requirements, regulations, rules, laws and contracts;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our ability to maintain and protect the privacy of confidential an</w:t>
            </w:r>
            <w:r>
              <w:rPr>
                <w:rFonts w:eastAsia="Times New Roman"/>
                <w:sz w:val="20"/>
                <w:szCs w:val="20"/>
              </w:rPr>
              <w:t>d protected Company, client and patient information;</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our ability to develop new technologies, upgrade and adapt legacy and acquired technologies to work with evolving industry standards and third-party software platforms and technologies, and p</w:t>
            </w:r>
            <w:r>
              <w:rPr>
                <w:rFonts w:eastAsia="Times New Roman"/>
                <w:sz w:val="20"/>
                <w:szCs w:val="20"/>
              </w:rPr>
              <w:t>rotect and enforce all of these and other intellectual property rights;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our </w:t>
            </w:r>
            <w:r>
              <w:rPr>
                <w:rFonts w:eastAsia="Times New Roman"/>
                <w:sz w:val="20"/>
                <w:szCs w:val="20"/>
              </w:rPr>
              <w:t>ability to attract and retain key officers and employees, and the continued involvement of Mahmud Haq as Executive Chairman and A. Hadi Chaudhry as Chief Executive Officer and President, all of which are critical to our ongoing operations, growing our busi</w:t>
            </w:r>
            <w:r>
              <w:rPr>
                <w:rFonts w:eastAsia="Times New Roman"/>
                <w:sz w:val="20"/>
                <w:szCs w:val="20"/>
              </w:rPr>
              <w:t>ness and integrating of our newly acquired businesses;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our ability to comply with covenants contained in our credit agreement with our senior secured lender, Silicon Valley Bank and other future debt facilities;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our ability to pay o</w:t>
            </w:r>
            <w:r>
              <w:rPr>
                <w:rFonts w:eastAsia="Times New Roman"/>
                <w:sz w:val="20"/>
                <w:szCs w:val="20"/>
              </w:rPr>
              <w:t>ur monthly preferred dividends to the holders of our Series A and Series B preferred stock;</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our </w:t>
            </w:r>
            <w:r>
              <w:rPr>
                <w:rFonts w:eastAsia="Times New Roman"/>
                <w:sz w:val="20"/>
                <w:szCs w:val="20"/>
              </w:rPr>
              <w:t>ability to compete with other companies developing products and selling services competitive with ours, and who may have greater resources and name recognition than we have;</w:t>
            </w:r>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86000103"/>
        </w:trPr>
        <w:tc>
          <w:tcPr>
            <w:tcW w:w="5000" w:type="pct"/>
            <w:hideMark/>
          </w:tcPr>
          <w:p w:rsidR="00000000" w:rsidRDefault="003A6737">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3A6737">
            <w:pPr>
              <w:rPr>
                <w:rFonts w:eastAsia="Times New Roman"/>
                <w:sz w:val="20"/>
                <w:szCs w:val="20"/>
              </w:rPr>
            </w:pPr>
            <w:r>
              <w:rPr>
                <w:rFonts w:eastAsia="Times New Roman"/>
                <w:sz w:val="20"/>
                <w:szCs w:val="20"/>
              </w:rPr>
              <w:t> </w:t>
            </w: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our ability to respond to the uncertainty resulting from the ongoi</w:t>
            </w:r>
            <w:r>
              <w:rPr>
                <w:rFonts w:eastAsia="Times New Roman"/>
                <w:sz w:val="20"/>
                <w:szCs w:val="20"/>
              </w:rPr>
              <w:t>ng COVID-19 pandemic and the impact it may have on our operations, the demand for our services, our projected results of operations, financial performance or other financial metrics or any of the foregoing risks and economic activity in general;</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our ability to keep and increase market acceptance of our products and services;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shd w:val="clear" w:color="auto" w:fill="FFFFFF"/>
              </w:rPr>
              <w:t>changes in domestic and foreign business, market, financial, political and legal conditions; and</w:t>
            </w:r>
          </w:p>
        </w:tc>
      </w:tr>
      <w:tr w:rsidR="00000000">
        <w:tc>
          <w:tcPr>
            <w:tcW w:w="0" w:type="auto"/>
            <w:hideMark/>
          </w:tcPr>
          <w:p w:rsidR="00000000" w:rsidRDefault="003A6737">
            <w:pPr>
              <w:rPr>
                <w:rFonts w:eastAsia="Times New Roman"/>
                <w:sz w:val="20"/>
                <w:szCs w:val="20"/>
              </w:rPr>
            </w:pPr>
            <w:r>
              <w:rPr>
                <w:rFonts w:eastAsia="Times New Roman"/>
                <w:sz w:val="20"/>
                <w:szCs w:val="20"/>
              </w:rPr>
              <w:lastRenderedPageBreak/>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shd w:val="clear" w:color="auto" w:fill="FFFFFF"/>
              </w:rPr>
              <w:t>other factors disclosed in this Annual Report on Fo</w:t>
            </w:r>
            <w:r>
              <w:rPr>
                <w:rFonts w:eastAsia="Times New Roman"/>
                <w:sz w:val="20"/>
                <w:szCs w:val="20"/>
                <w:shd w:val="clear" w:color="auto" w:fill="FFFFFF"/>
              </w:rPr>
              <w:t xml:space="preserve">rm 10-K or our other filings with the </w:t>
            </w:r>
            <w:r>
              <w:rPr>
                <w:rFonts w:eastAsia="Times New Roman"/>
                <w:sz w:val="20"/>
                <w:szCs w:val="20"/>
              </w:rPr>
              <w:t>Securities and Exchange Commission (the “</w:t>
            </w:r>
            <w:r>
              <w:rPr>
                <w:rFonts w:eastAsia="Times New Roman"/>
                <w:sz w:val="20"/>
                <w:szCs w:val="20"/>
                <w:shd w:val="clear" w:color="auto" w:fill="FFFFFF"/>
              </w:rPr>
              <w:t>SEC”).</w:t>
            </w:r>
          </w:p>
        </w:tc>
      </w:tr>
    </w:tbl>
    <w:p w:rsidR="00000000" w:rsidRDefault="003A6737">
      <w:pPr>
        <w:pStyle w:val="a3"/>
        <w:spacing w:before="0" w:beforeAutospacing="0" w:after="0" w:afterAutospacing="0"/>
        <w:ind w:left="720" w:hanging="36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i/>
          <w:iCs/>
          <w:sz w:val="20"/>
          <w:szCs w:val="20"/>
        </w:rPr>
        <w:t xml:space="preserve">Although we believe that the expectations reflected in the forward-looking statements contained in this Annual Report on Form 10-K are reasonable, we cannot guarantee </w:t>
      </w:r>
      <w:r>
        <w:rPr>
          <w:i/>
          <w:iCs/>
          <w:sz w:val="20"/>
          <w:szCs w:val="20"/>
        </w:rPr>
        <w:t>future results, levels of activity, performance, or achievements. You should read this Annual Report on Form 10-K with the understanding that our actual future results, levels of activity, performance and events and circumstances may be materially differen</w:t>
      </w:r>
      <w:r>
        <w:rPr>
          <w:i/>
          <w:iCs/>
          <w:sz w:val="20"/>
          <w:szCs w:val="20"/>
        </w:rPr>
        <w:t>t from what we currently expect. Except as required by law, we are under no duty to update or revise any of such forward-looking statements, whether as a result of new information, future events, or otherwise, after the date of this Annual Report on Form 1</w:t>
      </w:r>
      <w:r>
        <w:rPr>
          <w:i/>
          <w:iCs/>
          <w:sz w:val="20"/>
          <w:szCs w:val="20"/>
        </w:rPr>
        <w:t>0-K.</w:t>
      </w:r>
    </w:p>
    <w:p w:rsidR="00000000" w:rsidRDefault="003A6737">
      <w:pPr>
        <w:pStyle w:val="a3"/>
        <w:spacing w:before="0" w:beforeAutospacing="0" w:after="0" w:afterAutospacing="0"/>
        <w:jc w:val="both"/>
        <w:rPr>
          <w:sz w:val="20"/>
          <w:szCs w:val="20"/>
        </w:rPr>
      </w:pPr>
      <w:r>
        <w:rPr>
          <w:i/>
          <w:iCs/>
          <w:sz w:val="20"/>
          <w:szCs w:val="20"/>
        </w:rPr>
        <w:t> </w:t>
      </w:r>
    </w:p>
    <w:p w:rsidR="00000000" w:rsidRDefault="003A6737">
      <w:pPr>
        <w:pStyle w:val="a3"/>
        <w:spacing w:before="0" w:beforeAutospacing="0" w:after="0" w:afterAutospacing="0"/>
        <w:rPr>
          <w:b/>
          <w:bCs/>
          <w:sz w:val="20"/>
          <w:szCs w:val="20"/>
        </w:rPr>
      </w:pPr>
      <w:r>
        <w:rPr>
          <w:b/>
          <w:bCs/>
          <w:sz w:val="20"/>
          <w:szCs w:val="20"/>
        </w:rPr>
        <w:t>Summary Risk Factors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i/>
          <w:iCs/>
          <w:sz w:val="20"/>
          <w:szCs w:val="20"/>
        </w:rPr>
        <w:t xml:space="preserve">The following is a summary of the principal risks and uncertainties </w:t>
      </w:r>
      <w:r>
        <w:rPr>
          <w:i/>
          <w:iCs/>
          <w:sz w:val="20"/>
          <w:szCs w:val="20"/>
          <w:shd w:val="clear" w:color="auto" w:fill="FFFFFF"/>
        </w:rPr>
        <w:t xml:space="preserve">that </w:t>
      </w:r>
      <w:r>
        <w:rPr>
          <w:i/>
          <w:iCs/>
          <w:sz w:val="20"/>
          <w:szCs w:val="20"/>
        </w:rPr>
        <w:t xml:space="preserve">could materially adversely </w:t>
      </w:r>
      <w:r>
        <w:rPr>
          <w:i/>
          <w:iCs/>
          <w:sz w:val="20"/>
          <w:szCs w:val="20"/>
        </w:rPr>
        <w:t>affect our business, financial condition and results of operations. You should read this summary together with the more detailed description of each risk factor contained in “Risk Factors” in Part 1, Item 1A below.</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i/>
          <w:iCs/>
          <w:sz w:val="20"/>
          <w:szCs w:val="20"/>
          <w:shd w:val="clear" w:color="auto" w:fill="FFFFFF"/>
        </w:rPr>
        <w:t>Risks Related to our Business</w:t>
      </w:r>
    </w:p>
    <w:p w:rsidR="00000000" w:rsidRDefault="003A6737">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We op</w:t>
            </w:r>
            <w:r>
              <w:rPr>
                <w:rFonts w:eastAsia="Times New Roman"/>
                <w:sz w:val="20"/>
                <w:szCs w:val="20"/>
              </w:rPr>
              <w:t>erate in a highly competitive industry, and our competitors may be able to compete more efficiently or evolve more rapidly than we do, which could have a material adverse effect on our business, revenue, growth rates and market share.</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If we are unable t</w:t>
            </w:r>
            <w:r>
              <w:rPr>
                <w:rFonts w:eastAsia="Times New Roman"/>
                <w:sz w:val="20"/>
                <w:szCs w:val="20"/>
              </w:rPr>
              <w:t>o successfully introduce new products or services or fail to keep pace with advances in technology, we would not be able to maintain our customers or grow our business, which will have a material adverse effect on our business.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The continued success of </w:t>
            </w:r>
            <w:r>
              <w:rPr>
                <w:rFonts w:eastAsia="Times New Roman"/>
                <w:sz w:val="20"/>
                <w:szCs w:val="20"/>
              </w:rPr>
              <w:t>our business model is heavily dependent upon our offshore operations, and any disruption to those operations, will adversely affect us.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Our offshore operations expose us to additional business and financial risks which could adversely affect us and subj</w:t>
            </w:r>
            <w:r>
              <w:rPr>
                <w:rFonts w:eastAsia="Times New Roman"/>
                <w:sz w:val="20"/>
                <w:szCs w:val="20"/>
              </w:rPr>
              <w:t>ect us to civil and criminal liability.</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We </w:t>
            </w:r>
            <w:r>
              <w:rPr>
                <w:rFonts w:eastAsia="Times New Roman"/>
                <w:sz w:val="20"/>
                <w:szCs w:val="20"/>
              </w:rPr>
              <w:t>may be adversely affected by global climate change or by legal, regulatory, or market responses to such change.</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Changes in the healthcare industry could affect the demand for our services and may result in a decrease in our revenues and market share.</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If providers do not purchase our products and services or delay in choosing our products or services, we may not be able to grow our business.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If the revenues of our customers decrease, or if our customers cancel or elect not to renew their contracts, </w:t>
            </w:r>
            <w:r>
              <w:rPr>
                <w:rFonts w:eastAsia="Times New Roman"/>
                <w:sz w:val="20"/>
                <w:szCs w:val="20"/>
              </w:rPr>
              <w:t>our revenue will decrease.</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As a result of our variable sales and implementation cycles, we may be unable to recognize revenue from prospective customers on a timely basis and we may not be able to offset expenditures.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As a result of the Wayfair decis</w:t>
            </w:r>
            <w:r>
              <w:rPr>
                <w:rFonts w:eastAsia="Times New Roman"/>
                <w:sz w:val="20"/>
                <w:szCs w:val="20"/>
              </w:rPr>
              <w:t>ion and changes in various states’ laws, we are required to collect sales and use taxes on certain products and services we sell in certain jurisdictions. We may be subject to liability for past sales and incur additional related costs and expenses, and ou</w:t>
            </w:r>
            <w:r>
              <w:rPr>
                <w:rFonts w:eastAsia="Times New Roman"/>
                <w:sz w:val="20"/>
                <w:szCs w:val="20"/>
              </w:rPr>
              <w:t>r future sales may decrease.</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If we lose the services of Mahmud Haq as Executive Chairman, A. Hadi Chaudhry as Chief Executive Officer and President, or other members of our management team, or if we are unable to attract, hire, integrate and retain othe</w:t>
            </w:r>
            <w:r>
              <w:rPr>
                <w:rFonts w:eastAsia="Times New Roman"/>
                <w:sz w:val="20"/>
                <w:szCs w:val="20"/>
              </w:rPr>
              <w:t>r necessary employees, our business would be harmed.</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We may be unable to adequately establish, protect or enforce our patents, trade secrets and other intellectual property rights.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Claims </w:t>
            </w:r>
            <w:r>
              <w:rPr>
                <w:rFonts w:eastAsia="Times New Roman"/>
                <w:sz w:val="20"/>
                <w:szCs w:val="20"/>
              </w:rPr>
              <w:t>by others that we infringe or may infringe on their intellectual property could force us to incur significant costs or revise the way we conduct our business.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We may be unable to protect, and we may incur significant costs in enforcing, our intellectual</w:t>
            </w:r>
            <w:r>
              <w:rPr>
                <w:rFonts w:eastAsia="Times New Roman"/>
                <w:sz w:val="20"/>
                <w:szCs w:val="20"/>
              </w:rPr>
              <w:t xml:space="preserve"> property rights.</w:t>
            </w:r>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85482046"/>
        </w:trPr>
        <w:tc>
          <w:tcPr>
            <w:tcW w:w="5000" w:type="pct"/>
            <w:hideMark/>
          </w:tcPr>
          <w:p w:rsidR="00000000" w:rsidRDefault="003A6737">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Current and future litigation against us could be costly and time-consuming to defend and could result in additional liabilities.</w:t>
            </w:r>
          </w:p>
        </w:tc>
      </w:tr>
      <w:tr w:rsidR="00000000">
        <w:tc>
          <w:tcPr>
            <w:tcW w:w="0" w:type="auto"/>
            <w:hideMark/>
          </w:tcPr>
          <w:p w:rsidR="00000000" w:rsidRDefault="003A6737">
            <w:pPr>
              <w:rPr>
                <w:rFonts w:eastAsia="Times New Roman"/>
                <w:sz w:val="20"/>
                <w:szCs w:val="20"/>
              </w:rPr>
            </w:pPr>
            <w:r>
              <w:rPr>
                <w:rFonts w:eastAsia="Times New Roman"/>
                <w:sz w:val="20"/>
                <w:szCs w:val="20"/>
              </w:rPr>
              <w:lastRenderedPageBreak/>
              <w:t>●</w:t>
            </w:r>
          </w:p>
        </w:tc>
        <w:tc>
          <w:tcPr>
            <w:tcW w:w="0" w:type="auto"/>
            <w:hideMark/>
          </w:tcPr>
          <w:p w:rsidR="00000000" w:rsidRDefault="003A6737">
            <w:pPr>
              <w:jc w:val="both"/>
              <w:rPr>
                <w:rFonts w:eastAsia="Times New Roman"/>
                <w:sz w:val="20"/>
                <w:szCs w:val="20"/>
              </w:rPr>
            </w:pPr>
            <w:r>
              <w:rPr>
                <w:rFonts w:eastAsia="Times New Roman"/>
                <w:sz w:val="20"/>
                <w:szCs w:val="20"/>
              </w:rPr>
              <w:t>Our proprietary software or service delivery platform may not operate properly, which could</w:t>
            </w:r>
            <w:r>
              <w:rPr>
                <w:rFonts w:eastAsia="Times New Roman"/>
                <w:sz w:val="20"/>
                <w:szCs w:val="20"/>
              </w:rPr>
              <w:t xml:space="preserve"> damage our reputation, give rise to claims against us, or divert application of our resources from other purposes, any of which could harm our business and operating results.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If </w:t>
            </w:r>
            <w:r>
              <w:rPr>
                <w:rFonts w:eastAsia="Times New Roman"/>
                <w:sz w:val="20"/>
                <w:szCs w:val="20"/>
              </w:rPr>
              <w:t>our security measures are breached or fail, and unauthorized access is obtained to a customer’s data, our service may be perceived as insecure, the attractiveness of our services to current or potential customers may be reduced, and we may incur significan</w:t>
            </w:r>
            <w:r>
              <w:rPr>
                <w:rFonts w:eastAsia="Times New Roman"/>
                <w:sz w:val="20"/>
                <w:szCs w:val="20"/>
              </w:rPr>
              <w:t>t liabilities.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Our products and services are required to meet the interoperability standards, which could require us to incur substantial additional development costs or result in a decrease in revenue.</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Disruptions in internet or telecommunication se</w:t>
            </w:r>
            <w:r>
              <w:rPr>
                <w:rFonts w:eastAsia="Times New Roman"/>
                <w:sz w:val="20"/>
                <w:szCs w:val="20"/>
              </w:rPr>
              <w:t>rvice or damage to our data centers could adversely affect our business by reducing our customers’ confidence in the reliability of our services and products.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We may be subject to liability for the content we provide to our customers and their patients.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We are subject to the effects of payer and provider conduct that we cannot control and that could damage our reputation with customers and result in liability claims that increase our expenses.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Failure by our clients to obtain proper permissions and</w:t>
            </w:r>
            <w:r>
              <w:rPr>
                <w:rFonts w:eastAsia="Times New Roman"/>
                <w:sz w:val="20"/>
                <w:szCs w:val="20"/>
              </w:rPr>
              <w:t xml:space="preserve"> waivers may result in claims against us or may limit or prevent our use of data, which could harm our business.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Any deficiencies in our financial reporting or internal controls could adversely affect our business and the trading price of our securities</w:t>
            </w:r>
            <w:r>
              <w:rPr>
                <w:rFonts w:eastAsia="Times New Roman"/>
                <w:sz w:val="20"/>
                <w:szCs w:val="20"/>
              </w:rPr>
              <w:t>.</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In 2021, we identified a material weakness in our internal controls over financial reporting related to a non-routine transaction.</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We </w:t>
            </w:r>
            <w:r>
              <w:rPr>
                <w:rFonts w:eastAsia="Times New Roman"/>
                <w:sz w:val="20"/>
                <w:szCs w:val="20"/>
              </w:rPr>
              <w:t>are a party to several related-party agreements with our founder and Executive Chairman, Mahmud Haq, which have significant contractual obligations.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We depend on key information systems and third-party service providers.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Systems failures or cyber-att</w:t>
            </w:r>
            <w:r>
              <w:rPr>
                <w:rFonts w:eastAsia="Times New Roman"/>
                <w:sz w:val="20"/>
                <w:szCs w:val="20"/>
              </w:rPr>
              <w:t>acks and resulting interruptions in the availability of or degradation in the performance of our websites, applications, products or services could harm our business.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Rapid technological change in the telehealth industry presents us with significant ris</w:t>
            </w:r>
            <w:r>
              <w:rPr>
                <w:rFonts w:eastAsia="Times New Roman"/>
                <w:sz w:val="20"/>
                <w:szCs w:val="20"/>
              </w:rPr>
              <w:t>ks and challenges.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Our business, financial condition, results of operations and growth may be adversely affected by pandemics, epidemics or other public health emergencies, such as COVID-19.</w:t>
            </w:r>
          </w:p>
        </w:tc>
      </w:tr>
    </w:tbl>
    <w:p w:rsidR="00000000" w:rsidRDefault="003A6737">
      <w:pPr>
        <w:pStyle w:val="a3"/>
        <w:spacing w:before="0" w:beforeAutospacing="0" w:after="0" w:afterAutospacing="0"/>
        <w:ind w:left="36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i/>
          <w:iCs/>
          <w:sz w:val="20"/>
          <w:szCs w:val="20"/>
          <w:shd w:val="clear" w:color="auto" w:fill="FFFFFF"/>
        </w:rPr>
        <w:t>Risks Related to Our Acquisition Strategy</w:t>
      </w:r>
    </w:p>
    <w:p w:rsidR="00000000" w:rsidRDefault="003A6737">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shd w:val="clear" w:color="auto" w:fill="FFFFFF"/>
              </w:rPr>
              <w:t xml:space="preserve">If we do not </w:t>
            </w:r>
            <w:r>
              <w:rPr>
                <w:rFonts w:eastAsia="Times New Roman"/>
                <w:sz w:val="20"/>
                <w:szCs w:val="20"/>
                <w:shd w:val="clear" w:color="auto" w:fill="FFFFFF"/>
              </w:rPr>
              <w:t>manage our growth effectively, our revenue, business and operating results may be harmed.</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shd w:val="clear" w:color="auto" w:fill="FFFFFF"/>
              </w:rPr>
              <w:t xml:space="preserve">We </w:t>
            </w:r>
            <w:r>
              <w:rPr>
                <w:rFonts w:eastAsia="Times New Roman"/>
                <w:sz w:val="20"/>
                <w:szCs w:val="20"/>
                <w:shd w:val="clear" w:color="auto" w:fill="FFFFFF"/>
              </w:rPr>
              <w:t>may be unable to retain customers following their acquisition, which may result in a decrease in our revenues and operating results.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shd w:val="clear" w:color="auto" w:fill="FFFFFF"/>
              </w:rPr>
              <w:t>Acquisitions may subject us to liability with regard to the creditors, customers, and shareholders of the sellers.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shd w:val="clear" w:color="auto" w:fill="FFFFFF"/>
              </w:rPr>
              <w:t>We</w:t>
            </w:r>
            <w:r>
              <w:rPr>
                <w:rFonts w:eastAsia="Times New Roman"/>
                <w:sz w:val="20"/>
                <w:szCs w:val="20"/>
                <w:shd w:val="clear" w:color="auto" w:fill="FFFFFF"/>
              </w:rPr>
              <w:t xml:space="preserve"> may be unable to implement our strategy of acquiring additional companies.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shd w:val="clear" w:color="auto" w:fill="FFFFFF"/>
              </w:rPr>
              <w:t>Future acquisitions may result in potentially dilutive issuances of equity securities, the incurrence of indebtedness and increased amortization expense.</w:t>
            </w:r>
          </w:p>
        </w:tc>
      </w:tr>
    </w:tbl>
    <w:p w:rsidR="00000000" w:rsidRDefault="003A6737">
      <w:pPr>
        <w:pStyle w:val="a3"/>
        <w:spacing w:before="0" w:beforeAutospacing="0" w:after="0" w:afterAutospacing="0"/>
        <w:ind w:left="36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i/>
          <w:iCs/>
          <w:sz w:val="20"/>
          <w:szCs w:val="20"/>
        </w:rPr>
        <w:t>Regulatory Risks</w:t>
      </w:r>
    </w:p>
    <w:p w:rsidR="00000000" w:rsidRDefault="003A6737">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The healthcare industry is heavily regulated. Our failure to comply with regulatory requirements could create liability for us, result in adverse publicity and negatively affect our business.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If </w:t>
            </w:r>
            <w:r>
              <w:rPr>
                <w:rFonts w:eastAsia="Times New Roman"/>
                <w:sz w:val="20"/>
                <w:szCs w:val="20"/>
              </w:rPr>
              <w:t>we do not maintain the certification of our EHR solutions pursuant to the HITECH Act and Cures Act, our business, financial condition and results of operations will be adversely affected.</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If a breach of our measures protecting personal data covered by H</w:t>
            </w:r>
            <w:r>
              <w:rPr>
                <w:rFonts w:eastAsia="Times New Roman"/>
                <w:sz w:val="20"/>
                <w:szCs w:val="20"/>
              </w:rPr>
              <w:t>IPAA or the HITECH Act occurs, we may incur significant liabilities.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If we or our customers fail to comply with federal and state laws governing submission of false or fraudulent claims to government healthcare programs and financial relationships among</w:t>
            </w:r>
            <w:r>
              <w:rPr>
                <w:rFonts w:eastAsia="Times New Roman"/>
                <w:sz w:val="20"/>
                <w:szCs w:val="20"/>
              </w:rPr>
              <w:t xml:space="preserve"> healthcare providers, we or our customers may be subject to civil and criminal penalties or loss of eligibility to participate in government healthcare programs.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Potential healthcare reform and new regulatory requirements placed on our products and ser</w:t>
            </w:r>
            <w:r>
              <w:rPr>
                <w:rFonts w:eastAsia="Times New Roman"/>
                <w:sz w:val="20"/>
                <w:szCs w:val="20"/>
              </w:rPr>
              <w:t>vices could increase our costs, delay or prevent our introduction of new products or services, and impair the function or value of our existing products and services.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Additional regulation of the disclosure of medical information outside the United Stat</w:t>
            </w:r>
            <w:r>
              <w:rPr>
                <w:rFonts w:eastAsia="Times New Roman"/>
                <w:sz w:val="20"/>
                <w:szCs w:val="20"/>
              </w:rPr>
              <w:t>es may adversely affect our operations and may increase our costs.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Our services present the potential for embezzlement, identity theft, or other similar illegal behavior by our employees.</w:t>
            </w:r>
          </w:p>
        </w:tc>
      </w:tr>
    </w:tbl>
    <w:p w:rsidR="00000000" w:rsidRDefault="003A6737">
      <w:pPr>
        <w:pStyle w:val="a3"/>
        <w:spacing w:before="0" w:beforeAutospacing="0" w:after="0" w:afterAutospacing="0"/>
        <w:ind w:left="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25353318"/>
        </w:trPr>
        <w:tc>
          <w:tcPr>
            <w:tcW w:w="5000" w:type="pct"/>
            <w:hideMark/>
          </w:tcPr>
          <w:p w:rsidR="00000000" w:rsidRDefault="003A6737">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i/>
          <w:iCs/>
          <w:sz w:val="20"/>
          <w:szCs w:val="20"/>
        </w:rPr>
        <w:t xml:space="preserve">Risks </w:t>
      </w:r>
      <w:r>
        <w:rPr>
          <w:i/>
          <w:iCs/>
          <w:sz w:val="20"/>
          <w:szCs w:val="20"/>
        </w:rPr>
        <w:t>Related to Ownership of Shares of Our Common Stock</w:t>
      </w:r>
    </w:p>
    <w:p w:rsidR="00000000" w:rsidRDefault="003A6737">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Our </w:t>
            </w:r>
            <w:r>
              <w:rPr>
                <w:rFonts w:eastAsia="Times New Roman"/>
                <w:sz w:val="20"/>
                <w:szCs w:val="20"/>
              </w:rPr>
              <w:t>revenues, operating results and cash flows may fluctuate in future periods and we may fail to meet investor expectations, which may cause the price of our common stock to decline.</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Future sales of shares of our common stock could depress the market price</w:t>
            </w:r>
            <w:r>
              <w:rPr>
                <w:rFonts w:eastAsia="Times New Roman"/>
                <w:sz w:val="20"/>
                <w:szCs w:val="20"/>
              </w:rPr>
              <w:t xml:space="preserve"> of our common stock.</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Mahmud </w:t>
            </w:r>
            <w:r>
              <w:rPr>
                <w:rFonts w:eastAsia="Times New Roman"/>
                <w:sz w:val="20"/>
                <w:szCs w:val="20"/>
              </w:rPr>
              <w:t>Haq currently controls 29.5% of our outstanding shares of common stock, which will prevent investors from influencing significant corporate decisions.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Provisions of Delaware law, of our amended and restated charter and amended and restated bylaws may ma</w:t>
            </w:r>
            <w:r>
              <w:rPr>
                <w:rFonts w:eastAsia="Times New Roman"/>
                <w:sz w:val="20"/>
                <w:szCs w:val="20"/>
              </w:rPr>
              <w:t>ke a takeover more difficult, which could cause our common stock price to decline.</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Any issuance of additional preferred stock in the future may dilute the rights of our existing stockholders.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We do not intend to pay cash dividends on our common stock</w:t>
            </w:r>
            <w:r>
              <w:rPr>
                <w:rFonts w:eastAsia="Times New Roman"/>
                <w:sz w:val="20"/>
                <w:szCs w:val="20"/>
              </w:rPr>
              <w:t>.</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Complying with the laws and regulations affecting public companies may increase our costs and the demands on management, and could harm our operating results.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We are a smaller reporting company and we cannot be certain if the reduced disclosure req</w:t>
            </w:r>
            <w:r>
              <w:rPr>
                <w:rFonts w:eastAsia="Times New Roman"/>
                <w:sz w:val="20"/>
                <w:szCs w:val="20"/>
              </w:rPr>
              <w:t>uirements applicable to smaller reporting companies will make our common stock less attractive to investors.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New climate disclosure rules, if adopted by the SEC, may increase our costs and litigation risks, which could materially and adversely affect ou</w:t>
            </w:r>
            <w:r>
              <w:rPr>
                <w:rFonts w:eastAsia="Times New Roman"/>
                <w:sz w:val="20"/>
                <w:szCs w:val="20"/>
              </w:rPr>
              <w:t>r future results of operations and financial condition.</w:t>
            </w:r>
          </w:p>
        </w:tc>
      </w:tr>
    </w:tbl>
    <w:p w:rsidR="00000000" w:rsidRDefault="003A6737">
      <w:pPr>
        <w:pStyle w:val="a3"/>
        <w:spacing w:before="0" w:beforeAutospacing="0" w:after="0" w:afterAutospacing="0"/>
        <w:ind w:left="360" w:hanging="36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i/>
          <w:iCs/>
          <w:sz w:val="20"/>
          <w:szCs w:val="20"/>
        </w:rPr>
        <w:t>Risks Related to Ownership of Shares of Our Preferred Stock</w:t>
      </w:r>
    </w:p>
    <w:p w:rsidR="00000000" w:rsidRDefault="003A6737">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Our </w:t>
            </w:r>
            <w:r>
              <w:rPr>
                <w:rFonts w:eastAsia="Times New Roman"/>
                <w:sz w:val="20"/>
                <w:szCs w:val="20"/>
              </w:rPr>
              <w:t>Series A and Series B Preferred Stock rank junior to all of our indebtedness and other liabilities.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We may not be able to pay dividends on the Preferred Stock if we fall out of compliance with our loan covenants and are prohibited by our bank lender fro</w:t>
            </w:r>
            <w:r>
              <w:rPr>
                <w:rFonts w:eastAsia="Times New Roman"/>
                <w:sz w:val="20"/>
                <w:szCs w:val="20"/>
              </w:rPr>
              <w:t>m paying dividends or if we have insufficient cash to make dividend payments.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We may issue additional shares of Preferred Stock and additional series of preferred stock that rank on parity with the Preferred Stock as to dividend rights, rights upon liqu</w:t>
            </w:r>
            <w:r>
              <w:rPr>
                <w:rFonts w:eastAsia="Times New Roman"/>
                <w:sz w:val="20"/>
                <w:szCs w:val="20"/>
              </w:rPr>
              <w:t>idation or voting rights.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Market interest rates may materially and adversely affect the value of the Preferred Stock.</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Holders of the Preferred Stock may be unable to use the dividends-received deduction and may not be eligible for the preferential ta</w:t>
            </w:r>
            <w:r>
              <w:rPr>
                <w:rFonts w:eastAsia="Times New Roman"/>
                <w:sz w:val="20"/>
                <w:szCs w:val="20"/>
              </w:rPr>
              <w:t>x rates applicable to “qualified dividend income”.</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Our Preferred Stock has not been rated.</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We </w:t>
            </w:r>
            <w:r>
              <w:rPr>
                <w:rFonts w:eastAsia="Times New Roman"/>
                <w:sz w:val="20"/>
                <w:szCs w:val="20"/>
              </w:rPr>
              <w:t>may redeem the Series A Preferred Stock at any time and may redeem the Series B Preferred Stock after February 15, 2024.</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The market price of our Preferred Stock is variable and could be substantially affected by various factors.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A holder of Preferred</w:t>
            </w:r>
            <w:r>
              <w:rPr>
                <w:rFonts w:eastAsia="Times New Roman"/>
                <w:sz w:val="20"/>
                <w:szCs w:val="20"/>
              </w:rPr>
              <w:t xml:space="preserve"> Stock has extremely limited voting rights.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The Preferred Stock is not convertible, and investors will not realize a corresponding upside if the price of the common stock increases.</w:t>
            </w:r>
          </w:p>
        </w:tc>
      </w:tr>
    </w:tbl>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65267298"/>
        </w:trPr>
        <w:tc>
          <w:tcPr>
            <w:tcW w:w="5000" w:type="pct"/>
            <w:hideMark/>
          </w:tcPr>
          <w:p w:rsidR="00000000" w:rsidRDefault="003A6737">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PART I</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Item 1. Business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sz w:val="20"/>
          <w:szCs w:val="20"/>
        </w:rPr>
      </w:pPr>
      <w:r>
        <w:rPr>
          <w:b/>
          <w:bCs/>
          <w:sz w:val="20"/>
          <w:szCs w:val="20"/>
        </w:rPr>
        <w:t>Overview</w:t>
      </w:r>
    </w:p>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 xml:space="preserve">CareCloud, </w:t>
      </w:r>
      <w:r>
        <w:rPr>
          <w:sz w:val="20"/>
          <w:szCs w:val="20"/>
        </w:rPr>
        <w:t>Inc., (together with its consolidated subsidiaries, “CareCloud”, the “Company,” “we,” “us” and/or “our”) is a leading provider of technology-enabled services and solutions that redefine the healthcare revenue cycle. We provide technology-enabled revenue cy</w:t>
      </w:r>
      <w:r>
        <w:rPr>
          <w:sz w:val="20"/>
          <w:szCs w:val="20"/>
        </w:rPr>
        <w:t>cle management and a full suite of proprietary cloud-based solutions to healthcare providers, from small practices to enterprise medical groups, hospitals, and health systems throughout the United States. Healthcare organizations today operate in highly co</w:t>
      </w:r>
      <w:r>
        <w:rPr>
          <w:sz w:val="20"/>
          <w:szCs w:val="20"/>
        </w:rPr>
        <w:t>mplex and regulated environments. Our suite of technology-enabled solutions helps our clients increase financial and operational performance, streamline clinical workflows, and improve the patient experience.</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Our portfolio of proprietary software and bus</w:t>
      </w:r>
      <w:r>
        <w:rPr>
          <w:sz w:val="20"/>
          <w:szCs w:val="20"/>
        </w:rPr>
        <w:t>iness services includes: technology-enabled business solutions that maximize revenue cycle management and create efficiencies through platform agnostic AI-driven applications; cloud-based software that helps providers manage their practice and patient enga</w:t>
      </w:r>
      <w:r>
        <w:rPr>
          <w:sz w:val="20"/>
          <w:szCs w:val="20"/>
        </w:rPr>
        <w:t>gement while leveraging analytics to improve provider performance; digital health services to address value-based care and enable the delivery of remote patient care; healthcare IT professional services &amp; staffing to address physician burnout, staffing sho</w:t>
      </w:r>
      <w:r>
        <w:rPr>
          <w:sz w:val="20"/>
          <w:szCs w:val="20"/>
        </w:rPr>
        <w:t>rtages and leverage consulting expertise to transition into the next generation of healthcare; and, medical practice management services to assist medical providers with operating models and the tools needed to run their practice.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high-value business</w:t>
      </w:r>
      <w:r>
        <w:rPr>
          <w:sz w:val="20"/>
          <w:szCs w:val="20"/>
        </w:rPr>
        <w:t xml:space="preserve"> services, such as revenue cycle management, are often paired with our cloud-based software, premiere healthcare consulting and implementation services, and on-demand workforce staffing capabilities for high-performance medical groups and health systems na</w:t>
      </w:r>
      <w:r>
        <w:rPr>
          <w:sz w:val="20"/>
          <w:szCs w:val="20"/>
        </w:rPr>
        <w:t>tionwide.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technology-enabled business solutions can be categorized as follows:</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A6737">
            <w:pPr>
              <w:rPr>
                <w:sz w:val="20"/>
                <w:szCs w:val="20"/>
              </w:rPr>
            </w:pP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b/>
                <w:bCs/>
                <w:sz w:val="20"/>
                <w:szCs w:val="20"/>
              </w:rPr>
              <w:t xml:space="preserve">Technology-enabled revenue cycle management: </w:t>
            </w:r>
          </w:p>
        </w:tc>
      </w:tr>
    </w:tbl>
    <w:p w:rsidR="00000000" w:rsidRDefault="003A673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6866"/>
      </w:tblGrid>
      <w:tr w:rsidR="00000000">
        <w:trPr>
          <w:tblCellSpacing w:w="0" w:type="dxa"/>
        </w:trPr>
        <w:tc>
          <w:tcPr>
            <w:tcW w:w="1080" w:type="dxa"/>
            <w:hideMark/>
          </w:tcPr>
          <w:p w:rsidR="00000000" w:rsidRDefault="003A6737">
            <w:pPr>
              <w:rPr>
                <w:rFonts w:eastAsia="Times New Roman"/>
                <w:sz w:val="20"/>
                <w:szCs w:val="20"/>
              </w:rPr>
            </w:pPr>
            <w:r>
              <w:rPr>
                <w:rFonts w:eastAsia="Times New Roman"/>
                <w:sz w:val="20"/>
                <w:szCs w:val="20"/>
              </w:rPr>
              <w:t> </w:t>
            </w: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Revenue Cycle Management (“RCM”</w:t>
            </w:r>
            <w:r>
              <w:rPr>
                <w:rFonts w:eastAsia="Times New Roman"/>
                <w:sz w:val="20"/>
                <w:szCs w:val="20"/>
              </w:rPr>
              <w:t>) services including end-to-end medical billing, eligibility, analytics, and related services, all of which can be provided utilizing our technology platform and robotic process automation tools or leveraging a third-party system;</w:t>
            </w:r>
          </w:p>
        </w:tc>
      </w:tr>
      <w:tr w:rsidR="00000000">
        <w:trPr>
          <w:tblCellSpacing w:w="0" w:type="dxa"/>
        </w:trPr>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Medical coding and c</w:t>
            </w:r>
            <w:r>
              <w:rPr>
                <w:rFonts w:eastAsia="Times New Roman"/>
                <w:sz w:val="20"/>
                <w:szCs w:val="20"/>
              </w:rPr>
              <w:t>redentialing services to improve provider collections, back-end cost containment, and drive total revenue realization for our healthcare clients; and</w:t>
            </w:r>
          </w:p>
        </w:tc>
      </w:tr>
      <w:tr w:rsidR="00000000">
        <w:trPr>
          <w:tblCellSpacing w:w="0" w:type="dxa"/>
        </w:trPr>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Healthcare claims clearinghouse which enables our clients to electronically scrub and submit claims a</w:t>
            </w:r>
            <w:r>
              <w:rPr>
                <w:rFonts w:eastAsia="Times New Roman"/>
                <w:sz w:val="20"/>
                <w:szCs w:val="20"/>
              </w:rPr>
              <w:t>nd process payments from insurance companies.</w:t>
            </w:r>
          </w:p>
        </w:tc>
      </w:tr>
    </w:tbl>
    <w:p w:rsidR="00000000" w:rsidRDefault="003A6737">
      <w:pPr>
        <w:pStyle w:val="a3"/>
        <w:spacing w:before="0" w:beforeAutospacing="0" w:after="0" w:afterAutospacing="0"/>
        <w:ind w:left="720" w:hanging="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A6737">
            <w:pPr>
              <w:rPr>
                <w:sz w:val="20"/>
                <w:szCs w:val="20"/>
              </w:rPr>
            </w:pP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b/>
                <w:bCs/>
                <w:sz w:val="20"/>
                <w:szCs w:val="20"/>
              </w:rPr>
              <w:t>Cloud-based software</w:t>
            </w:r>
            <w:r>
              <w:rPr>
                <w:rFonts w:eastAsia="Times New Roman"/>
                <w:sz w:val="20"/>
                <w:szCs w:val="20"/>
              </w:rPr>
              <w:t>:</w:t>
            </w:r>
          </w:p>
        </w:tc>
      </w:tr>
    </w:tbl>
    <w:p w:rsidR="00000000" w:rsidRDefault="003A673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6866"/>
      </w:tblGrid>
      <w:tr w:rsidR="00000000">
        <w:trPr>
          <w:tblCellSpacing w:w="0" w:type="dxa"/>
        </w:trPr>
        <w:tc>
          <w:tcPr>
            <w:tcW w:w="1080" w:type="dxa"/>
            <w:hideMark/>
          </w:tcPr>
          <w:p w:rsidR="00000000" w:rsidRDefault="003A6737">
            <w:pPr>
              <w:rPr>
                <w:rFonts w:eastAsia="Times New Roman"/>
                <w:sz w:val="20"/>
                <w:szCs w:val="20"/>
              </w:rPr>
            </w:pPr>
            <w:r>
              <w:rPr>
                <w:rFonts w:eastAsia="Times New Roman"/>
                <w:sz w:val="20"/>
                <w:szCs w:val="20"/>
              </w:rPr>
              <w:t> </w:t>
            </w: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Electronic Health Records (“EHR”), which are easy to use and sometimes integrated with our </w:t>
            </w:r>
            <w:r>
              <w:rPr>
                <w:rFonts w:eastAsia="Times New Roman"/>
                <w:sz w:val="20"/>
                <w:szCs w:val="20"/>
              </w:rPr>
              <w:t>business services, and enable our healthcare provider clients to deliver better patient care, streamline their clinical workflows, decrease documentation errors, and potentially qualify for government incentives;</w:t>
            </w:r>
          </w:p>
        </w:tc>
      </w:tr>
      <w:tr w:rsidR="00000000">
        <w:trPr>
          <w:tblCellSpacing w:w="0" w:type="dxa"/>
        </w:trPr>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Practice Management (“PM”) software an</w:t>
            </w:r>
            <w:r>
              <w:rPr>
                <w:rFonts w:eastAsia="Times New Roman"/>
                <w:sz w:val="20"/>
                <w:szCs w:val="20"/>
              </w:rPr>
              <w:t>d related capabilities, which support our clients’ day-to-day business operations and financial workflows, including automated insurance eligibility software, a robust billing and claims rules engine, and other automated tools designed to maximize reimburs</w:t>
            </w:r>
            <w:r>
              <w:rPr>
                <w:rFonts w:eastAsia="Times New Roman"/>
                <w:sz w:val="20"/>
                <w:szCs w:val="20"/>
              </w:rPr>
              <w:t>ement;</w:t>
            </w:r>
          </w:p>
        </w:tc>
      </w:tr>
      <w:tr w:rsidR="00000000">
        <w:trPr>
          <w:tblCellSpacing w:w="0" w:type="dxa"/>
        </w:trPr>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Patient Experience Management (“PXM”) solutions designed to transform interactions between patients and their clinicians, including smartphone applications that assist patients and healthcare providers in the provision of healthcare services, c</w:t>
            </w:r>
            <w:r>
              <w:rPr>
                <w:rFonts w:eastAsia="Times New Roman"/>
                <w:sz w:val="20"/>
                <w:szCs w:val="20"/>
              </w:rPr>
              <w:t>ontactless digital check-in solutions, messaging, and online appointment scheduling tools;</w:t>
            </w:r>
          </w:p>
        </w:tc>
      </w:tr>
      <w:tr w:rsidR="00000000">
        <w:trPr>
          <w:tblCellSpacing w:w="0" w:type="dxa"/>
        </w:trPr>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Business Intelligence (“BI”) and healthcare analytics platforms that allow our clients to derive actionable insights from their vast amount of data; and</w:t>
            </w:r>
          </w:p>
        </w:tc>
      </w:tr>
      <w:tr w:rsidR="00000000">
        <w:trPr>
          <w:tblCellSpacing w:w="0" w:type="dxa"/>
        </w:trPr>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Cu</w:t>
            </w:r>
            <w:r>
              <w:rPr>
                <w:rFonts w:eastAsia="Times New Roman"/>
                <w:sz w:val="20"/>
                <w:szCs w:val="20"/>
              </w:rPr>
              <w:t>stomized applications, interfaces, and a variety of other technology solutions that support our healthcare clients.</w:t>
            </w:r>
          </w:p>
        </w:tc>
      </w:tr>
    </w:tbl>
    <w:p w:rsidR="00000000" w:rsidRDefault="003A6737">
      <w:pPr>
        <w:pStyle w:val="a3"/>
        <w:spacing w:before="0" w:beforeAutospacing="0" w:after="0" w:afterAutospacing="0"/>
        <w:ind w:left="1440" w:hanging="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A6737">
            <w:pPr>
              <w:rPr>
                <w:sz w:val="20"/>
                <w:szCs w:val="20"/>
              </w:rPr>
            </w:pP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b/>
                <w:bCs/>
                <w:sz w:val="20"/>
                <w:szCs w:val="20"/>
              </w:rPr>
              <w:t>Digital health:</w:t>
            </w:r>
          </w:p>
        </w:tc>
      </w:tr>
    </w:tbl>
    <w:p w:rsidR="00000000" w:rsidRDefault="003A673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6866"/>
      </w:tblGrid>
      <w:tr w:rsidR="00000000">
        <w:trPr>
          <w:tblCellSpacing w:w="0" w:type="dxa"/>
        </w:trPr>
        <w:tc>
          <w:tcPr>
            <w:tcW w:w="1080" w:type="dxa"/>
            <w:hideMark/>
          </w:tcPr>
          <w:p w:rsidR="00000000" w:rsidRDefault="003A6737">
            <w:pPr>
              <w:rPr>
                <w:rFonts w:eastAsia="Times New Roman"/>
                <w:sz w:val="20"/>
                <w:szCs w:val="20"/>
              </w:rPr>
            </w:pPr>
            <w:r>
              <w:rPr>
                <w:rFonts w:eastAsia="Times New Roman"/>
                <w:sz w:val="20"/>
                <w:szCs w:val="20"/>
              </w:rPr>
              <w:t> </w:t>
            </w: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Chronic </w:t>
            </w:r>
            <w:r>
              <w:rPr>
                <w:rFonts w:eastAsia="Times New Roman"/>
                <w:sz w:val="20"/>
                <w:szCs w:val="20"/>
              </w:rPr>
              <w:t>care management is a program that supports care for patients with chronic conditions by certified care managers that operate under the supervision of the patient’s regular physician;</w:t>
            </w:r>
          </w:p>
        </w:tc>
      </w:tr>
      <w:tr w:rsidR="00000000">
        <w:trPr>
          <w:tblCellSpacing w:w="0" w:type="dxa"/>
        </w:trPr>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Remote patient monitoring enables patient data collected outside the</w:t>
            </w:r>
            <w:r>
              <w:rPr>
                <w:rFonts w:eastAsia="Times New Roman"/>
                <w:sz w:val="20"/>
                <w:szCs w:val="20"/>
              </w:rPr>
              <w:t xml:space="preserve"> clinical setting through remote devices to be fed into their provider’s EHR to enable proactive patient care; and</w:t>
            </w:r>
          </w:p>
        </w:tc>
      </w:tr>
      <w:tr w:rsidR="00000000">
        <w:trPr>
          <w:tblCellSpacing w:w="0" w:type="dxa"/>
        </w:trPr>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Telemedicine solutions which allow healthcare providers to conduct remote patient visits and extend the timely delivery of care to patie</w:t>
            </w:r>
            <w:r>
              <w:rPr>
                <w:rFonts w:eastAsia="Times New Roman"/>
                <w:sz w:val="20"/>
                <w:szCs w:val="20"/>
              </w:rPr>
              <w:t>nts unable to travel to a provider’s office.</w:t>
            </w:r>
          </w:p>
        </w:tc>
      </w:tr>
    </w:tbl>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46044010"/>
        </w:trPr>
        <w:tc>
          <w:tcPr>
            <w:tcW w:w="5000" w:type="pct"/>
            <w:hideMark/>
          </w:tcPr>
          <w:p w:rsidR="00000000" w:rsidRDefault="003A6737">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A6737">
            <w:pPr>
              <w:rPr>
                <w:sz w:val="20"/>
                <w:szCs w:val="20"/>
              </w:rPr>
            </w:pP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b/>
                <w:bCs/>
                <w:sz w:val="20"/>
                <w:szCs w:val="20"/>
              </w:rPr>
              <w:t>Healthcare IT professional services &amp; staffing:</w:t>
            </w:r>
          </w:p>
        </w:tc>
      </w:tr>
    </w:tbl>
    <w:p w:rsidR="00000000" w:rsidRDefault="003A673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6866"/>
      </w:tblGrid>
      <w:tr w:rsidR="00000000">
        <w:trPr>
          <w:tblCellSpacing w:w="0" w:type="dxa"/>
        </w:trPr>
        <w:tc>
          <w:tcPr>
            <w:tcW w:w="1080" w:type="dxa"/>
            <w:hideMark/>
          </w:tcPr>
          <w:p w:rsidR="00000000" w:rsidRDefault="003A6737">
            <w:pPr>
              <w:rPr>
                <w:rFonts w:eastAsia="Times New Roman"/>
                <w:sz w:val="20"/>
                <w:szCs w:val="20"/>
              </w:rPr>
            </w:pP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Professional </w:t>
            </w:r>
            <w:r>
              <w:rPr>
                <w:rFonts w:eastAsia="Times New Roman"/>
                <w:sz w:val="20"/>
                <w:szCs w:val="20"/>
              </w:rPr>
              <w:t>services consisting of a broad range of consulting services including full software implementations and activation, revenue cycle optimization, data analytic services, and educational training services;</w:t>
            </w:r>
          </w:p>
        </w:tc>
      </w:tr>
      <w:tr w:rsidR="00000000">
        <w:trPr>
          <w:tblCellSpacing w:w="0" w:type="dxa"/>
        </w:trPr>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Strategic advisory services to manage system eva</w:t>
            </w:r>
            <w:r>
              <w:rPr>
                <w:rFonts w:eastAsia="Times New Roman"/>
                <w:sz w:val="20"/>
                <w:szCs w:val="20"/>
              </w:rPr>
              <w:t>luations and selection, provide interim management, and operational assessments; and</w:t>
            </w:r>
          </w:p>
        </w:tc>
      </w:tr>
      <w:tr w:rsidR="00000000">
        <w:trPr>
          <w:tblCellSpacing w:w="0" w:type="dxa"/>
        </w:trPr>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Workforce augmentation and on-demand staffing to support our clients as they expand their businesses, seek highly trained personnel, or struggle to address staffing shortages.</w:t>
            </w:r>
          </w:p>
        </w:tc>
      </w:tr>
    </w:tbl>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Our medical practice management solutions include:</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A6737">
            <w:pPr>
              <w:rPr>
                <w:sz w:val="20"/>
                <w:szCs w:val="20"/>
              </w:rPr>
            </w:pP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b/>
                <w:bCs/>
                <w:sz w:val="20"/>
                <w:szCs w:val="20"/>
              </w:rPr>
              <w:t>Medical practice manage</w:t>
            </w:r>
            <w:r>
              <w:rPr>
                <w:rFonts w:eastAsia="Times New Roman"/>
                <w:b/>
                <w:bCs/>
                <w:sz w:val="20"/>
                <w:szCs w:val="20"/>
              </w:rPr>
              <w:t>ment:</w:t>
            </w:r>
          </w:p>
        </w:tc>
      </w:tr>
    </w:tbl>
    <w:p w:rsidR="00000000" w:rsidRDefault="003A673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6866"/>
      </w:tblGrid>
      <w:tr w:rsidR="00000000">
        <w:trPr>
          <w:tblCellSpacing w:w="0" w:type="dxa"/>
        </w:trPr>
        <w:tc>
          <w:tcPr>
            <w:tcW w:w="1080" w:type="dxa"/>
            <w:hideMark/>
          </w:tcPr>
          <w:p w:rsidR="00000000" w:rsidRDefault="003A6737">
            <w:pPr>
              <w:rPr>
                <w:rFonts w:eastAsia="Times New Roman"/>
                <w:sz w:val="20"/>
                <w:szCs w:val="20"/>
              </w:rPr>
            </w:pP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Medical practice management services for medical providers, including facilities, equipment, supplies, support services, nurses, and administrative support staff.</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modernization of the healthcare industry, along with the increased adoption of value-based care models, is transforming nearly every aspect of a healthcare organization from policy to providers; clinical care to member services, devices to data, and ultima</w:t>
      </w:r>
      <w:r>
        <w:rPr>
          <w:sz w:val="20"/>
          <w:szCs w:val="20"/>
        </w:rPr>
        <w:t>tely the quality of the patient’s experience as a healthcare consumer.</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solutions enable clients to increase financial and operational performance, streamline clinical workflows, get better insight through data, and make better business and clinical d</w:t>
      </w:r>
      <w:r>
        <w:rPr>
          <w:sz w:val="20"/>
          <w:szCs w:val="20"/>
        </w:rPr>
        <w:t>ecisions, resulting in improvement in patient care and collections while reducing administrative burdens and operating costs.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We create elegant, user-friendly applications that solve many of the challenges facing healthcare organizations. We partner with</w:t>
      </w:r>
      <w:r>
        <w:rPr>
          <w:sz w:val="20"/>
          <w:szCs w:val="20"/>
        </w:rPr>
        <w:t xml:space="preserve"> organizations to develop customized, best-in-class solutions to solve their specific challenges while ensuring they also meet future regulatory and organizational requirements and market demands.</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Market Overview</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In March 2022, Centers for Medicare &amp; M</w:t>
      </w:r>
      <w:r>
        <w:rPr>
          <w:sz w:val="20"/>
          <w:szCs w:val="20"/>
        </w:rPr>
        <w:t>edicaid Services (“CMS”)</w:t>
      </w:r>
      <w:r>
        <w:rPr>
          <w:sz w:val="20"/>
          <w:szCs w:val="20"/>
          <w:vertAlign w:val="superscript"/>
        </w:rPr>
        <w:t>1</w:t>
      </w:r>
      <w:r>
        <w:rPr>
          <w:sz w:val="20"/>
          <w:szCs w:val="20"/>
        </w:rPr>
        <w:t xml:space="preserve"> reported that national healthcare expenditure in the U.S. grew by 4.2% in 2021. U.S. healthcare spending will grow 5.1% annually on average during the years 2021 through 2030, reaching $6.8 trillion by 2030. CMS also projected tha</w:t>
      </w:r>
      <w:r>
        <w:rPr>
          <w:sz w:val="20"/>
          <w:szCs w:val="20"/>
        </w:rPr>
        <w:t>t the health share of GDP is expected to be 19.6% in 2030, nearly the same as the 2020 share of 19.7%.</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Additionally, analysts from Allied Market Research have estimated the U.S. Healthcare IT industry market to be approximately $97 billion in 2020 and is</w:t>
      </w:r>
      <w:r>
        <w:rPr>
          <w:sz w:val="20"/>
          <w:szCs w:val="20"/>
        </w:rPr>
        <w:t xml:space="preserve"> projected to reach $344 billion by 2030, growing at a 13% compound annual growth rate (“CAGR”).</w:t>
      </w:r>
      <w:r>
        <w:rPr>
          <w:sz w:val="20"/>
          <w:szCs w:val="20"/>
          <w:vertAlign w:val="superscript"/>
        </w:rPr>
        <w:t>2</w:t>
      </w:r>
      <w:r>
        <w:rPr>
          <w:sz w:val="20"/>
          <w:szCs w:val="20"/>
        </w:rPr>
        <w:t xml:space="preserve"> Its largest sub-segment, RCM, is reported to be nearly $140 billion in 2022 and is estimated to grow at a 10% CAGR through 2030 according to Grand View Resear</w:t>
      </w:r>
      <w:r>
        <w:rPr>
          <w:sz w:val="20"/>
          <w:szCs w:val="20"/>
        </w:rPr>
        <w:t>ch.</w:t>
      </w:r>
      <w:r>
        <w:rPr>
          <w:sz w:val="20"/>
          <w:szCs w:val="20"/>
          <w:vertAlign w:val="superscript"/>
        </w:rPr>
        <w:t>3</w:t>
      </w:r>
      <w:r>
        <w:rPr>
          <w:sz w:val="20"/>
          <w:szCs w:val="20"/>
        </w:rPr>
        <w:t xml:space="preserve"> The North American EHR market is expected to be valued at more than $50 billion by 2028. The Telehealth market is estimated to be approximately $23 billion with a CAGR of 23%.</w:t>
      </w:r>
      <w:r>
        <w:rPr>
          <w:sz w:val="20"/>
          <w:szCs w:val="20"/>
          <w:vertAlign w:val="superscript"/>
        </w:rPr>
        <w:t>2</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divId w:val="1796869871"/>
        <w:rPr>
          <w:rFonts w:eastAsia="Times New Roman"/>
          <w:sz w:val="2"/>
          <w:szCs w:val="2"/>
        </w:rPr>
      </w:pPr>
      <w:r>
        <w:rPr>
          <w:rFonts w:eastAsia="Times New Roman"/>
          <w:sz w:val="2"/>
          <w:szCs w:val="2"/>
        </w:rPr>
        <w:t> </w:t>
      </w:r>
    </w:p>
    <w:p w:rsidR="00000000" w:rsidRDefault="003A6737">
      <w:pPr>
        <w:pStyle w:val="a3"/>
        <w:spacing w:before="0" w:beforeAutospacing="0" w:after="0" w:afterAutospacing="0"/>
        <w:jc w:val="both"/>
        <w:rPr>
          <w:sz w:val="20"/>
          <w:szCs w:val="20"/>
        </w:rPr>
      </w:pPr>
      <w:r>
        <w:rPr>
          <w:sz w:val="20"/>
          <w:szCs w:val="20"/>
          <w:vertAlign w:val="superscript"/>
        </w:rPr>
        <w:t xml:space="preserve">1 </w:t>
      </w:r>
      <w:r>
        <w:rPr>
          <w:sz w:val="20"/>
          <w:szCs w:val="20"/>
          <w:u w:val="single"/>
        </w:rPr>
        <w:t>CMS Office of the Actuary Releases 2021-2030 Projections of National</w:t>
      </w:r>
      <w:r>
        <w:rPr>
          <w:sz w:val="20"/>
          <w:szCs w:val="20"/>
          <w:u w:val="single"/>
        </w:rPr>
        <w:t xml:space="preserve"> Health Expenditures | CMS</w:t>
      </w:r>
    </w:p>
    <w:p w:rsidR="00000000" w:rsidRDefault="003A6737">
      <w:pPr>
        <w:pStyle w:val="a3"/>
        <w:spacing w:before="0" w:beforeAutospacing="0" w:after="0" w:afterAutospacing="0"/>
        <w:jc w:val="both"/>
        <w:rPr>
          <w:sz w:val="20"/>
          <w:szCs w:val="20"/>
        </w:rPr>
      </w:pPr>
      <w:r>
        <w:rPr>
          <w:sz w:val="20"/>
          <w:szCs w:val="20"/>
          <w:vertAlign w:val="superscript"/>
        </w:rPr>
        <w:t xml:space="preserve">2 </w:t>
      </w:r>
      <w:r>
        <w:rPr>
          <w:sz w:val="20"/>
          <w:szCs w:val="20"/>
          <w:u w:val="single"/>
        </w:rPr>
        <w:t>Healthcare IT Market in US Size, Share, Trends | Report 2030 (alliedmarketresearch.com)</w:t>
      </w:r>
    </w:p>
    <w:p w:rsidR="00000000" w:rsidRDefault="003A6737">
      <w:pPr>
        <w:pStyle w:val="a3"/>
        <w:spacing w:before="0" w:beforeAutospacing="0" w:after="0" w:afterAutospacing="0"/>
        <w:jc w:val="both"/>
        <w:rPr>
          <w:sz w:val="20"/>
          <w:szCs w:val="20"/>
        </w:rPr>
      </w:pPr>
      <w:r>
        <w:rPr>
          <w:sz w:val="20"/>
          <w:szCs w:val="20"/>
          <w:vertAlign w:val="superscript"/>
        </w:rPr>
        <w:t xml:space="preserve">3 </w:t>
      </w:r>
      <w:r>
        <w:rPr>
          <w:sz w:val="20"/>
          <w:szCs w:val="20"/>
          <w:u w:val="single"/>
        </w:rPr>
        <w:t>U.S. Revenue Cycle Management Market Size, Share, Trends | Report 2023-2030 (Grand View Research)</w:t>
      </w:r>
    </w:p>
    <w:p w:rsidR="00000000" w:rsidRDefault="003A6737">
      <w:pPr>
        <w:pStyle w:val="a3"/>
        <w:spacing w:before="0" w:beforeAutospacing="0" w:after="0" w:afterAutospacing="0"/>
        <w:rPr>
          <w:color w:val="0000FF"/>
          <w:sz w:val="20"/>
          <w:szCs w:val="20"/>
        </w:rPr>
      </w:pPr>
      <w:r>
        <w:rPr>
          <w:color w:val="0000FF"/>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35882875"/>
        </w:trPr>
        <w:tc>
          <w:tcPr>
            <w:tcW w:w="5000" w:type="pct"/>
            <w:hideMark/>
          </w:tcPr>
          <w:p w:rsidR="00000000" w:rsidRDefault="003A6737">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 xml:space="preserve">Our </w:t>
      </w:r>
      <w:r>
        <w:rPr>
          <w:b/>
          <w:bCs/>
          <w:sz w:val="20"/>
          <w:szCs w:val="20"/>
        </w:rPr>
        <w:t>Market Opportunity</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Considering the evolving needs of our clients and the market, we believe we continue to be uniquely positioned to provide tremendous value and support for our clients. We believe there are dynamics at play that are significantly increa</w:t>
      </w:r>
      <w:r>
        <w:rPr>
          <w:sz w:val="20"/>
          <w:szCs w:val="20"/>
        </w:rPr>
        <w:t>sing market need for our products and services. These market dynamics present opportunities for us to innovate and focus on impacting the day-to-day challenges our clients face as they work to provide excellent patient care, all while managing and expandin</w:t>
      </w:r>
      <w:r>
        <w:rPr>
          <w:sz w:val="20"/>
          <w:szCs w:val="20"/>
        </w:rPr>
        <w:t>g their businesses.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Medical practices and health systems alike are transitioning to increasingly complex reimbursement delivery models. As an example, the industry has been gradually shifting from fee-for-service payments to value-based/clinical outcomes</w:t>
      </w:r>
      <w:r>
        <w:rPr>
          <w:sz w:val="20"/>
          <w:szCs w:val="20"/>
        </w:rPr>
        <w:t>-based care payments. This transition comes in a multitude of forms including reimbursement models associated with quality incentive programs, capitation payments models, bundled payments, and at-risk payer contracts.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There are continuing legislative and</w:t>
      </w:r>
      <w:r>
        <w:rPr>
          <w:sz w:val="20"/>
          <w:szCs w:val="20"/>
        </w:rPr>
        <w:t xml:space="preserve"> regulatory reform efforts, as well as growing compliance requirements mandated by the federal government and other governmental agencies. This ever-evolving regulatory landscape increases the pressure placed on healthcare organizations to stay abreast of </w:t>
      </w:r>
      <w:r>
        <w:rPr>
          <w:sz w:val="20"/>
          <w:szCs w:val="20"/>
        </w:rPr>
        <w:t>these changes and in compliance. The complexities associated with emerging reimbursement models and continued government regulations present opportunities for us as healthcare organizations seek out partners that offer a broad range of software and service</w:t>
      </w:r>
      <w:r>
        <w:rPr>
          <w:sz w:val="20"/>
          <w:szCs w:val="20"/>
        </w:rPr>
        <w:t>s to help meet their needs.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clients also have to account for the rising cost of health insurance, changes in health benefit plan design, and the impact that these factors have had on the increase in patient consumerism. Patients are seeking lower cos</w:t>
      </w:r>
      <w:r>
        <w:rPr>
          <w:sz w:val="20"/>
          <w:szCs w:val="20"/>
        </w:rPr>
        <w:t>t care in response to insurance carriers shifting more of the cost burden onto patients, causing healthcare organizations to reconsider the full patient experience. Healthcare providers now need to think more deeply about patient expectations. This is espe</w:t>
      </w:r>
      <w:r>
        <w:rPr>
          <w:sz w:val="20"/>
          <w:szCs w:val="20"/>
        </w:rPr>
        <w:t>cially true as COVID-19 has reshaped the sector and accelerated its digital transformation.</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Strategic-thinking healthcare organizations across the country are aggressively addressing these new realities and are finding opportunities for growth and expans</w:t>
      </w:r>
      <w:r>
        <w:rPr>
          <w:sz w:val="20"/>
          <w:szCs w:val="20"/>
        </w:rPr>
        <w:t>ion. We see medical groups across the country and within all specialties and market segments, growing through consolidation and investing in their businesses at an accelerated pace. This is also leading clients to focus on delivering emerging and disruptiv</w:t>
      </w:r>
      <w:r>
        <w:rPr>
          <w:sz w:val="20"/>
          <w:szCs w:val="20"/>
        </w:rPr>
        <w:t>e care delivery settings. Much of this change is driving executives and leaders to assess their IT and data strategy and reevaluate their adoption of next generation healthcare solutions.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healthcare industry has seen tremendous change over the last t</w:t>
      </w:r>
      <w:r>
        <w:rPr>
          <w:sz w:val="20"/>
          <w:szCs w:val="20"/>
        </w:rPr>
        <w:t xml:space="preserve">hree years, with COVID-19 ushering in a new era of digital health. Our study of the evolving needs of our clients leads us to believe that there will be an increasing need for our services and products and emerging needs for the products and services that </w:t>
      </w:r>
      <w:r>
        <w:rPr>
          <w:sz w:val="20"/>
          <w:szCs w:val="20"/>
        </w:rPr>
        <w:t>we are already developing. These trends will fuel growth over the next several years. In order for healthcare organizations to continue to succeed, these new realities require robust solutions and careful execution. Legacy tools that once powered these hea</w:t>
      </w:r>
      <w:r>
        <w:rPr>
          <w:sz w:val="20"/>
          <w:szCs w:val="20"/>
        </w:rPr>
        <w:t xml:space="preserve">lthcare organizations are insufficient to support their growth and long-term strategies. Our solutions facilitate the transition needed by these organizations to adopt the next generation of healthcare solutions to drive their future growth. Our expansive </w:t>
      </w:r>
      <w:r>
        <w:rPr>
          <w:sz w:val="20"/>
          <w:szCs w:val="20"/>
        </w:rPr>
        <w:t>product and services portfolio enables us to displace competitors and gain market share across a vast array of specialties, care settings and customer segments across the country.</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sz w:val="20"/>
          <w:szCs w:val="20"/>
        </w:rPr>
        <w:t>Our Business Strategy</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CareCloud is a market leading provider of integrat</w:t>
      </w:r>
      <w:r>
        <w:rPr>
          <w:sz w:val="20"/>
          <w:szCs w:val="20"/>
        </w:rPr>
        <w:t>ed, end-to-end SaaS and technology-enabled solutions that help our clients with the business of medicine. Our mission is to redefine the next generation of technology-enabled revenue cycle solutions. To that end, we invest significant resources toward impr</w:t>
      </w:r>
      <w:r>
        <w:rPr>
          <w:sz w:val="20"/>
          <w:szCs w:val="20"/>
        </w:rPr>
        <w:t xml:space="preserve">oving our current offerings and building new solutions that help transform our clients’ organizations with next generation technology. We expect to have increased software capabilities and offer additional complementary business services that will address </w:t>
      </w:r>
      <w:r>
        <w:rPr>
          <w:sz w:val="20"/>
          <w:szCs w:val="20"/>
        </w:rPr>
        <w:t>the needs of the ever-changing, dynamic market conditions of the U.S. healthcare space.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To achieve our objective and mission, we employ the following strategies:</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ind w:left="720"/>
        <w:jc w:val="both"/>
        <w:rPr>
          <w:sz w:val="20"/>
          <w:szCs w:val="20"/>
        </w:rPr>
      </w:pPr>
      <w:r>
        <w:rPr>
          <w:b/>
          <w:bCs/>
          <w:i/>
          <w:iCs/>
          <w:sz w:val="20"/>
          <w:szCs w:val="20"/>
        </w:rPr>
        <w:t xml:space="preserve">Providing </w:t>
      </w:r>
      <w:r>
        <w:rPr>
          <w:b/>
          <w:bCs/>
          <w:i/>
          <w:iCs/>
          <w:sz w:val="20"/>
          <w:szCs w:val="20"/>
        </w:rPr>
        <w:t>comprehensive next generation RCM solutions to medical practices and hospitals.</w:t>
      </w:r>
      <w:r>
        <w:rPr>
          <w:sz w:val="20"/>
          <w:szCs w:val="20"/>
        </w:rPr>
        <w:t xml:space="preserve"> We believe that healthcare providers are in need of an integrated, end-to-end solution and a flexible service delivery model to manage the different facets of their businesses,</w:t>
      </w:r>
      <w:r>
        <w:rPr>
          <w:sz w:val="20"/>
          <w:szCs w:val="20"/>
        </w:rPr>
        <w:t xml:space="preserve"> from care delivery software, to claim submission, financial reporting, and data analytics.</w:t>
      </w:r>
    </w:p>
    <w:p w:rsidR="00000000" w:rsidRDefault="003A6737">
      <w:pPr>
        <w:pStyle w:val="a3"/>
        <w:spacing w:before="0" w:beforeAutospacing="0" w:after="0" w:afterAutospacing="0"/>
        <w:ind w:left="72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62853065"/>
        </w:trPr>
        <w:tc>
          <w:tcPr>
            <w:tcW w:w="5000" w:type="pct"/>
            <w:hideMark/>
          </w:tcPr>
          <w:p w:rsidR="00000000" w:rsidRDefault="003A6737">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b/>
          <w:bCs/>
          <w:i/>
          <w:iCs/>
          <w:sz w:val="20"/>
          <w:szCs w:val="20"/>
        </w:rPr>
        <w:t> </w:t>
      </w:r>
    </w:p>
    <w:p w:rsidR="00000000" w:rsidRDefault="003A6737">
      <w:pPr>
        <w:pStyle w:val="a3"/>
        <w:spacing w:before="0" w:beforeAutospacing="0" w:after="0" w:afterAutospacing="0"/>
        <w:ind w:left="720"/>
        <w:jc w:val="both"/>
        <w:rPr>
          <w:sz w:val="20"/>
          <w:szCs w:val="20"/>
        </w:rPr>
      </w:pPr>
      <w:r>
        <w:rPr>
          <w:b/>
          <w:bCs/>
          <w:i/>
          <w:iCs/>
          <w:sz w:val="20"/>
          <w:szCs w:val="20"/>
        </w:rPr>
        <w:t>Enhancing our solutions.</w:t>
      </w:r>
      <w:r>
        <w:rPr>
          <w:sz w:val="20"/>
          <w:szCs w:val="20"/>
        </w:rPr>
        <w:t xml:space="preserve"> We intend to continue to enhance our solutions with new functionality and features leveraging our own teams, partnerships, and a</w:t>
      </w:r>
      <w:r>
        <w:rPr>
          <w:sz w:val="20"/>
          <w:szCs w:val="20"/>
        </w:rPr>
        <w:t>cquisitions. We will continue to dedicate significant resources to research and development to bolster our existing applications and drive new opportunities for innovation on behalf of our clients.</w:t>
      </w:r>
    </w:p>
    <w:p w:rsidR="00000000" w:rsidRDefault="003A6737">
      <w:pPr>
        <w:pStyle w:val="a3"/>
        <w:spacing w:before="0" w:beforeAutospacing="0" w:after="0" w:afterAutospacing="0"/>
        <w:ind w:left="720"/>
        <w:jc w:val="both"/>
        <w:rPr>
          <w:sz w:val="20"/>
          <w:szCs w:val="20"/>
        </w:rPr>
      </w:pPr>
      <w:r>
        <w:rPr>
          <w:sz w:val="20"/>
          <w:szCs w:val="20"/>
        </w:rPr>
        <w:t> </w:t>
      </w:r>
    </w:p>
    <w:p w:rsidR="00000000" w:rsidRDefault="003A6737">
      <w:pPr>
        <w:pStyle w:val="a3"/>
        <w:spacing w:before="0" w:beforeAutospacing="0" w:after="0" w:afterAutospacing="0"/>
        <w:ind w:left="720"/>
        <w:jc w:val="both"/>
        <w:rPr>
          <w:sz w:val="20"/>
          <w:szCs w:val="20"/>
        </w:rPr>
      </w:pPr>
      <w:r>
        <w:rPr>
          <w:b/>
          <w:bCs/>
          <w:i/>
          <w:iCs/>
          <w:sz w:val="20"/>
          <w:szCs w:val="20"/>
        </w:rPr>
        <w:t xml:space="preserve">Expanding into new categories/specialties/markets. </w:t>
      </w:r>
      <w:r>
        <w:rPr>
          <w:sz w:val="20"/>
          <w:szCs w:val="20"/>
        </w:rPr>
        <w:t>We ar</w:t>
      </w:r>
      <w:r>
        <w:rPr>
          <w:sz w:val="20"/>
          <w:szCs w:val="20"/>
        </w:rPr>
        <w:t>e focused on always reassessing the market landscape, seeking new opportunities to meet the needs of the clients in our addressable market with our products and services. This means developing new and exciting technologies, launching new services, entering</w:t>
      </w:r>
      <w:r>
        <w:rPr>
          <w:sz w:val="20"/>
          <w:szCs w:val="20"/>
        </w:rPr>
        <w:t xml:space="preserve"> new specialties that can leverage our solutions and enabling growth for our clients or expanding into adjacent markets that we may not serve today.</w:t>
      </w:r>
    </w:p>
    <w:p w:rsidR="00000000" w:rsidRDefault="003A6737">
      <w:pPr>
        <w:pStyle w:val="a3"/>
        <w:spacing w:before="0" w:beforeAutospacing="0" w:after="0" w:afterAutospacing="0"/>
        <w:ind w:left="720"/>
        <w:jc w:val="both"/>
        <w:rPr>
          <w:sz w:val="20"/>
          <w:szCs w:val="20"/>
        </w:rPr>
      </w:pPr>
      <w:r>
        <w:rPr>
          <w:sz w:val="20"/>
          <w:szCs w:val="20"/>
        </w:rPr>
        <w:t> </w:t>
      </w:r>
    </w:p>
    <w:p w:rsidR="00000000" w:rsidRDefault="003A6737">
      <w:pPr>
        <w:pStyle w:val="a3"/>
        <w:spacing w:before="0" w:beforeAutospacing="0" w:after="0" w:afterAutospacing="0"/>
        <w:ind w:left="720"/>
        <w:jc w:val="both"/>
        <w:rPr>
          <w:sz w:val="20"/>
          <w:szCs w:val="20"/>
        </w:rPr>
      </w:pPr>
      <w:r>
        <w:rPr>
          <w:b/>
          <w:bCs/>
          <w:i/>
          <w:iCs/>
          <w:sz w:val="20"/>
          <w:szCs w:val="20"/>
        </w:rPr>
        <w:t xml:space="preserve">Relentlessly driving organic growth to expand our client base. </w:t>
      </w:r>
      <w:r>
        <w:rPr>
          <w:sz w:val="20"/>
          <w:szCs w:val="20"/>
        </w:rPr>
        <w:t>We believe the market for our expansive va</w:t>
      </w:r>
      <w:r>
        <w:rPr>
          <w:sz w:val="20"/>
          <w:szCs w:val="20"/>
        </w:rPr>
        <w:t>lue proposition is underserved, and we will continue to make investments to create awareness of our brand, optimize our sales and implementation lifecycles, and capture greater market share. We are investing more in our sales and marketing activities, part</w:t>
      </w:r>
      <w:r>
        <w:rPr>
          <w:sz w:val="20"/>
          <w:szCs w:val="20"/>
        </w:rPr>
        <w:t>ners, and products to expand our client footprint.</w:t>
      </w:r>
    </w:p>
    <w:p w:rsidR="00000000" w:rsidRDefault="003A6737">
      <w:pPr>
        <w:pStyle w:val="a3"/>
        <w:spacing w:before="0" w:beforeAutospacing="0" w:after="0" w:afterAutospacing="0"/>
        <w:ind w:left="720"/>
        <w:jc w:val="both"/>
        <w:rPr>
          <w:sz w:val="20"/>
          <w:szCs w:val="20"/>
        </w:rPr>
      </w:pPr>
      <w:r>
        <w:rPr>
          <w:sz w:val="20"/>
          <w:szCs w:val="20"/>
        </w:rPr>
        <w:t> </w:t>
      </w:r>
    </w:p>
    <w:p w:rsidR="00000000" w:rsidRDefault="003A6737">
      <w:pPr>
        <w:pStyle w:val="a3"/>
        <w:spacing w:before="0" w:beforeAutospacing="0" w:after="0" w:afterAutospacing="0"/>
        <w:ind w:left="720"/>
        <w:jc w:val="both"/>
        <w:rPr>
          <w:sz w:val="20"/>
          <w:szCs w:val="20"/>
        </w:rPr>
      </w:pPr>
      <w:r>
        <w:rPr>
          <w:b/>
          <w:bCs/>
          <w:i/>
          <w:iCs/>
          <w:sz w:val="20"/>
          <w:szCs w:val="20"/>
        </w:rPr>
        <w:t xml:space="preserve">Extending our relationships with existing clients. </w:t>
      </w:r>
      <w:r>
        <w:rPr>
          <w:sz w:val="20"/>
          <w:szCs w:val="20"/>
        </w:rPr>
        <w:t>Our CareCloud Wellness offerings have been well-received allowing us to generate additional recurring revenue from existing clients. We intend to increa</w:t>
      </w:r>
      <w:r>
        <w:rPr>
          <w:sz w:val="20"/>
          <w:szCs w:val="20"/>
        </w:rPr>
        <w:t>se the number of SaaS subscription licenses and services purchased by our current clients as they use our solutions. We are also focused on converting SaaS clients into higher revenue per client offerings such as revenue cycle management and other business</w:t>
      </w:r>
      <w:r>
        <w:rPr>
          <w:sz w:val="20"/>
          <w:szCs w:val="20"/>
        </w:rPr>
        <w:t xml:space="preserve"> services. This expansion of services typically represents a 3-4x increase in overall revenue per client.</w:t>
      </w:r>
    </w:p>
    <w:p w:rsidR="00000000" w:rsidRDefault="003A6737">
      <w:pPr>
        <w:pStyle w:val="a3"/>
        <w:spacing w:before="0" w:beforeAutospacing="0" w:after="0" w:afterAutospacing="0"/>
        <w:ind w:left="720"/>
        <w:jc w:val="both"/>
        <w:rPr>
          <w:sz w:val="20"/>
          <w:szCs w:val="20"/>
        </w:rPr>
      </w:pPr>
      <w:r>
        <w:rPr>
          <w:sz w:val="20"/>
          <w:szCs w:val="20"/>
        </w:rPr>
        <w:t> </w:t>
      </w:r>
    </w:p>
    <w:p w:rsidR="00000000" w:rsidRDefault="003A6737">
      <w:pPr>
        <w:pStyle w:val="a3"/>
        <w:spacing w:before="0" w:beforeAutospacing="0" w:after="0" w:afterAutospacing="0"/>
        <w:ind w:left="720"/>
        <w:jc w:val="both"/>
        <w:rPr>
          <w:sz w:val="20"/>
          <w:szCs w:val="20"/>
        </w:rPr>
      </w:pPr>
      <w:r>
        <w:rPr>
          <w:b/>
          <w:bCs/>
          <w:i/>
          <w:iCs/>
          <w:sz w:val="20"/>
          <w:szCs w:val="20"/>
        </w:rPr>
        <w:t xml:space="preserve">Leveraging significant cost advantages provided by our technology and global workforce. </w:t>
      </w:r>
      <w:r>
        <w:rPr>
          <w:sz w:val="20"/>
          <w:szCs w:val="20"/>
        </w:rPr>
        <w:t xml:space="preserve">Our unique business model includes our cloud-based software </w:t>
      </w:r>
      <w:r>
        <w:rPr>
          <w:sz w:val="20"/>
          <w:szCs w:val="20"/>
        </w:rPr>
        <w:t>and a cost-effective offshore workforce located in Pakistan, Azad Jammu and Kashmir, and Sri Lanka (together, the “Offshore Offices”). We believe this operating model provides us with significant cost advantages compared to other revenue cycle management c</w:t>
      </w:r>
      <w:r>
        <w:rPr>
          <w:sz w:val="20"/>
          <w:szCs w:val="20"/>
        </w:rPr>
        <w:t>ompanies and it allows us to significantly reduce the operational costs of the companies we acquire.</w:t>
      </w:r>
    </w:p>
    <w:p w:rsidR="00000000" w:rsidRDefault="003A6737">
      <w:pPr>
        <w:pStyle w:val="a3"/>
        <w:spacing w:before="0" w:beforeAutospacing="0" w:after="0" w:afterAutospacing="0"/>
        <w:ind w:left="720"/>
        <w:jc w:val="both"/>
        <w:rPr>
          <w:sz w:val="20"/>
          <w:szCs w:val="20"/>
        </w:rPr>
      </w:pPr>
      <w:r>
        <w:rPr>
          <w:sz w:val="20"/>
          <w:szCs w:val="20"/>
        </w:rPr>
        <w:t> </w:t>
      </w:r>
    </w:p>
    <w:p w:rsidR="00000000" w:rsidRDefault="003A6737">
      <w:pPr>
        <w:pStyle w:val="a3"/>
        <w:spacing w:before="0" w:beforeAutospacing="0" w:after="0" w:afterAutospacing="0"/>
        <w:ind w:left="720"/>
        <w:jc w:val="both"/>
        <w:rPr>
          <w:sz w:val="20"/>
          <w:szCs w:val="20"/>
        </w:rPr>
      </w:pPr>
      <w:r>
        <w:rPr>
          <w:b/>
          <w:bCs/>
          <w:i/>
          <w:iCs/>
          <w:sz w:val="20"/>
          <w:szCs w:val="20"/>
        </w:rPr>
        <w:t xml:space="preserve">Pursue acquisitions. </w:t>
      </w:r>
      <w:r>
        <w:rPr>
          <w:sz w:val="20"/>
          <w:szCs w:val="20"/>
        </w:rPr>
        <w:t>We intend to continue to pursue acquisitions over time. As with most of our acquisition transactions, our goal is to retain the acquired clients over the long-term and migrate those clients to our platforms soon after closing and cross-sell our products an</w:t>
      </w:r>
      <w:r>
        <w:rPr>
          <w:sz w:val="20"/>
          <w:szCs w:val="20"/>
        </w:rPr>
        <w:t>d services to this newly acquired client base. A core component of our model is to strip out expensive third-party software and vendor costs while improving efficiency and scale with our proven operational model and integration methodology.</w:t>
      </w:r>
    </w:p>
    <w:p w:rsidR="00000000" w:rsidRDefault="003A6737">
      <w:pPr>
        <w:pStyle w:val="a3"/>
        <w:spacing w:before="0" w:beforeAutospacing="0" w:after="0" w:afterAutospacing="0"/>
        <w:ind w:left="720"/>
        <w:jc w:val="both"/>
        <w:rPr>
          <w:sz w:val="20"/>
          <w:szCs w:val="20"/>
        </w:rPr>
      </w:pPr>
      <w:r>
        <w:rPr>
          <w:sz w:val="20"/>
          <w:szCs w:val="20"/>
        </w:rPr>
        <w:t> </w:t>
      </w:r>
    </w:p>
    <w:p w:rsidR="00000000" w:rsidRDefault="003A6737">
      <w:pPr>
        <w:pStyle w:val="a3"/>
        <w:spacing w:before="0" w:beforeAutospacing="0" w:after="0" w:afterAutospacing="0"/>
        <w:ind w:left="720"/>
        <w:jc w:val="both"/>
        <w:rPr>
          <w:sz w:val="20"/>
          <w:szCs w:val="20"/>
        </w:rPr>
      </w:pPr>
      <w:r>
        <w:rPr>
          <w:b/>
          <w:bCs/>
          <w:i/>
          <w:iCs/>
          <w:sz w:val="20"/>
          <w:szCs w:val="20"/>
        </w:rPr>
        <w:t>Developing ou</w:t>
      </w:r>
      <w:r>
        <w:rPr>
          <w:b/>
          <w:bCs/>
          <w:i/>
          <w:iCs/>
          <w:sz w:val="20"/>
          <w:szCs w:val="20"/>
        </w:rPr>
        <w:t>r partner ecosystem.</w:t>
      </w:r>
      <w:r>
        <w:rPr>
          <w:sz w:val="20"/>
          <w:szCs w:val="20"/>
        </w:rPr>
        <w:t xml:space="preserve"> We offer an integrated partner ecosystem providing healthcare organizations access to a variety of innovative solutions that complement our suite of products and services. Our partner ecosystem is a comprehensive collection of apps, se</w:t>
      </w:r>
      <w:r>
        <w:rPr>
          <w:sz w:val="20"/>
          <w:szCs w:val="20"/>
        </w:rPr>
        <w:t>rvices, specialty solutions, and clinical connections. This is an integral part of our vision to be the premier cloud-based platform for healthcare.</w:t>
      </w:r>
    </w:p>
    <w:p w:rsidR="00000000" w:rsidRDefault="003A6737">
      <w:pPr>
        <w:pStyle w:val="a3"/>
        <w:spacing w:before="0" w:beforeAutospacing="0" w:after="0" w:afterAutospacing="0"/>
        <w:ind w:left="72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As the market continues to evolve, we may choose to build or partner for some or all of these solutions i</w:t>
      </w:r>
      <w:r>
        <w:rPr>
          <w:sz w:val="20"/>
          <w:szCs w:val="20"/>
        </w:rPr>
        <w:t>n order to broaden our product set. In the longer term, we also envision how this will allow for frictionless flow of information and care-coordination capabilities between medical providers and their patients.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Additionally, given the nature of our large</w:t>
      </w:r>
      <w:r>
        <w:rPr>
          <w:sz w:val="20"/>
          <w:szCs w:val="20"/>
        </w:rPr>
        <w:t xml:space="preserve"> data repository, which is ever-growing as each patient encounter is captured, opportunities exist to potentially monetize this data in an identified manner to help improve clinical outcomes and other financial metrics.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sz w:val="20"/>
          <w:szCs w:val="20"/>
        </w:rPr>
        <w:t>Our Offerings</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 xml:space="preserve">Our </w:t>
      </w:r>
      <w:r>
        <w:rPr>
          <w:sz w:val="20"/>
          <w:szCs w:val="20"/>
        </w:rPr>
        <w:t>solutions are designed to systematically drive clinical quality and patient outcomes, streamline staff and provider workflows and reimbursements, as well as support different settings of care and healthcare models. Our product and service strategy is simpl</w:t>
      </w:r>
      <w:r>
        <w:rPr>
          <w:sz w:val="20"/>
          <w:szCs w:val="20"/>
        </w:rPr>
        <w:t>e: we build products and deliver solutions that meet our clients’ needs.</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41322532"/>
        </w:trPr>
        <w:tc>
          <w:tcPr>
            <w:tcW w:w="5000" w:type="pct"/>
            <w:hideMark/>
          </w:tcPr>
          <w:p w:rsidR="00000000" w:rsidRDefault="003A6737">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Through the combination of our strategic acquisition strategy and continued development of next generation solutions, we provide comprehensive products and services tailore</w:t>
      </w:r>
      <w:r>
        <w:rPr>
          <w:sz w:val="20"/>
          <w:szCs w:val="20"/>
        </w:rPr>
        <w:t>d for small medical practices, large physician groups and health systems, as well as industry partners. We continue to optimize our technology offering by integrating them into our application ecosystem and with other industry solutions. The interconnectiv</w:t>
      </w:r>
      <w:r>
        <w:rPr>
          <w:sz w:val="20"/>
          <w:szCs w:val="20"/>
        </w:rPr>
        <w:t>ity of our solutions will continue driving a consolidation of brands within our product architecture, aimed at improving the awareness and alignment of our products to targeted industry segments.</w:t>
      </w:r>
    </w:p>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3A6737">
      <w:pPr>
        <w:pStyle w:val="a3"/>
        <w:spacing w:before="0" w:beforeAutospacing="0" w:after="0" w:afterAutospacing="0"/>
        <w:jc w:val="both"/>
        <w:rPr>
          <w:sz w:val="20"/>
          <w:szCs w:val="20"/>
        </w:rPr>
      </w:pPr>
      <w:r>
        <w:rPr>
          <w:sz w:val="20"/>
          <w:szCs w:val="20"/>
        </w:rPr>
        <w:t>Our robust product and service portfolio allows us to be both methodical and nimble across the healthcare organizations and market segments we serve while providing a framework to create solution sets for the market today and more importantly, fo</w:t>
      </w:r>
      <w:r>
        <w:rPr>
          <w:sz w:val="20"/>
          <w:szCs w:val="20"/>
        </w:rPr>
        <w:t>r what our clients will need tomorrow.</w:t>
      </w:r>
    </w:p>
    <w:p w:rsidR="00000000" w:rsidRDefault="003A6737">
      <w:pPr>
        <w:pStyle w:val="a3"/>
        <w:spacing w:before="0" w:beforeAutospacing="0" w:after="0" w:afterAutospacing="0"/>
        <w:ind w:left="450" w:hanging="45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We believe that our fully integrated solutions uniquely address the challenges in the industry. In most cases the standard fee for our complete, integrated, end-to-end solution is based upon a percentage of each cli</w:t>
      </w:r>
      <w:r>
        <w:rPr>
          <w:sz w:val="20"/>
          <w:szCs w:val="20"/>
        </w:rPr>
        <w:t>ent’s healthcare-related revenues, with a monthly minimum fee, plus a nominal one-time setup fee, which is competitively priced.</w:t>
      </w:r>
    </w:p>
    <w:p w:rsidR="00000000" w:rsidRDefault="003A6737">
      <w:pPr>
        <w:pStyle w:val="a3"/>
        <w:spacing w:before="0" w:beforeAutospacing="0" w:after="0" w:afterAutospacing="0"/>
        <w:ind w:left="45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sz w:val="20"/>
          <w:szCs w:val="20"/>
        </w:rPr>
        <w:t>Research and Development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research and development focuses are on enhancing and expanding our service offerings while en</w:t>
      </w:r>
      <w:r>
        <w:rPr>
          <w:sz w:val="20"/>
          <w:szCs w:val="20"/>
        </w:rPr>
        <w:t>suring all offerings meet regulatory compliance standards. We continually update our software and technology infrastructures, regularly execute releases of new software enhancements, and adapt our offerings to better serve our medical group and health syst</w:t>
      </w:r>
      <w:r>
        <w:rPr>
          <w:sz w:val="20"/>
          <w:szCs w:val="20"/>
        </w:rPr>
        <w:t>em clients confronting rapid changes in the healthcare market space.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agile software development methodology is designed to ensure that each software release is properly designed, built, tested, and released. Our product, engineering, quality assuranc</w:t>
      </w:r>
      <w:r>
        <w:rPr>
          <w:sz w:val="20"/>
          <w:szCs w:val="20"/>
        </w:rPr>
        <w:t>e, and development operations teams are located both onshore and offshore. We complement our internal efforts with services from third-party technology providers for infrastructure, healthcare ecosystem connectivity needs such as prescriptions, clinical la</w:t>
      </w:r>
      <w:r>
        <w:rPr>
          <w:sz w:val="20"/>
          <w:szCs w:val="20"/>
        </w:rPr>
        <w:t>boratories, or specific application requirements.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We also employ product management, user experience, and product marketing personnel who work continually on improvements to our products and services design.</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86163575"/>
        </w:trPr>
        <w:tc>
          <w:tcPr>
            <w:tcW w:w="5000" w:type="pct"/>
            <w:hideMark/>
          </w:tcPr>
          <w:p w:rsidR="00000000" w:rsidRDefault="003A6737">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sz w:val="20"/>
          <w:szCs w:val="20"/>
        </w:rPr>
        <w:t>Clients</w:t>
      </w:r>
    </w:p>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We estimate that as of December 31, 2022, we provided software and services to approximately 40,000 providers (which we define as physicians, nurses, nurse practitioners, therapists, physician assistants and other clinicians that render bills f</w:t>
      </w:r>
      <w:r>
        <w:rPr>
          <w:sz w:val="20"/>
          <w:szCs w:val="20"/>
        </w:rPr>
        <w:t>or their services) practicing in approximately 2,600 independent medical practices and hospitals, representing 80 specialties and subspecialties in 50 states allowing for low revenue concentration risk.</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In addition, we served approximately 150 clients th</w:t>
      </w:r>
      <w:r>
        <w:rPr>
          <w:sz w:val="20"/>
          <w:szCs w:val="20"/>
        </w:rPr>
        <w:t>at are not medical practices, but are primarily service organizations who serve the healthcare community. The foregoing numbers include clients leveraging any of our products or services and are based in part upon estimates where the precise number of prac</w:t>
      </w:r>
      <w:r>
        <w:rPr>
          <w:sz w:val="20"/>
          <w:szCs w:val="20"/>
        </w:rPr>
        <w:t>tices or providers is unknown.</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We service clients ranging from small practices to large groups and health systems. Our clients span from the single doctor independent medical practices to large medical groups, including an enterprise specialty-specific h</w:t>
      </w:r>
      <w:r>
        <w:rPr>
          <w:sz w:val="20"/>
          <w:szCs w:val="20"/>
        </w:rPr>
        <w:t>ealthcare organization with more than 3,000 providers located across multiple states. We also service large major academic medical institutions, small and large hospitals and health systems with service areas covering millions of patients.</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Sales and Mark</w:t>
      </w:r>
      <w:r>
        <w:rPr>
          <w:b/>
          <w:bCs/>
          <w:sz w:val="20"/>
          <w:szCs w:val="20"/>
        </w:rPr>
        <w:t>eting</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Over the past several years, organic growth has been a company-wide focus. We have developed sales and marketing capabilities aimed at driving growth of our client base, including small medical practices, large groups, and health systems. We expect</w:t>
      </w:r>
      <w:r>
        <w:rPr>
          <w:sz w:val="20"/>
          <w:szCs w:val="20"/>
        </w:rPr>
        <w:t xml:space="preserve"> to expand by selling our complete suite of software and services to new clients and up-selling additional solutions into our existing client base. We have a direct sales force including team members focused on specific functional or divisional areas, such</w:t>
      </w:r>
      <w:r>
        <w:rPr>
          <w:sz w:val="20"/>
          <w:szCs w:val="20"/>
        </w:rPr>
        <w:t xml:space="preserve"> as CareCloud Force (workforce augmentation) and medSR (healthcare IT consulting). In addition, our direct sales are augmented through our partner initiatives and marketing campaigns. We continue to leverage and optimize various digital channels to present</w:t>
      </w:r>
      <w:r>
        <w:rPr>
          <w:sz w:val="20"/>
          <w:szCs w:val="20"/>
        </w:rPr>
        <w:t xml:space="preserve"> our solutions, identify national events to demonstrate our integrated capabilities and expand our participation in thought leadership and social communications to connect with the healthcare community.</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75310660"/>
        </w:trPr>
        <w:tc>
          <w:tcPr>
            <w:tcW w:w="5000" w:type="pct"/>
            <w:hideMark/>
          </w:tcPr>
          <w:p w:rsidR="00000000" w:rsidRDefault="003A6737">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sz w:val="20"/>
          <w:szCs w:val="20"/>
        </w:rPr>
        <w:t>Our Growth Levers</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 xml:space="preserve">We </w:t>
      </w:r>
      <w:r>
        <w:rPr>
          <w:sz w:val="20"/>
          <w:szCs w:val="20"/>
        </w:rPr>
        <w:t>believe that we are in a great position to continue to grow by leveraging a multi-faceted growth strategy:</w:t>
      </w:r>
    </w:p>
    <w:p w:rsidR="00000000" w:rsidRDefault="003A6737">
      <w:pPr>
        <w:pStyle w:val="a3"/>
        <w:spacing w:before="0" w:beforeAutospacing="0" w:after="0" w:afterAutospacing="0"/>
        <w:jc w:val="center"/>
        <w:rPr>
          <w:sz w:val="20"/>
          <w:szCs w:val="20"/>
        </w:rPr>
      </w:pPr>
      <w:r>
        <w:rPr>
          <w:b/>
          <w:bCs/>
          <w:sz w:val="20"/>
          <w:szCs w:val="20"/>
        </w:rPr>
        <w:t> </w:t>
      </w:r>
    </w:p>
    <w:p w:rsidR="00000000" w:rsidRDefault="003A6737">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bCs/>
          <w:sz w:val="20"/>
          <w:szCs w:val="20"/>
        </w:rPr>
        <w:t> </w:t>
      </w:r>
    </w:p>
    <w:p w:rsidR="00000000" w:rsidRDefault="003A6737">
      <w:pPr>
        <w:pStyle w:val="a3"/>
        <w:spacing w:before="0" w:beforeAutospacing="0" w:after="0" w:afterAutospacing="0"/>
        <w:rPr>
          <w:sz w:val="20"/>
          <w:szCs w:val="20"/>
        </w:rPr>
      </w:pPr>
      <w:r>
        <w:rPr>
          <w:b/>
          <w:bCs/>
          <w:sz w:val="20"/>
          <w:szCs w:val="20"/>
        </w:rPr>
        <w:t>Organic Growth and Direct Sales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sales and marketing team has expanded 11 times since 2019. The core philosophy behind this expansion</w:t>
      </w:r>
      <w:r>
        <w:rPr>
          <w:sz w:val="20"/>
          <w:szCs w:val="20"/>
        </w:rPr>
        <w:t xml:space="preserve"> is for every team member to perform at the top of their skills and ability. We have organized our sales force into different segments to promote the respective products and services for that segment and best address our clients’ needs and our markets. Wit</w:t>
      </w:r>
      <w:r>
        <w:rPr>
          <w:sz w:val="20"/>
          <w:szCs w:val="20"/>
        </w:rPr>
        <w:t>h this design, our sales team can address a client’s specific needs, whether a new client is seeking our products or services for the first time, or a current client is in need of additional solutions.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Our marketing team operates in support of our sales </w:t>
      </w:r>
      <w:r>
        <w:rPr>
          <w:sz w:val="20"/>
          <w:szCs w:val="20"/>
        </w:rPr>
        <w:t xml:space="preserve">force and provides specialized demand generation capabilities for sales efforts, product marketing to align solutions and segments, customer communication and upselling initiatives, and drives a national tradeshow strategy to showcase our brand. Our sales </w:t>
      </w:r>
      <w:r>
        <w:rPr>
          <w:sz w:val="20"/>
          <w:szCs w:val="20"/>
        </w:rPr>
        <w:t>approach is consultative in nature for most of our offerings, which generally includes an analysis based on a prospective client’s needs, crafting service proposals, and negotiating contracts that culminate in the commencement of services.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go-to-mark</w:t>
      </w:r>
      <w:r>
        <w:rPr>
          <w:sz w:val="20"/>
          <w:szCs w:val="20"/>
        </w:rPr>
        <w:t>et strategy is designed to meet our customers’ needs. Our vast array of products and services allow us to craft solutions that can meet our customers’ unique needs within a specific product category, client segment, or both.</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Growth through Partnerships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In addition to our direct sales force, we maintain business relationships with third parties that utilize, promote, or support our sales or services within specific industries or geographic regions. Some of these partners are customers through CareCloud F</w:t>
      </w:r>
      <w:r>
        <w:rPr>
          <w:sz w:val="20"/>
          <w:szCs w:val="20"/>
        </w:rPr>
        <w:t>orce and others are more traditional channel partners who help promote our solutions. We believe we can further accelerate organic growth through industry participants, whereby we utilize them as channel partners to offer integrated solutions to their clie</w:t>
      </w:r>
      <w:r>
        <w:rPr>
          <w:sz w:val="20"/>
          <w:szCs w:val="20"/>
        </w:rPr>
        <w:t>nts. We have entered into such engagements with industry participants, and developed application interfaces with numerous EHR systems, together with device and lab integration to support these relationships.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 xml:space="preserve">Growth </w:t>
      </w:r>
      <w:r>
        <w:rPr>
          <w:b/>
          <w:bCs/>
          <w:i/>
          <w:iCs/>
          <w:sz w:val="20"/>
          <w:szCs w:val="20"/>
        </w:rPr>
        <w:t>through Acquisitions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Healthcare IT industry is highly fragmented, with many local and regional RCM companies serving small medical practices and hospitals. We believe that the industry is ripe for consolidation and that we can achieve significant gro</w:t>
      </w:r>
      <w:r>
        <w:rPr>
          <w:sz w:val="20"/>
          <w:szCs w:val="20"/>
        </w:rPr>
        <w:t>wth through acquisitions. We further believe that it is becoming increasingly difficult for traditional RCM companies, together with a variety of other healthcare industry vendors and healthcare IT companies, to meet the growing technology and business ser</w:t>
      </w:r>
      <w:r>
        <w:rPr>
          <w:sz w:val="20"/>
          <w:szCs w:val="20"/>
        </w:rPr>
        <w:t>vice needs of healthcare providers without a significant investment in an information technology infrastructure and the utilization of a talented, cost-efficient global team. Since the Company went public in July 2014, we have completed 17 transactions, ac</w:t>
      </w:r>
      <w:r>
        <w:rPr>
          <w:sz w:val="20"/>
          <w:szCs w:val="20"/>
        </w:rPr>
        <w:t>quiring complementary assets to grow our business. We typically leverage our technology and our cost-effective offshore team to quickly deliver additional value to the newly acquired customer base, while reducing costs. Often, we will incur initial costs a</w:t>
      </w:r>
      <w:r>
        <w:rPr>
          <w:sz w:val="20"/>
          <w:szCs w:val="20"/>
        </w:rPr>
        <w:t>ssociated with the integration of the acquired business with our existing operations, but this early investment is designed to increase customer satisfaction and retention, while laying the foundation for long-term accretion.</w:t>
      </w:r>
    </w:p>
    <w:p w:rsidR="00000000" w:rsidRDefault="003A6737">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74614880"/>
        </w:trPr>
        <w:tc>
          <w:tcPr>
            <w:tcW w:w="5000" w:type="pct"/>
            <w:hideMark/>
          </w:tcPr>
          <w:p w:rsidR="00000000" w:rsidRDefault="003A6737">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rPr>
          <w:sz w:val="20"/>
          <w:szCs w:val="20"/>
        </w:rPr>
      </w:pPr>
      <w:r>
        <w:rPr>
          <w:b/>
          <w:bCs/>
          <w:sz w:val="20"/>
          <w:szCs w:val="20"/>
        </w:rPr>
        <w:t>Competition</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market for RCM, practice management, EHR solutions, and related services is highly competitive, and we expect competition to increase in the future. We face competition from other providers of both integrated and stand-alone RCM providers, practice managem</w:t>
      </w:r>
      <w:r>
        <w:rPr>
          <w:sz w:val="20"/>
          <w:szCs w:val="20"/>
        </w:rPr>
        <w:t>ent, and EHR solutions, including competitors who utilize a web-based platform and providers of locally installed software systems.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Many of our competitors have longer operating histories, greater brand recognition and greater financial marketing. We als</w:t>
      </w:r>
      <w:r>
        <w:rPr>
          <w:sz w:val="20"/>
          <w:szCs w:val="20"/>
        </w:rPr>
        <w:t>o compete with various regional RCM companies, some of which may continue to consolidate and expand into broader markets. We expect that competition will continue to increase as a result of incentives provided by various governmental initiatives, and conso</w:t>
      </w:r>
      <w:r>
        <w:rPr>
          <w:sz w:val="20"/>
          <w:szCs w:val="20"/>
        </w:rPr>
        <w:t>lidation in both the information technology and healthcare industries. In addition, our competitive edge could be diminished or completely lost if our competition develops similar offshore operations in Pakistan or other countries, such as India and the Ph</w:t>
      </w:r>
      <w:r>
        <w:rPr>
          <w:sz w:val="20"/>
          <w:szCs w:val="20"/>
        </w:rPr>
        <w:t>ilippines, where labor costs are lower than those in the U.S. (although higher than in Pakistan). Pricing pressures could negatively impact our margins, growth rate and market share.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We believe we have a competitive advantage, as we are able to deliver o</w:t>
      </w:r>
      <w:r>
        <w:rPr>
          <w:sz w:val="20"/>
          <w:szCs w:val="20"/>
        </w:rPr>
        <w:t>ur industry-leading solutions at competitive prices because we leverage a combination of our proprietary software, which automates our workflows and increases efficiency, together with a global team that includes more than 400 experienced health industry e</w:t>
      </w:r>
      <w:r>
        <w:rPr>
          <w:sz w:val="20"/>
          <w:szCs w:val="20"/>
        </w:rPr>
        <w:t>xperts onshore. These experts are supported by our highly educated and specialized offshore workforce of approximately 3,600 team members at labor costs that we believe are approximately one-tenth the cost of comparable U.S. employees.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unique busines</w:t>
      </w:r>
      <w:r>
        <w:rPr>
          <w:sz w:val="20"/>
          <w:szCs w:val="20"/>
        </w:rPr>
        <w:t>s model has allowed us to become a leading consolidator in our industry sector, gaining us a reputation for acquiring and positively transforming distressed competitors into profitable operations of CareCloud.</w:t>
      </w:r>
    </w:p>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rPr>
          <w:sz w:val="20"/>
          <w:szCs w:val="20"/>
        </w:rPr>
      </w:pPr>
      <w:r>
        <w:rPr>
          <w:b/>
          <w:bCs/>
          <w:sz w:val="20"/>
          <w:szCs w:val="20"/>
        </w:rPr>
        <w:t>Employees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Including </w:t>
      </w:r>
      <w:r>
        <w:rPr>
          <w:sz w:val="20"/>
          <w:szCs w:val="20"/>
        </w:rPr>
        <w:t xml:space="preserve">the employees of our subsidiaries, as of December 2022, the Company employed approximately 4,150 people worldwide on a full-time basis. Approximately 72% of our employees are focused on service and client delivery functions, approximately 12% are assigned </w:t>
      </w:r>
      <w:r>
        <w:rPr>
          <w:sz w:val="20"/>
          <w:szCs w:val="20"/>
        </w:rPr>
        <w:t>to research and development, and approximately 1.4% are engaged in sales and marketing. The balance of the employees are classified as general and administrative, which includes support staff to maintain our offshore offices, a function that many businesse</w:t>
      </w:r>
      <w:r>
        <w:rPr>
          <w:sz w:val="20"/>
          <w:szCs w:val="20"/>
        </w:rPr>
        <w:t>s in other geographies might choose to outsource. We also utilize the services of a small number of part-time employees. In addition, all officers of the Company work on a full-time basis. Over the next twelve months, we anticipate increasing our total num</w:t>
      </w:r>
      <w:r>
        <w:rPr>
          <w:sz w:val="20"/>
          <w:szCs w:val="20"/>
        </w:rPr>
        <w:t>ber of employees only if our revenues increase, our operating requirements warrant such hiring, or we are hiring for specific functions where we place additional emphasis, such as marketing and sales.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sz w:val="20"/>
          <w:szCs w:val="20"/>
        </w:rPr>
        <w:t>Voting Rights of Our Directors, Executive Officers, a</w:t>
      </w:r>
      <w:r>
        <w:rPr>
          <w:b/>
          <w:bCs/>
          <w:sz w:val="20"/>
          <w:szCs w:val="20"/>
        </w:rPr>
        <w:t>nd Principal Stockholders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As of December 31, 2022, approximately 35% of both the shares of our common stock and voting power of our common stock are held by our directors and executive officers. Therefore, they have the ability to control the outcome of </w:t>
      </w:r>
      <w:r>
        <w:rPr>
          <w:sz w:val="20"/>
          <w:szCs w:val="20"/>
        </w:rPr>
        <w:t>matters submitted to our stockholders for approval, including the election of our directors, as well as the overall management and direction of our Company.</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sz w:val="20"/>
          <w:szCs w:val="20"/>
        </w:rPr>
        <w:t>Corporate Information</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We were incorporated in Delaware on September 28, 2001, under the name Me</w:t>
      </w:r>
      <w:r>
        <w:rPr>
          <w:sz w:val="20"/>
          <w:szCs w:val="20"/>
        </w:rPr>
        <w:t>dical Transcription Billing, Corp., and legally changed our name to MTBC, Inc. in February 2019. On March 29, 2021, we legally changed the name of the Company to CareCloud, Inc. Our principal executive offices are located at 7 Clyde Road, Somerset, New Jer</w:t>
      </w:r>
      <w:r>
        <w:rPr>
          <w:sz w:val="20"/>
          <w:szCs w:val="20"/>
        </w:rPr>
        <w:t>sey 08873, and our telephone number is (732) 873-5133. Our website address is www.CareCloud.com. Information contained on, or that can be accessed through, our website is not incorporated by reference into this Annual Report on Form 10-K, and you should no</w:t>
      </w:r>
      <w:r>
        <w:rPr>
          <w:sz w:val="20"/>
          <w:szCs w:val="20"/>
        </w:rPr>
        <w:t>t consider information on our website to be part of this document.</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CareCloud.com, CareCloud, MTBC, A Unique Healthcare IT Company, and other trademarks and service marks of CareCloud appearing in this Annual Report on Form 10-K are the property of CareCl</w:t>
      </w:r>
      <w:r>
        <w:rPr>
          <w:sz w:val="20"/>
          <w:szCs w:val="20"/>
        </w:rPr>
        <w:t>oud. Trade names, trademarks and service marks of other companies appearing in this Annual Report on Form 10-K are the property of their respective holders.</w:t>
      </w:r>
    </w:p>
    <w:p w:rsidR="00000000" w:rsidRDefault="003A673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41955032"/>
        </w:trPr>
        <w:tc>
          <w:tcPr>
            <w:tcW w:w="5000" w:type="pct"/>
            <w:hideMark/>
          </w:tcPr>
          <w:p w:rsidR="00000000" w:rsidRDefault="003A6737">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 xml:space="preserve">are a smaller reporting company. As a smaller reporting company, we may take advantage of specified reduced reporting requirements and are relieved of certain other significant requirements that are otherwise generally applicable to public companies. As a </w:t>
      </w:r>
      <w:r>
        <w:rPr>
          <w:sz w:val="20"/>
          <w:szCs w:val="20"/>
        </w:rPr>
        <w:t>smaller reporting company, we have reduced disclosure obligations regarding executive compensation in our Annual Report, periodic reports and proxy statements and providing only two years of audited financial statements in our Annual Report and our periodi</w:t>
      </w:r>
      <w:r>
        <w:rPr>
          <w:sz w:val="20"/>
          <w:szCs w:val="20"/>
        </w:rPr>
        <w:t>c reports. This year the Company is not required to comply with the auditor attestation requirements of Section 404 of the Sarbanes-Oxley Act of 2002, as amended. Effective with this Form 10-K, the Company is now a non-accelerated filer.</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sz w:val="20"/>
          <w:szCs w:val="20"/>
        </w:rPr>
        <w:t>Where You Can Fi</w:t>
      </w:r>
      <w:r>
        <w:rPr>
          <w:b/>
          <w:bCs/>
          <w:sz w:val="20"/>
          <w:szCs w:val="20"/>
        </w:rPr>
        <w:t>nd More Information</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Our website, which we use to communicate important business information, can be accessed at: www.CareCloud.com. We make our Annual Reports on Form 10-K, quarterly reports on Form 10-Q, current reports on Form 8-K and all amendments to</w:t>
      </w:r>
      <w:r>
        <w:rPr>
          <w:sz w:val="20"/>
          <w:szCs w:val="20"/>
        </w:rPr>
        <w:t xml:space="preserve"> those reports available free of charge on or through our website as soon as reasonably practicable after such material is electronically filed with or furnished to the Securities and Exchange Commission (“SEC”). Materials we file with or furnish to the SE</w:t>
      </w:r>
      <w:r>
        <w:rPr>
          <w:sz w:val="20"/>
          <w:szCs w:val="20"/>
        </w:rPr>
        <w:t>C may also be read and copied at the SEC’s Public Reference Room at 100 F Street, NE, Washington, D.C. 20549. Information on the operation of the Public Reference Room may be obtained by calling the SEC at 1-800-SEC-0330. Also, the SEC’s website (www.sec.g</w:t>
      </w:r>
      <w:r>
        <w:rPr>
          <w:sz w:val="20"/>
          <w:szCs w:val="20"/>
        </w:rPr>
        <w:t>ov) contains reports, proxy and information statements, and other information that we file electronically with the SEC.</w:t>
      </w:r>
    </w:p>
    <w:p w:rsidR="00000000" w:rsidRDefault="003A6737">
      <w:pPr>
        <w:pStyle w:val="a3"/>
        <w:spacing w:before="0" w:beforeAutospacing="0" w:after="0" w:afterAutospacing="0"/>
        <w:rPr>
          <w:b/>
          <w:bCs/>
          <w:sz w:val="20"/>
          <w:szCs w:val="20"/>
        </w:rPr>
      </w:pPr>
      <w:r>
        <w:rPr>
          <w:b/>
          <w:bCs/>
          <w:sz w:val="20"/>
          <w:szCs w:val="20"/>
        </w:rPr>
        <w:t> </w:t>
      </w:r>
    </w:p>
    <w:p w:rsidR="00000000" w:rsidRDefault="003A6737">
      <w:pPr>
        <w:pStyle w:val="a3"/>
        <w:spacing w:before="0" w:beforeAutospacing="0" w:after="0" w:afterAutospacing="0"/>
        <w:rPr>
          <w:b/>
          <w:bCs/>
          <w:sz w:val="20"/>
          <w:szCs w:val="20"/>
        </w:rPr>
      </w:pPr>
      <w:r>
        <w:rPr>
          <w:b/>
          <w:bCs/>
          <w:sz w:val="20"/>
          <w:szCs w:val="20"/>
        </w:rPr>
        <w:t>Item 1A. Risk Factors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sz w:val="20"/>
          <w:szCs w:val="20"/>
        </w:rPr>
        <w:t>Risks Related to Our Business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We operate in a highly competitive industry, and our competitors may be able t</w:t>
      </w:r>
      <w:r>
        <w:rPr>
          <w:b/>
          <w:bCs/>
          <w:i/>
          <w:iCs/>
          <w:sz w:val="20"/>
          <w:szCs w:val="20"/>
        </w:rPr>
        <w:t>o compete more efficiently or evolve more rapidly than we do, which could have a material adverse effect on our business, revenue, growth rates and market share.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market for revenue cycle management and healthcare IT solutions is highly competitive, a</w:t>
      </w:r>
      <w:r>
        <w:rPr>
          <w:sz w:val="20"/>
          <w:szCs w:val="20"/>
        </w:rPr>
        <w:t>nd we expect competition to increase in the future. We face competition from other providers of both integrated and stand-alone practice management, EHR and RCM solutions, including competitors who utilize a web-based platform and providers of locally inst</w:t>
      </w:r>
      <w:r>
        <w:rPr>
          <w:sz w:val="20"/>
          <w:szCs w:val="20"/>
        </w:rPr>
        <w:t xml:space="preserve">alled software systems. Our competitors include larger healthcare IT companies, such as athenahealth, Inc., eClinicalWorks, Greenway Medical Technologies, Inc., NextGen, RI RCM and Veradigm, all of which may be able to respond more quickly and effectively </w:t>
      </w:r>
      <w:r>
        <w:rPr>
          <w:sz w:val="20"/>
          <w:szCs w:val="20"/>
        </w:rPr>
        <w:t>than we can to new or changing opportunities, technologies, standards, regulations or customer needs and requirements. Many of our competitors have longer operating histories, greater brand recognition and greater financial marketing and other resources th</w:t>
      </w:r>
      <w:r>
        <w:rPr>
          <w:sz w:val="20"/>
          <w:szCs w:val="20"/>
        </w:rPr>
        <w:t>an us. We also compete with various regional RCM companies, some of which may continue to consolidate and expand into broader markets. We expect that competition will continue to increase as a result of incentives provided by the Health Information Technol</w:t>
      </w:r>
      <w:r>
        <w:rPr>
          <w:sz w:val="20"/>
          <w:szCs w:val="20"/>
        </w:rPr>
        <w:t>ogy for Economic and Clinical Health (“HITECH”) Act, and consolidation in both the information technology and healthcare industries. Competitors may introduce products or services that render our products or services obsolete or less marketable. Even if ou</w:t>
      </w:r>
      <w:r>
        <w:rPr>
          <w:sz w:val="20"/>
          <w:szCs w:val="20"/>
        </w:rPr>
        <w:t>r products and services are more effective than the offerings of our competitors, current or potential customers might prefer competitive products or services to our products and services. In addition, our competitive edge could be diminished or completely</w:t>
      </w:r>
      <w:r>
        <w:rPr>
          <w:sz w:val="20"/>
          <w:szCs w:val="20"/>
        </w:rPr>
        <w:t xml:space="preserve"> lost if our competition develops similar offshore operations in Pakistan or other countries, such as India and the Philippines, where labor costs are lower than those in the U.S. (although higher than in Pakistan). Pricing pressures could negatively impac</w:t>
      </w:r>
      <w:r>
        <w:rPr>
          <w:sz w:val="20"/>
          <w:szCs w:val="20"/>
        </w:rPr>
        <w:t>t our margins, growth rate and market share.</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i/>
          <w:iCs/>
          <w:sz w:val="20"/>
          <w:szCs w:val="20"/>
        </w:rPr>
        <w:t>If we are unable to successfully introduce new products or services or fail to keep pace with advances in technology, we would not be able to maintain our customers or grow our business, which will have a mate</w:t>
      </w:r>
      <w:r>
        <w:rPr>
          <w:b/>
          <w:bCs/>
          <w:i/>
          <w:iCs/>
          <w:sz w:val="20"/>
          <w:szCs w:val="20"/>
        </w:rPr>
        <w:t>rial adverse effect on our business.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business depends on our ability to adapt to evolving technologies and industry standards and upgrade existing and introduce new products and services accordingly. If we cannot adapt to changing technologies and in</w:t>
      </w:r>
      <w:r>
        <w:rPr>
          <w:sz w:val="20"/>
          <w:szCs w:val="20"/>
        </w:rPr>
        <w:t>dustry standards, including changing requirements of third-party applications and software and meet the requirements of our customers, our products and services may become obsolete, and our business would suffer significantly. Because both the healthcare i</w:t>
      </w:r>
      <w:r>
        <w:rPr>
          <w:sz w:val="20"/>
          <w:szCs w:val="20"/>
        </w:rPr>
        <w:t>ndustry and the healthcare IT technology market are constantly evolving, our success will depend, in part, on our ability to continue to enhance our existing products and services, develop new technology that addresses the increasingly sophisticated and va</w:t>
      </w:r>
      <w:r>
        <w:rPr>
          <w:sz w:val="20"/>
          <w:szCs w:val="20"/>
        </w:rPr>
        <w:t>ried needs of our customers, respond to technological advances and emerging industry standards and practices on a timely and cost-effective basis, educate our customers to adopt these new technologies, and successfully assist them in transitioning to our n</w:t>
      </w:r>
      <w:r>
        <w:rPr>
          <w:sz w:val="20"/>
          <w:szCs w:val="20"/>
        </w:rPr>
        <w:t>ew products and services. The development of our proprietary technology entails significant technical and business risks. We may not be successful in developing, using, marketing, selling, or maintaining new technologies effectively or adapting our proprie</w:t>
      </w:r>
      <w:r>
        <w:rPr>
          <w:sz w:val="20"/>
          <w:szCs w:val="20"/>
        </w:rPr>
        <w:t>tary technology to evolving customer requirements, emerging industry standards or changing third party applications, and, as a result, our business and reputation could materially suffer. We may not be able to introduce new products or services on schedule</w:t>
      </w:r>
      <w:r>
        <w:rPr>
          <w:sz w:val="20"/>
          <w:szCs w:val="20"/>
        </w:rPr>
        <w:t>, or at all, or such products or services may not achieve market acceptance or existing products or services may cease to function properly. A failure by us to timely adapt to ever changing technologies or our failure to regularly upgrade existing or intro</w:t>
      </w:r>
      <w:r>
        <w:rPr>
          <w:sz w:val="20"/>
          <w:szCs w:val="20"/>
        </w:rPr>
        <w:t>duce new products or to introduce these products on schedule could cause us to not only lose our current customers but also fail to attract new customers.</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79563595"/>
        </w:trPr>
        <w:tc>
          <w:tcPr>
            <w:tcW w:w="5000" w:type="pct"/>
            <w:hideMark/>
          </w:tcPr>
          <w:p w:rsidR="00000000" w:rsidRDefault="003A6737">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i/>
          <w:iCs/>
          <w:sz w:val="20"/>
          <w:szCs w:val="20"/>
        </w:rPr>
        <w:t xml:space="preserve">The </w:t>
      </w:r>
      <w:r>
        <w:rPr>
          <w:b/>
          <w:bCs/>
          <w:i/>
          <w:iCs/>
          <w:sz w:val="20"/>
          <w:szCs w:val="20"/>
        </w:rPr>
        <w:t>continued success of our business model is heavily dependent upon our offshore operations, and any disruption to those operations will adversely affect us.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majority of our operations, including the development and maintenance of our web-based platfor</w:t>
      </w:r>
      <w:r>
        <w:rPr>
          <w:sz w:val="20"/>
          <w:szCs w:val="20"/>
        </w:rPr>
        <w:t>m, our customer support services and medical billing activities, are performed by our highly educated workforce of approximately 3,600 employees in our Offshore Offices. Approximately 99% of our offshore employees are in our Pakistan Offices and our remain</w:t>
      </w:r>
      <w:r>
        <w:rPr>
          <w:sz w:val="20"/>
          <w:szCs w:val="20"/>
        </w:rPr>
        <w:t xml:space="preserve">ing employees are located at our smaller offshore operation center in Sri Lanka. The performance of our operations in our Pakistan Offices, and our ability to maintain our Offshore Offices, is an essential element of our business model, as the labor costs </w:t>
      </w:r>
      <w:r>
        <w:rPr>
          <w:sz w:val="20"/>
          <w:szCs w:val="20"/>
        </w:rPr>
        <w:t>where our Pakistan Offices are located are substantially lower than the cost of comparable labor in India, the United States and other countries, and allows us to competitively price our products and services. Our competitive advantage will be greatly dimi</w:t>
      </w:r>
      <w:r>
        <w:rPr>
          <w:sz w:val="20"/>
          <w:szCs w:val="20"/>
        </w:rPr>
        <w:t>nished and may disappear altogether if our operations in our Pakistan Offices are negatively impacted.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Pakistan and Sri Lanka have in the past experienced and could in the future continue to experience periods of political and social unrest, war and acts</w:t>
      </w:r>
      <w:r>
        <w:rPr>
          <w:sz w:val="20"/>
          <w:szCs w:val="20"/>
        </w:rPr>
        <w:t xml:space="preserve"> of terrorism. Our operations in our offshore locations may be negatively impacted by these and a number of other factors, including currency fluctuations, cost of labor and supplies, power grid and infrastructure issues, vandalism, and changes in local la</w:t>
      </w:r>
      <w:r>
        <w:rPr>
          <w:sz w:val="20"/>
          <w:szCs w:val="20"/>
        </w:rPr>
        <w:t>w, as well as laws within the United States relating to these countries. Client mandates or preferences for onshore service providers may also adversely impact our business model. Our operations in our Offshore Offices may also be affected by trade restric</w:t>
      </w:r>
      <w:r>
        <w:rPr>
          <w:sz w:val="20"/>
          <w:szCs w:val="20"/>
        </w:rPr>
        <w:t>tions, such as tariffs or other trade controls. If we are unable to continue to leverage the skills and experience of our highly educated workforce, particularly in our Pakistan Offices, we may be unable to provide our products and services at attractive p</w:t>
      </w:r>
      <w:r>
        <w:rPr>
          <w:sz w:val="20"/>
          <w:szCs w:val="20"/>
        </w:rPr>
        <w:t>rices, and our business would be materially and negatively impacted or discontinued.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We believe that the labor costs in our Offshore Offices are approximately 14% of the cost of comparably educated and skilled workers in the U.S. If there were potential </w:t>
      </w:r>
      <w:r>
        <w:rPr>
          <w:sz w:val="20"/>
          <w:szCs w:val="20"/>
        </w:rPr>
        <w:t>disruptions in any of these locations, they could have a negative impact on our business.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Our offshore operations expose us to additional business and financial risks which could adversely affect us and subject us to civil and criminal liability.</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r</w:t>
      </w:r>
      <w:r>
        <w:rPr>
          <w:sz w:val="20"/>
          <w:szCs w:val="20"/>
        </w:rPr>
        <w:t xml:space="preserve">isks and challenges associated with our operations outside the United States include laws and business practices favoring local competitors; compliance with multiple, conflicting and changing governmental laws and regulations, including employment and tax </w:t>
      </w:r>
      <w:r>
        <w:rPr>
          <w:sz w:val="20"/>
          <w:szCs w:val="20"/>
        </w:rPr>
        <w:t>laws and regulations; and fluctuations in foreign currency exchange rates. Foreign operations subject us to numerous stringent U.S. and foreign laws, including the Foreign Corrupt Practices Act (“FCPA”), and comparable foreign laws and regulations that pro</w:t>
      </w:r>
      <w:r>
        <w:rPr>
          <w:sz w:val="20"/>
          <w:szCs w:val="20"/>
        </w:rPr>
        <w:t>hibit improper payments or offers of payments to foreign governments and their officials and political parties by U.S. and other business entities for the purpose of obtaining or retaining business. Safeguards we implement to discourage these practices may</w:t>
      </w:r>
      <w:r>
        <w:rPr>
          <w:sz w:val="20"/>
          <w:szCs w:val="20"/>
        </w:rPr>
        <w:t xml:space="preserve"> prove to be less than effective and violations of the FCPA and other laws may result in severe criminal or civil sanctions, or other liabilities or proceedings against us, including class action lawsuits and enforcement actions from the SEC, Department of</w:t>
      </w:r>
      <w:r>
        <w:rPr>
          <w:sz w:val="20"/>
          <w:szCs w:val="20"/>
        </w:rPr>
        <w:t xml:space="preserve"> Justice and overseas regulators.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 xml:space="preserve">We </w:t>
      </w:r>
      <w:r>
        <w:rPr>
          <w:b/>
          <w:bCs/>
          <w:i/>
          <w:iCs/>
          <w:sz w:val="20"/>
          <w:szCs w:val="20"/>
        </w:rPr>
        <w:t xml:space="preserve">may be adversely affected by global climate change or by legal, regulatory, or market responses to such change. </w:t>
      </w:r>
    </w:p>
    <w:p w:rsidR="00000000" w:rsidRDefault="003A6737">
      <w:pPr>
        <w:pStyle w:val="a3"/>
        <w:spacing w:before="0" w:beforeAutospacing="0" w:after="0" w:afterAutospacing="0"/>
        <w:jc w:val="both"/>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long-term effects of climate change are difficult to predict and may be widespread. The impacts may include physical risks (such as severe rains and flooding as a result of climate change that has been experienced in Pakistan), social and human effects (su</w:t>
      </w:r>
      <w:r>
        <w:rPr>
          <w:sz w:val="20"/>
          <w:szCs w:val="20"/>
        </w:rPr>
        <w:t>ch as population dislocations or harm to health and well-being), compliance costs and transition risks (such as regulatory or technology changes), and other adverse effects. The effects could impair, for example, the availability and cost of certain produc</w:t>
      </w:r>
      <w:r>
        <w:rPr>
          <w:sz w:val="20"/>
          <w:szCs w:val="20"/>
        </w:rPr>
        <w:t>ts and energy (including utilities), which in turn may impact our ability to procure goods or services required for the operation of our business at the quantities and levels we require. We may bear losses incurred as a result of, for example, physical dam</w:t>
      </w:r>
      <w:r>
        <w:rPr>
          <w:sz w:val="20"/>
          <w:szCs w:val="20"/>
        </w:rPr>
        <w:t>age to, or destruction of, our facilities (such as our operation centers), and business interruption due to weather events that may be attributable to climate change. These events and impacts could materially adversely affect our business operations, finan</w:t>
      </w:r>
      <w:r>
        <w:rPr>
          <w:sz w:val="20"/>
          <w:szCs w:val="20"/>
        </w:rPr>
        <w:t>cial position, or results of operation.</w:t>
      </w:r>
    </w:p>
    <w:p w:rsidR="00000000" w:rsidRDefault="003A6737">
      <w:pPr>
        <w:pStyle w:val="a3"/>
        <w:spacing w:before="0" w:beforeAutospacing="0" w:after="0" w:afterAutospacing="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36648431"/>
        </w:trPr>
        <w:tc>
          <w:tcPr>
            <w:tcW w:w="5000" w:type="pct"/>
            <w:hideMark/>
          </w:tcPr>
          <w:p w:rsidR="00000000" w:rsidRDefault="003A6737">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b/>
          <w:bCs/>
          <w:i/>
          <w:iCs/>
          <w:sz w:val="20"/>
          <w:szCs w:val="20"/>
        </w:rPr>
        <w:t>Changes in the healthcare industry could affect the demand for our services and may result in a decrease in our revenues and market share.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As the healthcare industry evolves, changes in our customer bas</w:t>
      </w:r>
      <w:r>
        <w:rPr>
          <w:sz w:val="20"/>
          <w:szCs w:val="20"/>
        </w:rPr>
        <w:t>e may reduce the demand for our services, result in the termination of existing contracts, and make it more difficult to negotiate new contracts on terms that are acceptable to us. For example, the current trend toward consolidation of healthcare providers</w:t>
      </w:r>
      <w:r>
        <w:rPr>
          <w:sz w:val="20"/>
          <w:szCs w:val="20"/>
        </w:rPr>
        <w:t xml:space="preserve"> may cause our existing customer contracts to terminate as independent practices are merged into hospital systems or other healthcare organizations. Such larger healthcare organizations may have their own practice management, and EHR and RCM solutions, red</w:t>
      </w:r>
      <w:r>
        <w:rPr>
          <w:sz w:val="20"/>
          <w:szCs w:val="20"/>
        </w:rPr>
        <w:t xml:space="preserve">ucing demand for our services. If this trend continues, we cannot assure you that we will be able to continue to maintain or expand our customer base, negotiate contracts with acceptable terms, or maintain our current pricing structure, which would result </w:t>
      </w:r>
      <w:r>
        <w:rPr>
          <w:sz w:val="20"/>
          <w:szCs w:val="20"/>
        </w:rPr>
        <w:t>in a decrease in our revenues and market share.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If providers do not purchase our products and services or delay in choosing our products or services, we may not be able to grow our business.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business model depends on our ability to sell our product</w:t>
      </w:r>
      <w:r>
        <w:rPr>
          <w:sz w:val="20"/>
          <w:szCs w:val="20"/>
        </w:rPr>
        <w:t xml:space="preserve">s and services. Acceptance of our products and services may require providers to adopt different behavior patterns and new methods of conducting business and exchanging information. Providers may not integrate our products and services into their workflow </w:t>
      </w:r>
      <w:r>
        <w:rPr>
          <w:sz w:val="20"/>
          <w:szCs w:val="20"/>
        </w:rPr>
        <w:t>and may not accept our solutions and services as a replacement for traditional methods of practicing medicine. Providers may also choose to buy our competitors’ products and services instead of ours. Achieving market acceptance for our solutions and servic</w:t>
      </w:r>
      <w:r>
        <w:rPr>
          <w:sz w:val="20"/>
          <w:szCs w:val="20"/>
        </w:rPr>
        <w:t>es will continue to require substantial sales and marketing efforts and the expenditure of significant financial and other resources to create awareness and demand by providers. If providers fail to broadly accept our products and services, our business, f</w:t>
      </w:r>
      <w:r>
        <w:rPr>
          <w:sz w:val="20"/>
          <w:szCs w:val="20"/>
        </w:rPr>
        <w:t>inancial condition and results of operations will be adversely affected.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If the revenues of our customers decrease, or if our customers cancel or elect not to renew their contracts, our revenue will decrease.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Under most of our customer contracts, which</w:t>
      </w:r>
      <w:r>
        <w:rPr>
          <w:sz w:val="20"/>
          <w:szCs w:val="20"/>
        </w:rPr>
        <w:t xml:space="preserve"> include RCM, we base our charges on a percentage of the revenue that our customer collects through the use of our services. Many factors may lead to decreases in customer revenue, including:</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3A6737">
            <w:pPr>
              <w:jc w:val="both"/>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reduction </w:t>
            </w:r>
            <w:r>
              <w:rPr>
                <w:rFonts w:eastAsia="Times New Roman"/>
                <w:sz w:val="20"/>
                <w:szCs w:val="20"/>
              </w:rPr>
              <w:t>of customer revenue as a result of changes to the ACA or fluctuation in medical appointments as COVID-19 evolves;</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a rollback of the expansion of Medicaid or other governmental programs;</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w:t>
            </w:r>
          </w:p>
        </w:tc>
        <w:tc>
          <w:tcPr>
            <w:tcW w:w="0" w:type="auto"/>
            <w:hideMark/>
          </w:tcPr>
          <w:p w:rsidR="00000000" w:rsidRDefault="003A6737">
            <w:pPr>
              <w:pStyle w:val="a3"/>
              <w:spacing w:before="0" w:beforeAutospacing="0" w:after="0" w:afterAutospacing="0"/>
              <w:jc w:val="both"/>
              <w:rPr>
                <w:sz w:val="20"/>
                <w:szCs w:val="20"/>
              </w:rPr>
            </w:pPr>
            <w:r>
              <w:rPr>
                <w:sz w:val="20"/>
                <w:szCs w:val="20"/>
              </w:rPr>
              <w:t>reduction of customer revenue resulting from increased</w:t>
            </w:r>
            <w:r>
              <w:rPr>
                <w:sz w:val="20"/>
                <w:szCs w:val="20"/>
              </w:rPr>
              <w:t xml:space="preserve"> competition or other changes in the marketplace for physician services;</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failure of our customers to adopt or maintain effective business practices;</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actions </w:t>
            </w:r>
            <w:r>
              <w:rPr>
                <w:rFonts w:eastAsia="Times New Roman"/>
                <w:sz w:val="20"/>
                <w:szCs w:val="20"/>
              </w:rPr>
              <w:t>by third-party payers of medical claims to reduce reimbursement;</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government regulations and government or other payer actions or inactions reducing or delaying reimbursement;</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interruption of customer access to our system; and</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our </w:t>
            </w:r>
            <w:r>
              <w:rPr>
                <w:rFonts w:eastAsia="Times New Roman"/>
                <w:sz w:val="20"/>
                <w:szCs w:val="20"/>
              </w:rPr>
              <w:t>failure to provide services in a timely or high-quality manner.</w:t>
            </w:r>
          </w:p>
        </w:tc>
      </w:tr>
    </w:tbl>
    <w:p w:rsidR="00000000" w:rsidRDefault="003A6737">
      <w:pPr>
        <w:pStyle w:val="a3"/>
        <w:spacing w:before="0" w:beforeAutospacing="0" w:after="0" w:afterAutospacing="0"/>
        <w:ind w:left="36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31112417"/>
        </w:trPr>
        <w:tc>
          <w:tcPr>
            <w:tcW w:w="5000" w:type="pct"/>
            <w:hideMark/>
          </w:tcPr>
          <w:p w:rsidR="00000000" w:rsidRDefault="003A6737">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As a result of our variable sales and implementation cycles, we may be unable to recognize revenue from prospective customers on a timely basis and we may not be able to offset ex</w:t>
      </w:r>
      <w:r>
        <w:rPr>
          <w:b/>
          <w:bCs/>
          <w:i/>
          <w:iCs/>
          <w:sz w:val="20"/>
          <w:szCs w:val="20"/>
        </w:rPr>
        <w:t>penditures.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sales cycle for our services can be variable, typically ranging from two to four months from initial contact with a potential customer to contract execution to six to twelve months to rollout services which require each patient to partici</w:t>
      </w:r>
      <w:r>
        <w:rPr>
          <w:sz w:val="20"/>
          <w:szCs w:val="20"/>
        </w:rPr>
        <w:t>pate. During the sales cycle, we expend time and resources in an attempt to obtain a customer without recognizing revenue from that customer to offset such expenditures. Our implementation cycle is also variable, typically ranging from two to four months f</w:t>
      </w:r>
      <w:r>
        <w:rPr>
          <w:sz w:val="20"/>
          <w:szCs w:val="20"/>
        </w:rPr>
        <w:t>rom contract execution to completion of implementation. Each customer’s situation is different, and unanticipated difficulties and delays may arise as a result of a failure by us or by the customer to meet our respective implementation responsibilities. Du</w:t>
      </w:r>
      <w:r>
        <w:rPr>
          <w:sz w:val="20"/>
          <w:szCs w:val="20"/>
        </w:rPr>
        <w:t>ring the implementation cycle, we expend substantial time, effort, and financial resources implementing our services without recognizing revenue. Even following implementation, there can be no assurance that we will recognize revenue on a timely basis or a</w:t>
      </w:r>
      <w:r>
        <w:rPr>
          <w:sz w:val="20"/>
          <w:szCs w:val="20"/>
        </w:rPr>
        <w:t xml:space="preserve">t all from our efforts. In addition, cancellation of any implementation after it has begun may involve loss to us of time, effort, and expenses invested in the canceled implementation process, and lost opportunity for implementing paying customers in that </w:t>
      </w:r>
      <w:r>
        <w:rPr>
          <w:sz w:val="20"/>
          <w:szCs w:val="20"/>
        </w:rPr>
        <w:t>same period of time.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 xml:space="preserve">As a result of the Wayfair decision and changes in various states’ laws, we are required to collect sales and use taxes on certain products and services we sell in certain jurisdictions. We may be subject to liability for past sales </w:t>
      </w:r>
      <w:r>
        <w:rPr>
          <w:b/>
          <w:bCs/>
          <w:i/>
          <w:iCs/>
          <w:sz w:val="20"/>
          <w:szCs w:val="20"/>
        </w:rPr>
        <w:t>and incur additional related costs and expenses, and our future sales may decrease.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We </w:t>
      </w:r>
      <w:r>
        <w:rPr>
          <w:sz w:val="20"/>
          <w:szCs w:val="20"/>
        </w:rPr>
        <w:t xml:space="preserve">may lose sales or incur significant expenses should states be successful in imposing additional state sales and use taxes on our products and services. A successful assertion by one or more states that we should collect sales or other taxes on the sale of </w:t>
      </w:r>
      <w:r>
        <w:rPr>
          <w:sz w:val="20"/>
          <w:szCs w:val="20"/>
        </w:rPr>
        <w:t xml:space="preserve">our products and services that we are currently not collecting could result in substantial tax liabilities for past sales, decrease our ability to compete with healthcare IT vendors not subject to sales and use taxes, and otherwise harm our business. Each </w:t>
      </w:r>
      <w:r>
        <w:rPr>
          <w:sz w:val="20"/>
          <w:szCs w:val="20"/>
        </w:rPr>
        <w:t>state has different rules and regulations governing sales and use taxes, and these rules and regulations are subject to varying interpretations that may change over time. We review these rules and regulations periodically and, when we believe that our prod</w:t>
      </w:r>
      <w:r>
        <w:rPr>
          <w:sz w:val="20"/>
          <w:szCs w:val="20"/>
        </w:rPr>
        <w:t>ucts or services are subject to sales and use taxes in a particular state, we voluntarily approach state tax authorities in order to determine how to comply with their rules and regulations. We cannot assure you that we will not be subject to sales and use</w:t>
      </w:r>
      <w:r>
        <w:rPr>
          <w:sz w:val="20"/>
          <w:szCs w:val="20"/>
        </w:rPr>
        <w:t xml:space="preserve"> taxes or related penalties for past sales in states where we believe no compliance is necessary.</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If the federal government were to impose a tax on imports or services performed abroad, we might be subject to additional liabilities. At this time, there i</w:t>
      </w:r>
      <w:r>
        <w:rPr>
          <w:sz w:val="20"/>
          <w:szCs w:val="20"/>
        </w:rPr>
        <w:t>s no way to predict whether this will occur or estimate the impact on our business.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Vendors of products and services like us are typically held responsible by taxing authorities for the collection and payment of any applicable sales and similar taxes. If</w:t>
      </w:r>
      <w:r>
        <w:rPr>
          <w:sz w:val="20"/>
          <w:szCs w:val="20"/>
        </w:rPr>
        <w:t xml:space="preserve"> one or more taxing authorities determine that taxes should have, but have not, been paid with respect to our products or services, we may be liable for past taxes in addition to taxes going forward. Liability for past taxes may also include very substanti</w:t>
      </w:r>
      <w:r>
        <w:rPr>
          <w:sz w:val="20"/>
          <w:szCs w:val="20"/>
        </w:rPr>
        <w:t>al interest and penalty charges. Nevertheless, customers may be reluctant to pay back taxes and may refuse responsibility for interest or penalties associated with those taxes. If we are required to collect and pay back taxes and the associated interest an</w:t>
      </w:r>
      <w:r>
        <w:rPr>
          <w:sz w:val="20"/>
          <w:szCs w:val="20"/>
        </w:rPr>
        <w:t>d penalties, and if our customers fail or refuse to reimburse us for all or a portion of these amounts, we will have incurred unplanned expenses that may be substantial. Moreover, imposition of such taxes on our products and services going forward will eff</w:t>
      </w:r>
      <w:r>
        <w:rPr>
          <w:sz w:val="20"/>
          <w:szCs w:val="20"/>
        </w:rPr>
        <w:t>ectively increase the cost of those products and services to our customers and may adversely affect our ability to retain existing customers or to gain new customers in the states in which such taxes are imposed.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We may also become subject to tax audits </w:t>
      </w:r>
      <w:r>
        <w:rPr>
          <w:sz w:val="20"/>
          <w:szCs w:val="20"/>
        </w:rPr>
        <w:t>or similar procedures in states where we already pay sales and use taxes. The incurrence of additional accounting and legal costs and related expenses in connection with, and the assessment of, taxes, interest, and penalties as a result of audits, litigati</w:t>
      </w:r>
      <w:r>
        <w:rPr>
          <w:sz w:val="20"/>
          <w:szCs w:val="20"/>
        </w:rPr>
        <w:t>on, or otherwise could be materially adverse to our current and future results of operations and financial condition.</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1114563"/>
        </w:trPr>
        <w:tc>
          <w:tcPr>
            <w:tcW w:w="5000" w:type="pct"/>
            <w:hideMark/>
          </w:tcPr>
          <w:p w:rsidR="00000000" w:rsidRDefault="003A6737">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i/>
          <w:iCs/>
          <w:sz w:val="20"/>
          <w:szCs w:val="20"/>
        </w:rPr>
        <w:t>If we lose the services of Mahmud Haq as Executive Chairman, A. Hadi Chaudhry as Chief Executive Officer and President, or oth</w:t>
      </w:r>
      <w:r>
        <w:rPr>
          <w:b/>
          <w:bCs/>
          <w:i/>
          <w:iCs/>
          <w:sz w:val="20"/>
          <w:szCs w:val="20"/>
        </w:rPr>
        <w:t>er members of our management team, or if we are unable to attract, hire, integrate and retain other necessary employees, our business would be harmed.</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future success depends in part on our ability to attract, hire, integrate and retain the members of</w:t>
      </w:r>
      <w:r>
        <w:rPr>
          <w:sz w:val="20"/>
          <w:szCs w:val="20"/>
        </w:rPr>
        <w:t xml:space="preserve"> our management team and other qualified personnel. In particular, we are dependent on the services of Mahmud Haq, our founder, principal stockholder and Executive Chairman, and A. Hadi Chaudhry, our Chief Executive Officer and President. Mr. Haq is instru</w:t>
      </w:r>
      <w:r>
        <w:rPr>
          <w:sz w:val="20"/>
          <w:szCs w:val="20"/>
        </w:rPr>
        <w:t>mental in managing our offshore operations in our Pakistan Offices and coordinating those operations with our U.S. activities. The loss of Mr. Haq, who would be particularly difficult to replace, could negatively impact our ability to effectively manage ou</w:t>
      </w:r>
      <w:r>
        <w:rPr>
          <w:sz w:val="20"/>
          <w:szCs w:val="20"/>
        </w:rPr>
        <w:t xml:space="preserve">r cost-effective workforce in our Pakistan Offices, which enables us to provide our products and solutions at attractive prices. Our future success also depends on the continued contributions of our other executive officers and certain key employees, each </w:t>
      </w:r>
      <w:r>
        <w:rPr>
          <w:sz w:val="20"/>
          <w:szCs w:val="20"/>
        </w:rPr>
        <w:t xml:space="preserve">of whom may be difficult to replace, and upon our ability to attract and retain additional management personnel. Competition for such personnel is intense, and we compete for qualified personnel with other employers. We may face difficulty identifying and </w:t>
      </w:r>
      <w:r>
        <w:rPr>
          <w:sz w:val="20"/>
          <w:szCs w:val="20"/>
        </w:rPr>
        <w:t>hiring qualified personnel at compensation levels consistent with our existing compensation and salary structure. If we fail to retain our employees, we could incur significant expenses in hiring, integrating and training their replacements, and the qualit</w:t>
      </w:r>
      <w:r>
        <w:rPr>
          <w:sz w:val="20"/>
          <w:szCs w:val="20"/>
        </w:rPr>
        <w:t>y of our services and our ability to serve our customers could diminish, resulting in a material adverse effect on our business.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We may be unable to adequately establish, protect or enforce our patents, trade secrets and other intellectual property right</w:t>
      </w:r>
      <w:r>
        <w:rPr>
          <w:b/>
          <w:bCs/>
          <w:i/>
          <w:iCs/>
          <w:sz w:val="20"/>
          <w:szCs w:val="20"/>
        </w:rPr>
        <w: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Our </w:t>
      </w:r>
      <w:r>
        <w:rPr>
          <w:sz w:val="20"/>
          <w:szCs w:val="20"/>
        </w:rPr>
        <w:t>success depends in part upon our ability to establish, protect and enforce our patents, trade secrets and other intellectual property and proprietary rights. If we fail to establish, protect or enforce these rights, we may lose customers and important adva</w:t>
      </w:r>
      <w:r>
        <w:rPr>
          <w:sz w:val="20"/>
          <w:szCs w:val="20"/>
        </w:rPr>
        <w:t>ntages in the market in which we compete. We rely on a combination of patent, trademark, copyright and trade secret law and contractual obligations to protect our key intellectual property rights, all of which provide only limited protection. Our intellect</w:t>
      </w:r>
      <w:r>
        <w:rPr>
          <w:sz w:val="20"/>
          <w:szCs w:val="20"/>
        </w:rPr>
        <w:t>ual property rights may not be sufficient to help us maintain our position in the market and our competitive advantages.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Trade secrets may not be protectable if not properly kept confidential. We strive to enter into non-disclosure agreements with our em</w:t>
      </w:r>
      <w:r>
        <w:rPr>
          <w:sz w:val="20"/>
          <w:szCs w:val="20"/>
        </w:rPr>
        <w:t>ployees, customers, contractors and business partners to limit access to and disclosure of our proprietary information. However, the steps we have taken may not be sufficient to prevent unauthorized use of our customer information, technology, and adequate</w:t>
      </w:r>
      <w:r>
        <w:rPr>
          <w:sz w:val="20"/>
          <w:szCs w:val="20"/>
        </w:rPr>
        <w:t xml:space="preserve"> remedies may not be available in the event of unauthorized use or disclosure of our trade secrets and proprietary information. Our ability to protect the trade secrets of our acquired companies from disclosure by the former employees of these acquired ent</w:t>
      </w:r>
      <w:r>
        <w:rPr>
          <w:sz w:val="20"/>
          <w:szCs w:val="20"/>
        </w:rPr>
        <w:t>ities may be limited by law in the jurisdiction in which the acquired company and/or former employee resides, and/or where the disclosure occurred, and this leaves us vulnerable to the solicitation of the customers we acquire by former employees of the acq</w:t>
      </w:r>
      <w:r>
        <w:rPr>
          <w:sz w:val="20"/>
          <w:szCs w:val="20"/>
        </w:rPr>
        <w:t>uired business that join our competitors.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Accordingly, despite our efforts, we may be unable to prevent third parties from using our intellectual property for their competitive advantage. Any such use could have a material adverse effect on our business,</w:t>
      </w:r>
      <w:r>
        <w:rPr>
          <w:sz w:val="20"/>
          <w:szCs w:val="20"/>
        </w:rPr>
        <w:t xml:space="preserve"> results of operations and financial condition. Monitoring unauthorized uses of and enforcing our intellectual property rights can be difficult and costly. Legal intellectual property actions are inherently uncertain and may not be successful, and may requ</w:t>
      </w:r>
      <w:r>
        <w:rPr>
          <w:sz w:val="20"/>
          <w:szCs w:val="20"/>
        </w:rPr>
        <w:t>ire a substantial amount of resources and divert our management’s attention.</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Claims by others that we infringe or may infringe on their intellectual property could force us to incur significant costs or revise the way we conduct our business.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compe</w:t>
      </w:r>
      <w:r>
        <w:rPr>
          <w:sz w:val="20"/>
          <w:szCs w:val="20"/>
        </w:rPr>
        <w:t>titors protect their proprietary rights by means of patents, trade secrets, copyrights, trademarks and other intellectual property. We have not conducted an independent review of patents and other intellectual property issued to third parties, who may have</w:t>
      </w:r>
      <w:r>
        <w:rPr>
          <w:sz w:val="20"/>
          <w:szCs w:val="20"/>
        </w:rPr>
        <w:t xml:space="preserve"> patents or patent applications relating to our proprietary technology. We may receive letters from third parties alleging, or inquiring about, possible infringement, misappropriation or violation of their intellectual property rights. Any party asserting </w:t>
      </w:r>
      <w:r>
        <w:rPr>
          <w:sz w:val="20"/>
          <w:szCs w:val="20"/>
        </w:rPr>
        <w:t xml:space="preserve">that we infringe, misappropriate or violate proprietary rights may force us to defend ourselves, and potentially our customers, against the alleged claim. These claims and any resulting lawsuit, if successful, could subject us to significant liability for </w:t>
      </w:r>
      <w:r>
        <w:rPr>
          <w:sz w:val="20"/>
          <w:szCs w:val="20"/>
        </w:rPr>
        <w:t>damages and/or invalidation of our proprietary rights or interruption or cessation of our operations. Any such claims or lawsuit could:</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3A6737">
            <w:pPr>
              <w:rPr>
                <w:rFonts w:eastAsia="Times New Roman"/>
                <w:sz w:val="20"/>
                <w:szCs w:val="20"/>
              </w:rPr>
            </w:pPr>
            <w:r>
              <w:rPr>
                <w:rFonts w:eastAsia="Times New Roman"/>
                <w:sz w:val="20"/>
                <w:szCs w:val="20"/>
              </w:rPr>
              <w:t> </w:t>
            </w: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be time-consuming and expensive to defend, whether meritorious or not;</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require </w:t>
            </w:r>
            <w:r>
              <w:rPr>
                <w:rFonts w:eastAsia="Times New Roman"/>
                <w:sz w:val="20"/>
                <w:szCs w:val="20"/>
              </w:rPr>
              <w:t>us to stop providing products or services that use the technology that allegedly infringes the other party’s intellectual property;</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divert the attention of our technical and managerial resources;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require us to enter into royalty or </w:t>
            </w:r>
            <w:r>
              <w:rPr>
                <w:rFonts w:eastAsia="Times New Roman"/>
                <w:sz w:val="20"/>
                <w:szCs w:val="20"/>
              </w:rPr>
              <w:t>licensing agreements with third-parties, which may not be available on terms that we deem acceptable;</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prevent </w:t>
            </w:r>
            <w:r>
              <w:rPr>
                <w:rFonts w:eastAsia="Times New Roman"/>
                <w:sz w:val="20"/>
                <w:szCs w:val="20"/>
              </w:rPr>
              <w:t>us from operating all or a portion of our business or force us to redesign our products, services or technology platforms, which could be difficult and expensive and may make the performance or value of our product or service offerings less attractive;</w:t>
            </w:r>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55886721"/>
        </w:trPr>
        <w:tc>
          <w:tcPr>
            <w:tcW w:w="5000" w:type="pct"/>
            <w:hideMark/>
          </w:tcPr>
          <w:p w:rsidR="00000000" w:rsidRDefault="003A6737">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3A6737">
            <w:pPr>
              <w:rPr>
                <w:rFonts w:eastAsia="Times New Roman"/>
                <w:sz w:val="20"/>
                <w:szCs w:val="20"/>
              </w:rPr>
            </w:pPr>
            <w:r>
              <w:rPr>
                <w:rFonts w:eastAsia="Times New Roman"/>
                <w:sz w:val="20"/>
                <w:szCs w:val="20"/>
              </w:rPr>
              <w:t> </w:t>
            </w: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rPr>
                <w:rFonts w:eastAsia="Times New Roman"/>
                <w:sz w:val="20"/>
                <w:szCs w:val="20"/>
              </w:rPr>
            </w:pPr>
            <w:r>
              <w:rPr>
                <w:rFonts w:eastAsia="Times New Roman"/>
                <w:sz w:val="20"/>
                <w:szCs w:val="20"/>
              </w:rPr>
              <w:t>subject us to significant liability for damages or result in significant settlement payments; and/or</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rPr>
                <w:rFonts w:eastAsia="Times New Roman"/>
                <w:sz w:val="20"/>
                <w:szCs w:val="20"/>
              </w:rPr>
            </w:pPr>
            <w:r>
              <w:rPr>
                <w:rFonts w:eastAsia="Times New Roman"/>
                <w:sz w:val="20"/>
                <w:szCs w:val="20"/>
              </w:rPr>
              <w:t>require us to indemnify our customers.</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Furthermore, </w:t>
      </w:r>
      <w:r>
        <w:rPr>
          <w:sz w:val="20"/>
          <w:szCs w:val="20"/>
        </w:rPr>
        <w:t>during the course of litigation, confidential information may be disclosed in the form of documents or testimony in connection with discovery requests, depositions or trial testimony. Disclosure of our confidential information and our involvement in intell</w:t>
      </w:r>
      <w:r>
        <w:rPr>
          <w:sz w:val="20"/>
          <w:szCs w:val="20"/>
        </w:rPr>
        <w:t>ectual property litigation could materially adversely affect our business. Some of our competitors may be able to sustain the costs of intellectual property litigation more effectively than we can because they have substantially greater resources. In addit</w:t>
      </w:r>
      <w:r>
        <w:rPr>
          <w:sz w:val="20"/>
          <w:szCs w:val="20"/>
        </w:rPr>
        <w:t>ion, any litigation could significantly harm our relationships with current and prospective customers. Any of the foregoing could disrupt our business and have a material adverse effect on our business, operating results and financial condition.</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In addit</w:t>
      </w:r>
      <w:r>
        <w:rPr>
          <w:sz w:val="20"/>
          <w:szCs w:val="20"/>
        </w:rPr>
        <w:t xml:space="preserve">ion, contentions by a third party such as a vendor or partner that we may pose a threat to their intellectual property can disrupt our ability to work with such party and/or our customers who rely upon that third party’s product or services. Withdrawal of </w:t>
      </w:r>
      <w:r>
        <w:rPr>
          <w:sz w:val="20"/>
          <w:szCs w:val="20"/>
        </w:rPr>
        <w:t>participation by key vendors or partners would cause a disruption of services to our clients and a loss of customers, which could negatively affect our business and financial performance.</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We may be unable to protect, and we may incur significant costs in</w:t>
      </w:r>
      <w:r>
        <w:rPr>
          <w:b/>
          <w:bCs/>
          <w:i/>
          <w:iCs/>
          <w:sz w:val="20"/>
          <w:szCs w:val="20"/>
        </w:rPr>
        <w:t xml:space="preserve"> enforcing, our intellectual property rights. </w:t>
      </w:r>
    </w:p>
    <w:p w:rsidR="00000000" w:rsidRDefault="003A6737">
      <w:pPr>
        <w:pStyle w:val="a3"/>
        <w:spacing w:before="0" w:beforeAutospacing="0" w:after="0" w:afterAutospacing="0"/>
        <w:jc w:val="both"/>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sz w:val="20"/>
          <w:szCs w:val="20"/>
        </w:rPr>
        <w:t>Our patents, trademarks, trade secrets, copyrights, and other intellectual property rights are important assets to us. Various events outside of our control pose a threat to our intellectual property rights,</w:t>
      </w:r>
      <w:r>
        <w:rPr>
          <w:sz w:val="20"/>
          <w:szCs w:val="20"/>
        </w:rPr>
        <w:t xml:space="preserve"> as well as to our products, services, and technologies. For instance, any of our current or future intellectual property rights may be challenged by others or invalidated through administrative process or litigation. Any of our pending or future patent ap</w:t>
      </w:r>
      <w:r>
        <w:rPr>
          <w:sz w:val="20"/>
          <w:szCs w:val="20"/>
        </w:rPr>
        <w:t>plications, whether or not being currently challenged, may not be issued with the scope of the claims we seek, if at all.</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We have taken efforts to protect our proprietary rights, including a combination of license agreements, confidentiality policies and</w:t>
      </w:r>
      <w:r>
        <w:rPr>
          <w:sz w:val="20"/>
          <w:szCs w:val="20"/>
        </w:rPr>
        <w:t xml:space="preserve"> procedures, confidentiality provisions in employment agreements, confidentiality agreements with third parties, and technical security measures, as well as our reliance on copyright, patent, trademark, trade secret and unfair competition laws. These effor</w:t>
      </w:r>
      <w:r>
        <w:rPr>
          <w:sz w:val="20"/>
          <w:szCs w:val="20"/>
        </w:rPr>
        <w:t>ts may not be sufficient or effective. For example, the secrecy of our trade secrets or other confidential information could be compromised by our employees or by third parties, which could cause us to lose the competitive advantage resulting from those tr</w:t>
      </w:r>
      <w:r>
        <w:rPr>
          <w:sz w:val="20"/>
          <w:szCs w:val="20"/>
        </w:rPr>
        <w:t>ade secrets or confidential information. Unauthorized third parties may try to copy or reverse engineer portions of our products or otherwise infringe upon, misappropriate or use our intellectual property. We may not be able to discover or determine the ex</w:t>
      </w:r>
      <w:r>
        <w:rPr>
          <w:sz w:val="20"/>
          <w:szCs w:val="20"/>
        </w:rPr>
        <w:t>tent of any unauthorized use of our proprietary rights. We may also conclude that, in some instances, the benefits of protecting our intellectual property rights may be outweighed by the expense.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In addition, our platforms incorporate “open source” softw</w:t>
      </w:r>
      <w:r>
        <w:rPr>
          <w:sz w:val="20"/>
          <w:szCs w:val="20"/>
        </w:rPr>
        <w:t>are components that are licensed to us under various public domain licenses. Open source license terms are often ambiguous, and there is little or no legal precedent governing the interpretation of many of the terms of certain of these licenses. Therefore,</w:t>
      </w:r>
      <w:r>
        <w:rPr>
          <w:sz w:val="20"/>
          <w:szCs w:val="20"/>
        </w:rPr>
        <w:t xml:space="preserve"> the potential impact of such terms on our business is somewhat unknown. Further, some enterprises may be reluctant or unwilling to use cloud-based services, because they have concerns regarding the risks associated with the security and reliability, among</w:t>
      </w:r>
      <w:r>
        <w:rPr>
          <w:sz w:val="20"/>
          <w:szCs w:val="20"/>
        </w:rPr>
        <w:t xml:space="preserve"> other things, of the technology delivery model associated with these services. If enterprises do not perceive the benefits of our services, then the market for these services may not expand as much or develop as quickly as we expect, either of which would</w:t>
      </w:r>
      <w:r>
        <w:rPr>
          <w:sz w:val="20"/>
          <w:szCs w:val="20"/>
        </w:rPr>
        <w:t xml:space="preserve"> adversely affect our business, financial condition, or operating results.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Legal standards relating to the validity, enforceability and scope of protection of intellectual property rights are uncertain and still evolving. The laws of some foreign countri</w:t>
      </w:r>
      <w:r>
        <w:rPr>
          <w:sz w:val="20"/>
          <w:szCs w:val="20"/>
        </w:rPr>
        <w:t>es may not be as protective of intellectual property rights as those in the United States, and effective intellectual property protection may not be available in every country in which our products and services are distributed.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Any impairment of our inte</w:t>
      </w:r>
      <w:r>
        <w:rPr>
          <w:sz w:val="20"/>
          <w:szCs w:val="20"/>
        </w:rPr>
        <w:t>llectual property rights, or our failure to protect our intellectual property rights adequately, could give our competitors’ access to our technology and could materially and adversely impact our business and operating results. Any increase in the unauthor</w:t>
      </w:r>
      <w:r>
        <w:rPr>
          <w:sz w:val="20"/>
          <w:szCs w:val="20"/>
        </w:rPr>
        <w:t>ized use of our intellectual property could also divert the efforts of our technical and management personnel and result in significant additional expense to us, which could materially and adversely impact our operating results. Finally, we may be required</w:t>
      </w:r>
      <w:r>
        <w:rPr>
          <w:sz w:val="20"/>
          <w:szCs w:val="20"/>
        </w:rPr>
        <w:t xml:space="preserve"> to spend significant resources to monitor and protect our intellectual property rights, including with respect to legal proceedings, which could result in substantial costs and diversion of resources and could materially and adversely impact our business,</w:t>
      </w:r>
      <w:r>
        <w:rPr>
          <w:sz w:val="20"/>
          <w:szCs w:val="20"/>
        </w:rPr>
        <w:t xml:space="preserve"> financial condition and operating results.</w:t>
      </w:r>
    </w:p>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13608263"/>
        </w:trPr>
        <w:tc>
          <w:tcPr>
            <w:tcW w:w="5000" w:type="pct"/>
            <w:hideMark/>
          </w:tcPr>
          <w:p w:rsidR="00000000" w:rsidRDefault="003A6737">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i/>
          <w:iCs/>
          <w:sz w:val="20"/>
          <w:szCs w:val="20"/>
        </w:rPr>
        <w:t xml:space="preserve">Current </w:t>
      </w:r>
      <w:r>
        <w:rPr>
          <w:b/>
          <w:bCs/>
          <w:i/>
          <w:iCs/>
          <w:sz w:val="20"/>
          <w:szCs w:val="20"/>
        </w:rPr>
        <w:t>and future litigation against us could be costly and time-consuming to defend and could result in additional liabilities.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We may from time to time be subject to legal proceedings and claims that arise in the ordinary course of business, such as claims br</w:t>
      </w:r>
      <w:r>
        <w:rPr>
          <w:sz w:val="20"/>
          <w:szCs w:val="20"/>
        </w:rPr>
        <w:t xml:space="preserve">ought by current and former clients in connection with commercial disputes and employment claims made by our current or former employees. Claims may also be asserted by or on behalf of a variety of other parties, including government agencies, patients of </w:t>
      </w:r>
      <w:r>
        <w:rPr>
          <w:sz w:val="20"/>
          <w:szCs w:val="20"/>
        </w:rPr>
        <w:t>our physician clients, stockholders, the sellers of the businesses that we acquire, or the creditors of the businesses we acquire. Any litigation involving us may result in substantial costs and may divert management’s attention and resources, which may se</w:t>
      </w:r>
      <w:r>
        <w:rPr>
          <w:sz w:val="20"/>
          <w:szCs w:val="20"/>
        </w:rPr>
        <w:t xml:space="preserve">riously harm our business, overall financial condition, and operating results. Insurance may not cover existing or future claims, be sufficient to fully compensate us for one or more of such claims, or continue to be available on terms acceptable to us. A </w:t>
      </w:r>
      <w:r>
        <w:rPr>
          <w:sz w:val="20"/>
          <w:szCs w:val="20"/>
        </w:rPr>
        <w:t>claim brought against us that is uninsured or underinsured could result in unanticipated costs, thereby reducing our operating results and leading analysts or potential investors to reduce their expectations of our performance resulting in a reduction in t</w:t>
      </w:r>
      <w:r>
        <w:rPr>
          <w:sz w:val="20"/>
          <w:szCs w:val="20"/>
        </w:rPr>
        <w:t>he trading price of our stock.</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Our proprietary software or service delivery platform may not operate properly, which could damage our reputation, give rise to claims against us, or divert application of our resources from other purposes, any of which cou</w:t>
      </w:r>
      <w:r>
        <w:rPr>
          <w:b/>
          <w:bCs/>
          <w:i/>
          <w:iCs/>
          <w:sz w:val="20"/>
          <w:szCs w:val="20"/>
        </w:rPr>
        <w:t>ld harm our business and operating results.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We may encounter human or technical obstacles that prevent our proprietary or acquired applications from operating properly. If our applications do not function reliably or fail to achieve customer expectations</w:t>
      </w:r>
      <w:r>
        <w:rPr>
          <w:sz w:val="20"/>
          <w:szCs w:val="20"/>
        </w:rPr>
        <w:t xml:space="preserve"> in terms of performance, customers could assert liability claims against us or attempt to cancel their contracts with us. This could damage our reputation and impair our ability to attract or maintain customers.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There are particular risks when we inheri</w:t>
      </w:r>
      <w:r>
        <w:rPr>
          <w:sz w:val="20"/>
          <w:szCs w:val="20"/>
        </w:rPr>
        <w:t>t technologies through the companies we acquire. These technologies, often developed by distressed companies, were not created under our direct supervision and control and therefore may not have been developed in accordance with our standards. Such acquire</w:t>
      </w:r>
      <w:r>
        <w:rPr>
          <w:sz w:val="20"/>
          <w:szCs w:val="20"/>
        </w:rPr>
        <w:t>d technologies could, and at times do, contain operational deficiencies, defects, glitches or bugs that may not be discovered immediately or otherwise could have been avoided had we built the technology ourselves. Whether technology we develop or technolog</w:t>
      </w:r>
      <w:r>
        <w:rPr>
          <w:sz w:val="20"/>
          <w:szCs w:val="20"/>
        </w:rPr>
        <w:t>y we acquire, we will need to replace certain components and remediate software defects or bugs from time to time. There can be no assurance that such defects or bugs, or the process of remediating them, will not have a material impact on our business. Our</w:t>
      </w:r>
      <w:r>
        <w:rPr>
          <w:sz w:val="20"/>
          <w:szCs w:val="20"/>
        </w:rPr>
        <w:t xml:space="preserve"> inability to promptly and cost-effectively correct a product defect could result in the Company having to withdraw an important product from market, damage to our reputation, and result in material costs and expenses, any of which could have a material im</w:t>
      </w:r>
      <w:r>
        <w:rPr>
          <w:sz w:val="20"/>
          <w:szCs w:val="20"/>
        </w:rPr>
        <w:t>pact on our revenue, margins, and operating results.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Moreover, information services as complex as those we offer have in the past contained, and may in the future develop or contain, undetected defects or errors. We cannot assure you that material perfor</w:t>
      </w:r>
      <w:r>
        <w:rPr>
          <w:sz w:val="20"/>
          <w:szCs w:val="20"/>
        </w:rPr>
        <w:t>mance problems or defects in our products or services will not arise in the future. Errors may result from receipt, entry, or interpretation of patient information or from interface of our services with legacy systems and data that we did not develop and t</w:t>
      </w:r>
      <w:r>
        <w:rPr>
          <w:sz w:val="20"/>
          <w:szCs w:val="20"/>
        </w:rPr>
        <w:t xml:space="preserve">he function of which is outside of our control. Despite testing, defects or errors may arise in our existing or new software or service processes. Because changes in payer requirements and practices are frequent and sometimes difficult to determine except </w:t>
      </w:r>
      <w:r>
        <w:rPr>
          <w:sz w:val="20"/>
          <w:szCs w:val="20"/>
        </w:rPr>
        <w:t>through trial and error, we are continuously discovering defects and errors in our software and service processes compared against these requirements and practices. These defects and errors and any failure by us to identify and address them could result in</w:t>
      </w:r>
      <w:r>
        <w:rPr>
          <w:sz w:val="20"/>
          <w:szCs w:val="20"/>
        </w:rPr>
        <w:t xml:space="preserve"> loss of revenue or market share, liability to customers or others, failure to achieve market acceptance or expansion, diversion of development resources, injury to our reputation, and increased service and maintenance costs. Defects or errors in our softw</w:t>
      </w:r>
      <w:r>
        <w:rPr>
          <w:sz w:val="20"/>
          <w:szCs w:val="20"/>
        </w:rPr>
        <w:t>are might discourage existing or potential customers from purchasing our products and services. Correction of defects or errors could prove to be impossible or impracticable. The costs incurred in correcting any defects or errors or in responding to result</w:t>
      </w:r>
      <w:r>
        <w:rPr>
          <w:sz w:val="20"/>
          <w:szCs w:val="20"/>
        </w:rPr>
        <w:t>ing claims or liability may be substantial and could adversely affect our operating results.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In addition, customers relying on our services to collect, manage, and report clinical, business, and administrative data may have a greater sensitivity to servi</w:t>
      </w:r>
      <w:r>
        <w:rPr>
          <w:sz w:val="20"/>
          <w:szCs w:val="20"/>
        </w:rPr>
        <w:t>ce errors and security vulnerabilities than customers of software products in general. We market and sell services that, among other things, provide information to assist healthcare providers in tracking and treating patients. Any operational delay in or f</w:t>
      </w:r>
      <w:r>
        <w:rPr>
          <w:sz w:val="20"/>
          <w:szCs w:val="20"/>
        </w:rPr>
        <w:t>ailure of our technology or service processes may result in the disruption of patient care and could cause harm to patients and thereby create unforeseen liabilities for our business.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Our </w:t>
      </w:r>
      <w:r>
        <w:rPr>
          <w:sz w:val="20"/>
          <w:szCs w:val="20"/>
        </w:rPr>
        <w:t>customers or their patients may assert claims against us alleging that they suffered damages due to a defect, error, or other failure of our software or service processes. A product liability claim or errors or omissions claim could subject us to significa</w:t>
      </w:r>
      <w:r>
        <w:rPr>
          <w:sz w:val="20"/>
          <w:szCs w:val="20"/>
        </w:rPr>
        <w:t>nt legal defense costs and adverse publicity, regardless of the merits or eventual outcome of such a claim. Our physicians have relied on our platforms (including the platform we acquired) as being certified by the Office of the National Coordinator for He</w:t>
      </w:r>
      <w:r>
        <w:rPr>
          <w:sz w:val="20"/>
          <w:szCs w:val="20"/>
        </w:rPr>
        <w:t>alth Information Technology (“ONC”). If this certification were to be challenged, we might face liability related to any incentive that the physicians received in reliance upon such certification.</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38333496"/>
        </w:trPr>
        <w:tc>
          <w:tcPr>
            <w:tcW w:w="5000" w:type="pct"/>
            <w:hideMark/>
          </w:tcPr>
          <w:p w:rsidR="00000000" w:rsidRDefault="003A6737">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If our security measures are breached or fail a</w:t>
      </w:r>
      <w:r>
        <w:rPr>
          <w:b/>
          <w:bCs/>
          <w:i/>
          <w:iCs/>
          <w:sz w:val="20"/>
          <w:szCs w:val="20"/>
        </w:rPr>
        <w:t>nd unauthorized access is obtained to a customer’s data, our service may not be perceived as secure, the attractiveness of our services to current or potential customers may be reduced, and we may incur significant liabilities.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services involve the w</w:t>
      </w:r>
      <w:r>
        <w:rPr>
          <w:sz w:val="20"/>
          <w:szCs w:val="20"/>
        </w:rPr>
        <w:t>eb-based storage and transmission of customers’ proprietary information and patient information, including health, financial, payment and other personal or confidential information. We rely on proprietary and commercially available systems, software, tools</w:t>
      </w:r>
      <w:r>
        <w:rPr>
          <w:sz w:val="20"/>
          <w:szCs w:val="20"/>
        </w:rPr>
        <w:t xml:space="preserve"> and monitoring, as well as other processes, to provide security for processing, transmission and storage of such information. Because of the sensitivity of this information and due to requirements under applicable laws and regulations, the effectiveness o</w:t>
      </w:r>
      <w:r>
        <w:rPr>
          <w:sz w:val="20"/>
          <w:szCs w:val="20"/>
        </w:rPr>
        <w:t>f our security efforts is very important. We maintain servers, which store customers’ data, including patient health records, in the U.S. and offshore. We also process, transmit and store some data of our customers on servers and networks that are owned an</w:t>
      </w:r>
      <w:r>
        <w:rPr>
          <w:sz w:val="20"/>
          <w:szCs w:val="20"/>
        </w:rPr>
        <w:t>d controlled by third-party contractors in India and elsewhere. Increasingly, threat actors are targeting the healthcare industry with ransomware and other malicious software. If our security measures are breached or fail as a result of third-party action,</w:t>
      </w:r>
      <w:r>
        <w:rPr>
          <w:sz w:val="20"/>
          <w:szCs w:val="20"/>
        </w:rPr>
        <w:t xml:space="preserve"> acts of terror, social unrest, employee error, malfeasance or for any other reasons, someone may be able to obtain unauthorized access to customer or patient data. Improper activities by third parties, advances in computer and software capabilities and en</w:t>
      </w:r>
      <w:r>
        <w:rPr>
          <w:sz w:val="20"/>
          <w:szCs w:val="20"/>
        </w:rPr>
        <w:t>cryption technology, new tools and discoveries and other events or developments may facilitate or result in a compromise or breach of our security systems. Our security measures may not be effective in preventing unauthorized access to the customer and pat</w:t>
      </w:r>
      <w:r>
        <w:rPr>
          <w:sz w:val="20"/>
          <w:szCs w:val="20"/>
        </w:rPr>
        <w:t>ient data stored on our servers. If a breach of our security occurs, we could face damages for contract breach, penalties for violation of applicable laws or regulations, possible lawsuits by individuals affected by the breach and significant remediation c</w:t>
      </w:r>
      <w:r>
        <w:rPr>
          <w:sz w:val="20"/>
          <w:szCs w:val="20"/>
        </w:rPr>
        <w:t>osts and efforts to prevent future occurrences. In addition, whether there is an actual or a perceived breach of our security, the market perception of the effectiveness of our security measures could be harmed and we could lose current or potential custom</w:t>
      </w:r>
      <w:r>
        <w:rPr>
          <w:sz w:val="20"/>
          <w:szCs w:val="20"/>
        </w:rPr>
        <w:t>ers.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Our products and services are required to meet the interoperability standards, which could require us to incur substantial additional development costs or result in a decrease in revenue.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Our customers and the industry leaders enacting regulatory </w:t>
      </w:r>
      <w:r>
        <w:rPr>
          <w:sz w:val="20"/>
          <w:szCs w:val="20"/>
        </w:rPr>
        <w:t>requirements are concerned with and often require that our products and services be interoperable with other third-party healthcare information technology suppliers. Although our products comply with the latest ONC standards and provide seamless and secure</w:t>
      </w:r>
      <w:r>
        <w:rPr>
          <w:sz w:val="20"/>
          <w:szCs w:val="20"/>
        </w:rPr>
        <w:t xml:space="preserve"> access, use and sharing of electronic health records, market forces or regulatory authorities could create software interoperability standards that would apply to our solutions, and if our products and services are not consistent with those standards, we </w:t>
      </w:r>
      <w:r>
        <w:rPr>
          <w:sz w:val="20"/>
          <w:szCs w:val="20"/>
        </w:rPr>
        <w:t>could be forced to incur substantial additional development costs. There currently exists a comprehensive set of criteria for the functionality, interoperability and security of various software modules in the healthcare information technology industry. Ho</w:t>
      </w:r>
      <w:r>
        <w:rPr>
          <w:sz w:val="20"/>
          <w:szCs w:val="20"/>
        </w:rPr>
        <w:t>wever, those standards are subject to continuous modification and refinement. Maintaining compliance with industry interoperability standards and related requirements could result in larger than expected software development expenses and administrative exp</w:t>
      </w:r>
      <w:r>
        <w:rPr>
          <w:sz w:val="20"/>
          <w:szCs w:val="20"/>
        </w:rPr>
        <w:t xml:space="preserve">enses in order to conform to these requirements. These standards and specifications, once finalized, will be subject to interpretation by the entities designated to certify such technology. We will incur increased development costs in delivering solutions </w:t>
      </w:r>
      <w:r>
        <w:rPr>
          <w:sz w:val="20"/>
          <w:szCs w:val="20"/>
        </w:rPr>
        <w:t>if we need to change or enhance our products and services to be in compliance with these varying and evolving standards. If our products and services are not consistent with these evolving standards, our market position and sales could be impaired and we m</w:t>
      </w:r>
      <w:r>
        <w:rPr>
          <w:sz w:val="20"/>
          <w:szCs w:val="20"/>
        </w:rPr>
        <w:t>ay have to invest significantly in changes to our solutions.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Disruptions in internet or telecommunication service or damage to our data centers could adversely affect our business by reducing our customers’ confidence in the reliability of our services a</w:t>
      </w:r>
      <w:r>
        <w:rPr>
          <w:b/>
          <w:bCs/>
          <w:i/>
          <w:iCs/>
          <w:sz w:val="20"/>
          <w:szCs w:val="20"/>
        </w:rPr>
        <w:t>nd products.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Our information technologies and systems are vulnerable to damage or interruption from various causes, including acts of God and other natural disasters, war and acts of terrorism and power losses, computer systems failures, internet and tel</w:t>
      </w:r>
      <w:r>
        <w:rPr>
          <w:sz w:val="20"/>
          <w:szCs w:val="20"/>
        </w:rPr>
        <w:t>ecommunications or data network failures, operator error, losses of and corruption of data and similar events. Our customers’ data, including patient health records, reside on our own servers located in the U.S., and our Offshore Offices. Although we condu</w:t>
      </w:r>
      <w:r>
        <w:rPr>
          <w:sz w:val="20"/>
          <w:szCs w:val="20"/>
        </w:rPr>
        <w:t xml:space="preserve">ct business continuity planning to protect against fires, floods, other natural disasters and general business interruptions to mitigate the adverse effects of a disruption, relocation or change in operating environment at our data centers, the situations </w:t>
      </w:r>
      <w:r>
        <w:rPr>
          <w:sz w:val="20"/>
          <w:szCs w:val="20"/>
        </w:rPr>
        <w:t>we plan for and the amount of insurance coverage we maintain may not be adequate in any particular case. In addition, the occurrence of any of these events could result in interruptions, delays or cessations in service to our customers. Any of these events</w:t>
      </w:r>
      <w:r>
        <w:rPr>
          <w:sz w:val="20"/>
          <w:szCs w:val="20"/>
        </w:rPr>
        <w:t xml:space="preserve"> could impair or prohibit our ability to provide our services, reduce the attractiveness of our services to current or potential customers and adversely impact our financial condition and results of operations.</w:t>
      </w:r>
    </w:p>
    <w:p w:rsidR="00000000" w:rsidRDefault="003A673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84825207"/>
        </w:trPr>
        <w:tc>
          <w:tcPr>
            <w:tcW w:w="5000" w:type="pct"/>
            <w:hideMark/>
          </w:tcPr>
          <w:p w:rsidR="00000000" w:rsidRDefault="003A6737">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In </w:t>
      </w:r>
      <w:r>
        <w:rPr>
          <w:sz w:val="20"/>
          <w:szCs w:val="20"/>
        </w:rPr>
        <w:t>addition, despite the implementation of security measures, our infrastructure, data centers, or systems that we interface with or utilize, including the internet and related systems, may be vulnerable to physical break-ins, hackers, improper employee or co</w:t>
      </w:r>
      <w:r>
        <w:rPr>
          <w:sz w:val="20"/>
          <w:szCs w:val="20"/>
        </w:rPr>
        <w:t>ntractor access, computer viruses, programming errors, denial-of-service attacks or other attacks by third-parties seeking to disrupt operations or misappropriate information or similar physical or electronic breaches of security. Any of these can cause sy</w:t>
      </w:r>
      <w:r>
        <w:rPr>
          <w:sz w:val="20"/>
          <w:szCs w:val="20"/>
        </w:rPr>
        <w:t>stem failure, including network, software or hardware failure, which can result in service disruptions. As a result, we may be required to expend significant capital and other resources to protect against security breaches and hackers or to alleviate probl</w:t>
      </w:r>
      <w:r>
        <w:rPr>
          <w:sz w:val="20"/>
          <w:szCs w:val="20"/>
        </w:rPr>
        <w:t>ems caused by such breaches.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We may be subject to liability for the content we provide to our customers and their patients.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We provide content for use by healthcare providers in treating patients. This content includes, among other things, patient educ</w:t>
      </w:r>
      <w:r>
        <w:rPr>
          <w:sz w:val="20"/>
          <w:szCs w:val="20"/>
        </w:rPr>
        <w:t>ation materials, coding and drug databases developed by third parties, and prepopulated templates providers can use to document visits and record patient health information. If content in the third-party databases we use is incorrect or incomplete, adverse</w:t>
      </w:r>
      <w:r>
        <w:rPr>
          <w:sz w:val="20"/>
          <w:szCs w:val="20"/>
        </w:rPr>
        <w:t xml:space="preserve"> consequences, including death, may give rise to product liability and other claims against us. A court or government agency may take the position that our delivery of health information directly, including through licensed practitioners, or delivery of in</w:t>
      </w:r>
      <w:r>
        <w:rPr>
          <w:sz w:val="20"/>
          <w:szCs w:val="20"/>
        </w:rPr>
        <w:t>formation by a third-party site that a consumer accesses through our solutions, exposes us to personal injury liability, or other liability for wrongful delivery or handling of healthcare services or erroneous health information. Our liability insurance co</w:t>
      </w:r>
      <w:r>
        <w:rPr>
          <w:sz w:val="20"/>
          <w:szCs w:val="20"/>
        </w:rPr>
        <w:t>verage may not be adequate or continue to be available on acceptable terms, if at all. A claim brought against us that is uninsured or under-insured could harm our business. Even unsuccessful claims could result in substantial costs and diversion of manage</w:t>
      </w:r>
      <w:r>
        <w:rPr>
          <w:sz w:val="20"/>
          <w:szCs w:val="20"/>
        </w:rPr>
        <w:t>ment resources.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We are subject to the effect of payer and provider conduct that we cannot control and that could damage our reputation with customers and result in liability claims that increase our expenses.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We offer electronic claims submission servi</w:t>
      </w:r>
      <w:r>
        <w:rPr>
          <w:sz w:val="20"/>
          <w:szCs w:val="20"/>
        </w:rPr>
        <w:t>ces for which we rely on content from customers, payers, and others. While we have implemented features and safeguards designed to maximize the accuracy and completeness of claims content, these features and safeguards may not be sufficient to prevent inac</w:t>
      </w:r>
      <w:r>
        <w:rPr>
          <w:sz w:val="20"/>
          <w:szCs w:val="20"/>
        </w:rPr>
        <w:t>curate claims data from being submitted to payers. Should inaccurate claims data be submitted to payers, we may experience poor operational results and be subject to liability claims, which could damage our reputation with customers and result in liability</w:t>
      </w:r>
      <w:r>
        <w:rPr>
          <w:sz w:val="20"/>
          <w:szCs w:val="20"/>
        </w:rPr>
        <w:t xml:space="preserve"> claims that increase our expenses</w:t>
      </w:r>
      <w:r>
        <w:rPr>
          <w:color w:val="000000"/>
          <w:sz w:val="20"/>
          <w:szCs w:val="20"/>
        </w:rPr>
        <w:t>.</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i/>
          <w:iCs/>
          <w:sz w:val="20"/>
          <w:szCs w:val="20"/>
        </w:rPr>
        <w:t>Failure by our clients to obtain proper permissions and waivers may result in claims against us or may limit or prevent our use of data, which could harm our business.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Our </w:t>
      </w:r>
      <w:r>
        <w:rPr>
          <w:sz w:val="20"/>
          <w:szCs w:val="20"/>
        </w:rPr>
        <w:t xml:space="preserve">clients are obligated by applicable law to provide necessary notices and to obtain necessary permission waivers for use and disclosure of the information that we receive. If they do not obtain necessary permissions and waivers, then our use and disclosure </w:t>
      </w:r>
      <w:r>
        <w:rPr>
          <w:sz w:val="20"/>
          <w:szCs w:val="20"/>
        </w:rPr>
        <w:t>of information that we receive from them or on their behalf may be limited or prohibited by state or federal privacy laws or other laws. This could impair our functions, processes, and databases that reflect, contain, or are based upon such data and may pr</w:t>
      </w:r>
      <w:r>
        <w:rPr>
          <w:sz w:val="20"/>
          <w:szCs w:val="20"/>
        </w:rPr>
        <w:t xml:space="preserve">event use of such data. In addition, this could interfere with or prevent creation or use of rules, and analyses or limit other data-driven activities that benefit us. Moreover, we may be subject to claims or liability for use or disclosure of information </w:t>
      </w:r>
      <w:r>
        <w:rPr>
          <w:sz w:val="20"/>
          <w:szCs w:val="20"/>
        </w:rPr>
        <w:t>by reason of lack of valid notice, permission, or waiver. These claims or liabilities could subject us to unexpected costs and adversely affect our operating results.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Any deficiencies in our financial reporting or internal controls could adversely affect</w:t>
      </w:r>
      <w:r>
        <w:rPr>
          <w:b/>
          <w:bCs/>
          <w:i/>
          <w:iCs/>
          <w:sz w:val="20"/>
          <w:szCs w:val="20"/>
        </w:rPr>
        <w:t xml:space="preserve"> our business and the trading price of our securities.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As a public company, we are required to maintain internal control over financial reporting and to report any material weaknesses in such internal controls. Section 404 of the Sarbanes-Oxley Act requi</w:t>
      </w:r>
      <w:r>
        <w:rPr>
          <w:sz w:val="20"/>
          <w:szCs w:val="20"/>
        </w:rPr>
        <w:t>res that we evaluate and determine the effectiveness of our internal control over financial reporting.</w:t>
      </w:r>
    </w:p>
    <w:p w:rsidR="00000000" w:rsidRDefault="003A673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36965351"/>
        </w:trPr>
        <w:tc>
          <w:tcPr>
            <w:tcW w:w="5000" w:type="pct"/>
            <w:hideMark/>
          </w:tcPr>
          <w:p w:rsidR="00000000" w:rsidRDefault="003A6737">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In the future, if we have a material weakness in our internal control over financial reporting, we may not detect errors on a timely basis an</w:t>
      </w:r>
      <w:r>
        <w:rPr>
          <w:sz w:val="20"/>
          <w:szCs w:val="20"/>
        </w:rPr>
        <w:t>d our financial statements may be materially misstated. In addition, our internal control over financial reporting would not prevent or detect all errors and fraud. Because of the inherent limitations in all control systems, no evaluation of controls can p</w:t>
      </w:r>
      <w:r>
        <w:rPr>
          <w:sz w:val="20"/>
          <w:szCs w:val="20"/>
        </w:rPr>
        <w:t>rovide absolute assurance that misstatements due to error or fraud will not occur or that all control issues and instances of fraud will be detected.</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If there are material weaknesses or failures in our ability to meet any of the requirements related to t</w:t>
      </w:r>
      <w:r>
        <w:rPr>
          <w:sz w:val="20"/>
          <w:szCs w:val="20"/>
        </w:rPr>
        <w:t>he maintenance and reporting of our internal controls, investors may lose confidence in the accuracy and completeness of our financial reports, which in turn could cause the price of our common stock and preferred stock to decline. Moreover, effective inte</w:t>
      </w:r>
      <w:r>
        <w:rPr>
          <w:sz w:val="20"/>
          <w:szCs w:val="20"/>
        </w:rPr>
        <w:t>rnal controls are necessary to produce reliable financial reports and to prevent fraud. If we have deficiencies in our internal controls, it may negatively impact our business, results of operations and reputation. In addition, we could become subject to i</w:t>
      </w:r>
      <w:r>
        <w:rPr>
          <w:sz w:val="20"/>
          <w:szCs w:val="20"/>
        </w:rPr>
        <w:t>nvestigations by Nasdaq, the SEC or other regulatory authorities, which could require additional management attention and which could adversely affect our business.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i/>
          <w:iCs/>
          <w:sz w:val="20"/>
          <w:szCs w:val="20"/>
        </w:rPr>
        <w:t>In 2021, we identified a material weakness in our internal controls over financial report</w:t>
      </w:r>
      <w:r>
        <w:rPr>
          <w:b/>
          <w:bCs/>
          <w:i/>
          <w:iCs/>
          <w:sz w:val="20"/>
          <w:szCs w:val="20"/>
        </w:rPr>
        <w:t>ing related to a non-routine transaction.</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A </w:t>
      </w:r>
      <w:r>
        <w:rPr>
          <w:sz w:val="20"/>
          <w:szCs w:val="20"/>
        </w:rPr>
        <w:t>material weakness is a deficiency, or a combination of deficiencies, in internal control over financial reporting such that there is a reasonable possibility that a material misstatement of a company’s annual or interim consolidated financial statements wi</w:t>
      </w:r>
      <w:r>
        <w:rPr>
          <w:sz w:val="20"/>
          <w:szCs w:val="20"/>
        </w:rPr>
        <w:t>ll not be prevented or detected on a timely basis. In 2021, we identified a material weakness in our internal control over financial reporting related to lack of control over the completeness and accuracy of key inputs related to the measurement of a non-r</w:t>
      </w:r>
      <w:r>
        <w:rPr>
          <w:sz w:val="20"/>
          <w:szCs w:val="20"/>
        </w:rPr>
        <w:t>outine transaction. We did not properly implement controls over the precision of management’s review of certain key inputs relating to this transaction. We implemented procedures as of March 31, 2022 to remediate this material weakness. In the event we are</w:t>
      </w:r>
      <w:r>
        <w:rPr>
          <w:sz w:val="20"/>
          <w:szCs w:val="20"/>
        </w:rPr>
        <w:t xml:space="preserve"> unable to sufficiently remediate any future material weakness in our internal controls over financial reporting, the accuracy and timing of our financial reporting may be negatively impacted, and as a result we may be unable to maintain compliance with se</w:t>
      </w:r>
      <w:r>
        <w:rPr>
          <w:sz w:val="20"/>
          <w:szCs w:val="20"/>
        </w:rPr>
        <w:t>curities laws and investors may lose confidence in the accuracy and completeness of our financial reports, leading to a decline in the market value of our securities.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 xml:space="preserve">We </w:t>
      </w:r>
      <w:r>
        <w:rPr>
          <w:b/>
          <w:bCs/>
          <w:i/>
          <w:iCs/>
          <w:sz w:val="20"/>
          <w:szCs w:val="20"/>
        </w:rPr>
        <w:t>are a party to several related-party agreements with our founder and Executive Chairman, Mahmud Haq, which have significant contractual obligations. These agreements are reviewed by our Audit Committee on an annual basis.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Since inception, we have entered</w:t>
      </w:r>
      <w:r>
        <w:rPr>
          <w:sz w:val="20"/>
          <w:szCs w:val="20"/>
        </w:rPr>
        <w:t xml:space="preserve"> into several related-party transactions with our founder and Executive Chairman, Mahmud Haq, which subject us to significant contractual obligations. We believe these transactions reflect terms comparable to those that would be available from third partie</w:t>
      </w:r>
      <w:r>
        <w:rPr>
          <w:sz w:val="20"/>
          <w:szCs w:val="20"/>
        </w:rPr>
        <w:t>s. Our independent audit committee has reviewed these arrangements and continues to do so on an annual basis.</w:t>
      </w:r>
    </w:p>
    <w:p w:rsidR="00000000" w:rsidRDefault="003A6737">
      <w:pPr>
        <w:pStyle w:val="a3"/>
        <w:spacing w:before="0" w:beforeAutospacing="0" w:after="0" w:afterAutospacing="0"/>
        <w:rPr>
          <w:sz w:val="20"/>
          <w:szCs w:val="20"/>
        </w:rPr>
      </w:pPr>
      <w:r>
        <w:rPr>
          <w:b/>
          <w:bCs/>
          <w:i/>
          <w:iCs/>
          <w:sz w:val="20"/>
          <w:szCs w:val="20"/>
        </w:rPr>
        <w:t> </w:t>
      </w:r>
    </w:p>
    <w:p w:rsidR="00000000" w:rsidRDefault="003A6737">
      <w:pPr>
        <w:pStyle w:val="a3"/>
        <w:spacing w:before="0" w:beforeAutospacing="0" w:after="0" w:afterAutospacing="0"/>
        <w:rPr>
          <w:sz w:val="20"/>
          <w:szCs w:val="20"/>
        </w:rPr>
      </w:pPr>
      <w:r>
        <w:rPr>
          <w:b/>
          <w:bCs/>
          <w:i/>
          <w:iCs/>
          <w:sz w:val="20"/>
          <w:szCs w:val="20"/>
        </w:rPr>
        <w:t>We depend on key information systems and third-party service providers.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We depend on key information systems to accurately and efficiently tra</w:t>
      </w:r>
      <w:r>
        <w:rPr>
          <w:sz w:val="20"/>
          <w:szCs w:val="20"/>
        </w:rPr>
        <w:t xml:space="preserve">nsact our business, provide information to management and prepare financial reports. These systems and services are vulnerable to interruptions or other failures resulting from, among other things, natural disasters, terrorist attacks, software, equipment </w:t>
      </w:r>
      <w:r>
        <w:rPr>
          <w:sz w:val="20"/>
          <w:szCs w:val="20"/>
        </w:rPr>
        <w:t>or telecommunications failures, processing errors, computer viruses, other security issues or supplier defaults. Security, backup and disaster recovery measures may not be adequate or implemented properly to avoid such disruptions or failures. Any disrupti</w:t>
      </w:r>
      <w:r>
        <w:rPr>
          <w:sz w:val="20"/>
          <w:szCs w:val="20"/>
        </w:rPr>
        <w:t>on or failure of these systems or services could cause substantial errors, processing inefficiencies, security breaches, inability to use the systems or process transactions, loss of customers or other business disruptions, all of which could negatively af</w:t>
      </w:r>
      <w:r>
        <w:rPr>
          <w:sz w:val="20"/>
          <w:szCs w:val="20"/>
        </w:rPr>
        <w:t>fect our business and financial performance.</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98773624"/>
        </w:trPr>
        <w:tc>
          <w:tcPr>
            <w:tcW w:w="5000" w:type="pct"/>
            <w:hideMark/>
          </w:tcPr>
          <w:p w:rsidR="00000000" w:rsidRDefault="003A6737">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Systems failures or cyberattacks and resulting interruptions in the availability of or degradation in the performance of our websites, applications, products or services could harm our business.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As</w:t>
      </w:r>
      <w:r>
        <w:rPr>
          <w:sz w:val="20"/>
          <w:szCs w:val="20"/>
        </w:rPr>
        <w:t xml:space="preserve"> cybersecurity attacks continue to evolve and increase, our information systems could also be penetrated or compromised by internal and external parties’ intent on extracting confidential information, disrupting business processes or corrupting information</w:t>
      </w:r>
      <w:r>
        <w:rPr>
          <w:sz w:val="20"/>
          <w:szCs w:val="20"/>
        </w:rPr>
        <w:t>. Our systems may experience service interruptions or degradation due to hardware and software defects or malfunctions, computer denial-of-service and other cyberattacks, human error, earthquakes, hurricanes, floods, fires, natural disasters, power losses,</w:t>
      </w:r>
      <w:r>
        <w:rPr>
          <w:sz w:val="20"/>
          <w:szCs w:val="20"/>
        </w:rPr>
        <w:t xml:space="preserve"> disruptions in telecommunications services, fraud, military or political conflicts, terrorist attacks, computer viruses, or other events. Our systems are also subject to break-ins, sabotage and intentional acts of vandalism. Some of our systems are not fu</w:t>
      </w:r>
      <w:r>
        <w:rPr>
          <w:sz w:val="20"/>
          <w:szCs w:val="20"/>
        </w:rPr>
        <w:t xml:space="preserve">lly redundant and our disaster recovery planning is not sufficient for all eventualities. We have experienced and will likely continue to experience system failures, denial of service attacks and other events or conditions from time to time that interrupt </w:t>
      </w:r>
      <w:r>
        <w:rPr>
          <w:sz w:val="20"/>
          <w:szCs w:val="20"/>
        </w:rPr>
        <w:t>the availability or reduce the speed or functionality of our websites and mobile applications. These events likely will result in loss of revenue. A prolonged interruption in the availability or reduction in the speed or other functionality of our websites</w:t>
      </w:r>
      <w:r>
        <w:rPr>
          <w:sz w:val="20"/>
          <w:szCs w:val="20"/>
        </w:rPr>
        <w:t xml:space="preserve"> and mobile applications could materially harm our business. Frequent or persistent interruptions in our services could cause current or potential users to believe that our systems are unreliable, leading them to switch to our competitors or to avoid our s</w:t>
      </w:r>
      <w:r>
        <w:rPr>
          <w:sz w:val="20"/>
          <w:szCs w:val="20"/>
        </w:rPr>
        <w:t>ites, and could permanently harm our reputation and brands. Moreover, to the extent that any system failure or similar event results in damages to our customers or their businesses, these customers could seek significant compensation from us for their loss</w:t>
      </w:r>
      <w:r>
        <w:rPr>
          <w:sz w:val="20"/>
          <w:szCs w:val="20"/>
        </w:rPr>
        <w:t>es and those claims, even if unsuccessful, would likely be time-consuming and costly for us to address. These risks could arise from external parties or from acts or omissions of internal or service provider personnel. Such unauthorized access could disrup</w:t>
      </w:r>
      <w:r>
        <w:rPr>
          <w:sz w:val="20"/>
          <w:szCs w:val="20"/>
        </w:rPr>
        <w:t>t our business and could result in the loss of assets, litigation, remediation costs, damage to our reputation and failure to retain or attract customers following such an event, which could adversely affect our business.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color w:val="000000"/>
          <w:sz w:val="20"/>
          <w:szCs w:val="20"/>
        </w:rPr>
        <w:t>Rapid technological change in th</w:t>
      </w:r>
      <w:r>
        <w:rPr>
          <w:b/>
          <w:bCs/>
          <w:i/>
          <w:iCs/>
          <w:color w:val="000000"/>
          <w:sz w:val="20"/>
          <w:szCs w:val="20"/>
        </w:rPr>
        <w:t>e telehealth industry presents us with significant risks and challenges</w:t>
      </w:r>
      <w:r>
        <w:rPr>
          <w:sz w:val="20"/>
          <w:szCs w:val="20"/>
        </w:rPr>
        <w: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telehealth market is characterized by rapid technological change, changing consumer requirements, short product lifecycles and evolving industry standards. Our success will depend on our ability to enhance our solution with next-generation technologies and</w:t>
      </w:r>
      <w:r>
        <w:rPr>
          <w:sz w:val="20"/>
          <w:szCs w:val="20"/>
        </w:rPr>
        <w:t xml:space="preserve"> to develop or to acquire and market new services to access new consumer populations. There is no guarantee that we will possess the resources, either financial or personnel, for the research, design and development of new applications or services, or that</w:t>
      </w:r>
      <w:r>
        <w:rPr>
          <w:sz w:val="20"/>
          <w:szCs w:val="20"/>
        </w:rPr>
        <w:t xml:space="preserve"> we will be able to utilize these resources successfully and avoid technological or market obsolescence. Further, there can be no assurance that technological advances by one or more of our competitors or future competitors will not result in our present o</w:t>
      </w:r>
      <w:r>
        <w:rPr>
          <w:sz w:val="20"/>
          <w:szCs w:val="20"/>
        </w:rPr>
        <w:t>r future applications and services becoming uncompetitive or obsolete.</w:t>
      </w:r>
    </w:p>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i/>
          <w:iCs/>
          <w:sz w:val="20"/>
          <w:szCs w:val="20"/>
        </w:rPr>
        <w:t>Our business, financial condition, results of operations and growth may be adversely affected by pandemics, epidemics or other public health emergencies, such as COVID-19.</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We are su</w:t>
      </w:r>
      <w:r>
        <w:rPr>
          <w:sz w:val="20"/>
          <w:szCs w:val="20"/>
        </w:rPr>
        <w:t>bject to risks related to the public health crises such as the global pandemic associated with the coronavirus (COVID-19). Numerous governmental jurisdictions, including the State of New Jersey where we maintain our principal executive offices, and those i</w:t>
      </w:r>
      <w:r>
        <w:rPr>
          <w:sz w:val="20"/>
          <w:szCs w:val="20"/>
        </w:rPr>
        <w:t>n which many of our U.S. and international offices are based, have imposed, and others in the future may impose, “shelter-in-place” orders, quarantines, executive orders and similar government orders and restrictions for their residents to control the spre</w:t>
      </w:r>
      <w:r>
        <w:rPr>
          <w:sz w:val="20"/>
          <w:szCs w:val="20"/>
        </w:rPr>
        <w:t>ad of public health emergencies. Such orders or restrictions, and the perception that such orders or restrictions could occur, could result in business closures, work stoppages, slowdowns and delays, work-from-home policies, travel restrictions and cancell</w:t>
      </w:r>
      <w:r>
        <w:rPr>
          <w:sz w:val="20"/>
          <w:szCs w:val="20"/>
        </w:rPr>
        <w:t>ation of events, among other effects, thereby negatively impacting our customers, employees, and offices, among others.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Healthcare organizations around the world, including our health care provider customers, faced and may continue to face, substantial c</w:t>
      </w:r>
      <w:r>
        <w:rPr>
          <w:sz w:val="20"/>
          <w:szCs w:val="20"/>
        </w:rPr>
        <w:t>hallenges in treating patients with COVID-19, such as the diversion of staff and resources from ordinary functions to the treatment of COVID-19, supply, resource and capital shortages and overburdening of staff and resource capacity. To the extent such hea</w:t>
      </w:r>
      <w:r>
        <w:rPr>
          <w:sz w:val="20"/>
          <w:szCs w:val="20"/>
        </w:rPr>
        <w:t>lth-care provider customers experience challenges and difficulties, it will adversely affect our business operation and results of operations. We note, for example, that approximately 53% of our revenue is directly tied to the cash collected by our health-</w:t>
      </w:r>
      <w:r>
        <w:rPr>
          <w:sz w:val="20"/>
          <w:szCs w:val="20"/>
        </w:rPr>
        <w:t>care provider customers, which means that our short-term revenue has and may in the future decline as less patients visit their doctors should periods of social distancing be implemented again in the future. A recession or prolonged economic contraction as</w:t>
      </w:r>
      <w:r>
        <w:rPr>
          <w:sz w:val="20"/>
          <w:szCs w:val="20"/>
        </w:rPr>
        <w:t xml:space="preserve"> a result of health emergencies could also harm the business and results of operations of our enterprise customers, resulting in potential business closures, layoffs of employees and a significant increase in unemployment in the United States and elsewhere</w:t>
      </w:r>
      <w:r>
        <w:rPr>
          <w:sz w:val="20"/>
          <w:szCs w:val="20"/>
        </w:rPr>
        <w:t>. The occurrence of any such events may lead to reduced income for customers and reduced size of workforces, which could reduce our revenue and harm our business, financial condition and results of operations.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widespread COVID-19 pandemic has resulte</w:t>
      </w:r>
      <w:r>
        <w:rPr>
          <w:sz w:val="20"/>
          <w:szCs w:val="20"/>
        </w:rPr>
        <w:t>d in, and may continue to result in, significant volatility and uncertainty in U.S. and international financial markets, reducing our ability to access capital, which could in the future negatively affect our liquidity. In addition, a recession or market c</w:t>
      </w:r>
      <w:r>
        <w:rPr>
          <w:sz w:val="20"/>
          <w:szCs w:val="20"/>
        </w:rPr>
        <w:t>orrection resulting from the spread of COVID-19 could materially affect our business and the value of our common stock and Preferred Stock.</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Future acquisitions may be subject to difficulties in evaluating potential acquisition targets as a result of the </w:t>
      </w:r>
      <w:r>
        <w:rPr>
          <w:sz w:val="20"/>
          <w:szCs w:val="20"/>
        </w:rPr>
        <w:t>inability to accurately predict the duration or long-term economic and business consequences resulting from the COVID-19 pandemic.</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78824211"/>
        </w:trPr>
        <w:tc>
          <w:tcPr>
            <w:tcW w:w="5000" w:type="pct"/>
            <w:hideMark/>
          </w:tcPr>
          <w:p w:rsidR="00000000" w:rsidRDefault="003A6737">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prolonged impact of these public health emergencies, including COVID-19, is highly uncertain and unpredictabl</w:t>
      </w:r>
      <w:r>
        <w:rPr>
          <w:sz w:val="20"/>
          <w:szCs w:val="20"/>
        </w:rPr>
        <w:t>e, depending upon the severity and duration of the emergency and the effectiveness of actions taken globally to contain or mitigate its effects. Future financial impact cannot be estimated reasonably at this time, but may materially adversely affect our bu</w:t>
      </w:r>
      <w:r>
        <w:rPr>
          <w:sz w:val="20"/>
          <w:szCs w:val="20"/>
        </w:rPr>
        <w:t>siness, results of operations and financial condition. However, we will continue to monitor the COVID-19 situation closely and are committed to continuing to make appropriate changes as and when needed.</w:t>
      </w:r>
    </w:p>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hd w:val="clear" w:color="auto" w:fill="FFFFFF"/>
        <w:spacing w:before="0" w:beforeAutospacing="0" w:after="0" w:afterAutospacing="0"/>
        <w:jc w:val="both"/>
        <w:rPr>
          <w:sz w:val="20"/>
          <w:szCs w:val="20"/>
        </w:rPr>
      </w:pPr>
      <w:r>
        <w:rPr>
          <w:b/>
          <w:bCs/>
          <w:sz w:val="20"/>
          <w:szCs w:val="20"/>
        </w:rPr>
        <w:t xml:space="preserve">Risks </w:t>
      </w:r>
      <w:r>
        <w:rPr>
          <w:b/>
          <w:bCs/>
          <w:sz w:val="20"/>
          <w:szCs w:val="20"/>
        </w:rPr>
        <w:t>Related to Our Acquisition Strategy</w:t>
      </w:r>
    </w:p>
    <w:p w:rsidR="00000000" w:rsidRDefault="003A6737">
      <w:pPr>
        <w:pStyle w:val="a3"/>
        <w:shd w:val="clear" w:color="auto" w:fill="FFFFFF"/>
        <w:spacing w:before="0" w:beforeAutospacing="0" w:after="0" w:afterAutospacing="0"/>
        <w:jc w:val="both"/>
        <w:rPr>
          <w:sz w:val="20"/>
          <w:szCs w:val="20"/>
        </w:rPr>
      </w:pPr>
      <w:r>
        <w:rPr>
          <w:b/>
          <w:bCs/>
          <w:i/>
          <w:iCs/>
          <w:sz w:val="20"/>
          <w:szCs w:val="20"/>
        </w:rPr>
        <w:t> </w:t>
      </w:r>
    </w:p>
    <w:p w:rsidR="00000000" w:rsidRDefault="003A6737">
      <w:pPr>
        <w:pStyle w:val="a3"/>
        <w:shd w:val="clear" w:color="auto" w:fill="FFFFFF"/>
        <w:spacing w:before="0" w:beforeAutospacing="0" w:after="0" w:afterAutospacing="0"/>
        <w:jc w:val="both"/>
        <w:rPr>
          <w:sz w:val="20"/>
          <w:szCs w:val="20"/>
        </w:rPr>
      </w:pPr>
      <w:r>
        <w:rPr>
          <w:b/>
          <w:bCs/>
          <w:i/>
          <w:iCs/>
          <w:sz w:val="20"/>
          <w:szCs w:val="20"/>
        </w:rPr>
        <w:t>If we do not manage our growth effectively, our revenue, business and operating results may be harmed.</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Our strategy is to expand through organic growth, and through synergistic, accretive acquisitions of companies in</w:t>
      </w:r>
      <w:r>
        <w:rPr>
          <w:sz w:val="20"/>
          <w:szCs w:val="20"/>
        </w:rPr>
        <w:t xml:space="preserve"> the business of healthcare IT (“HCIT”) and complementary services. Since 2006, we have completed 27 transactions acquiring the assets or businesses of RCM, HCIT, and related companies. The majority of these transactions have occurred since we went public </w:t>
      </w:r>
      <w:r>
        <w:rPr>
          <w:sz w:val="20"/>
          <w:szCs w:val="20"/>
        </w:rPr>
        <w:t>in July 2014. Our future acquisitions may require greater than anticipated investment of operational and financial resources as we seek to migrate customers of these companies to our solutions. Acquisitions also require the integration of different softwar</w:t>
      </w:r>
      <w:r>
        <w:rPr>
          <w:sz w:val="20"/>
          <w:szCs w:val="20"/>
        </w:rPr>
        <w:t>e and services, assimilation of new employees, diversion of management and IT resources, and increases in administrative costs. Acquisitions may also require additional costs associated with any debt or equity financings undertaken to pay for such acquisit</w:t>
      </w:r>
      <w:r>
        <w:rPr>
          <w:sz w:val="20"/>
          <w:szCs w:val="20"/>
        </w:rPr>
        <w:t>ions. We cannot assure you that any acquisition we undertake will be successful. Future growth will also place additional demands on our customer support, sales, and marketing resources, and may require us to hire and train additional employees. We will ne</w:t>
      </w:r>
      <w:r>
        <w:rPr>
          <w:sz w:val="20"/>
          <w:szCs w:val="20"/>
        </w:rPr>
        <w:t>ed to expand and upgrade our systems and infrastructure to accommodate our growth. The failure to manage our growth effectively will materially and adversely affect our business.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i/>
          <w:iCs/>
          <w:sz w:val="20"/>
          <w:szCs w:val="20"/>
        </w:rPr>
        <w:t>We may be unable to retain customers following their acquisition, which may</w:t>
      </w:r>
      <w:r>
        <w:rPr>
          <w:b/>
          <w:bCs/>
          <w:i/>
          <w:iCs/>
          <w:sz w:val="20"/>
          <w:szCs w:val="20"/>
        </w:rPr>
        <w:t xml:space="preserve"> result in a decrease in our revenues and operating results. </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Customers of the businesses we acquire often have the right to terminate their service contracts for any reason at any time upon notice of 90 days or less. These customers may elect to termina</w:t>
      </w:r>
      <w:r>
        <w:rPr>
          <w:sz w:val="20"/>
          <w:szCs w:val="20"/>
        </w:rPr>
        <w:t>te their contracts as a result of our acquisition or choose not to renew their contracts upon expiration. Legal and practical limitations on our ability to enforce non-competition and non-solicitation provisions against customer representatives and sales p</w:t>
      </w:r>
      <w:r>
        <w:rPr>
          <w:sz w:val="20"/>
          <w:szCs w:val="20"/>
        </w:rPr>
        <w:t>ersonnel that leave the businesses we acquire to join competitors may result in the loss of customers. In the past, our failure to retain acquired customers has at times resulted in decreases in our revenues. Our inability to retain customers of businesses</w:t>
      </w:r>
      <w:r>
        <w:rPr>
          <w:sz w:val="20"/>
          <w:szCs w:val="20"/>
        </w:rPr>
        <w:t xml:space="preserve"> we acquire could adversely affect our ability to benefit from those acquisitions and to grow our future revenues and operating income.</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i/>
          <w:iCs/>
          <w:sz w:val="20"/>
          <w:szCs w:val="20"/>
        </w:rPr>
        <w:t>Acquisitions may subject us to liability with regard to the creditors, customers, and shareholders of the sellers.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W</w:t>
      </w:r>
      <w:r>
        <w:rPr>
          <w:sz w:val="20"/>
          <w:szCs w:val="20"/>
        </w:rPr>
        <w:t>hile we attempt to limit our exposure to the liabilities associated with the businesses we acquire, we cannot guarantee that we will be successful in avoiding all material liability. Regardless of how we structure the acquisition, whether as an asset purch</w:t>
      </w:r>
      <w:r>
        <w:rPr>
          <w:sz w:val="20"/>
          <w:szCs w:val="20"/>
        </w:rPr>
        <w:t xml:space="preserve">ase, stock purchase, merger or other business combination, creditors, customers, vendors, governmental agencies and other parties at times seek to hold us accountable for unpaid debts, breach of contract claims, regulatory violations and other liabilities </w:t>
      </w:r>
      <w:r>
        <w:rPr>
          <w:sz w:val="20"/>
          <w:szCs w:val="20"/>
        </w:rPr>
        <w:t>that relate to the business we acquired. Disaffected shareholders of the businesses we acquire have also attempted to interfere with our business acquisitions or brought claims against us. We attempt to minimize all of these risks through thorough due dili</w:t>
      </w:r>
      <w:r>
        <w:rPr>
          <w:sz w:val="20"/>
          <w:szCs w:val="20"/>
        </w:rPr>
        <w:t>gence, negotiating indemnities and holdbacks, obtaining relevant representations from sellers, procuring insurance coverage and leveraging experienced professionals when appropriate.</w:t>
      </w:r>
    </w:p>
    <w:p w:rsidR="00000000" w:rsidRDefault="003A6737">
      <w:pPr>
        <w:pStyle w:val="a3"/>
        <w:shd w:val="clear" w:color="auto" w:fill="FFFFFF"/>
        <w:spacing w:before="0" w:beforeAutospacing="0" w:after="0" w:afterAutospacing="0"/>
        <w:jc w:val="both"/>
        <w:rPr>
          <w:sz w:val="20"/>
          <w:szCs w:val="20"/>
        </w:rPr>
      </w:pPr>
      <w:r>
        <w:rPr>
          <w:b/>
          <w:bCs/>
          <w:i/>
          <w:iCs/>
          <w:sz w:val="20"/>
          <w:szCs w:val="20"/>
        </w:rPr>
        <w:t> </w:t>
      </w:r>
    </w:p>
    <w:p w:rsidR="00000000" w:rsidRDefault="003A6737">
      <w:pPr>
        <w:pStyle w:val="a3"/>
        <w:shd w:val="clear" w:color="auto" w:fill="FFFFFF"/>
        <w:spacing w:before="0" w:beforeAutospacing="0" w:after="0" w:afterAutospacing="0"/>
        <w:jc w:val="both"/>
        <w:rPr>
          <w:sz w:val="20"/>
          <w:szCs w:val="20"/>
        </w:rPr>
      </w:pPr>
      <w:r>
        <w:rPr>
          <w:b/>
          <w:bCs/>
          <w:i/>
          <w:iCs/>
          <w:sz w:val="20"/>
          <w:szCs w:val="20"/>
        </w:rPr>
        <w:t>We may be unable to implement our strategy of acquiring additional comp</w:t>
      </w:r>
      <w:r>
        <w:rPr>
          <w:b/>
          <w:bCs/>
          <w:i/>
          <w:iCs/>
          <w:sz w:val="20"/>
          <w:szCs w:val="20"/>
        </w:rPr>
        <w:t>anies.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We have no unconditional commitments with respect to any acquisition as of the date of this Form 10-K. Although we expect that one or more acquisition opportunities will become available in the future, we may not be able to acquire additional comp</w:t>
      </w:r>
      <w:r>
        <w:rPr>
          <w:sz w:val="20"/>
          <w:szCs w:val="20"/>
        </w:rPr>
        <w:t xml:space="preserve">anies at all or on terms favorable to us. We will likely need additional financing for such acquisitions, but there is no assurance that we will be able to borrow funds or raise capital through the issuance of our equity on favorable terms. Certain of our </w:t>
      </w:r>
      <w:r>
        <w:rPr>
          <w:sz w:val="20"/>
          <w:szCs w:val="20"/>
        </w:rPr>
        <w:t>larger, better capitalized competitors may seek to acquire some of the companies we may be interested in. Competition for acquisitions would likely increase acquisition prices and result in us having fewer acquisition opportunities.</w:t>
      </w:r>
    </w:p>
    <w:p w:rsidR="00000000" w:rsidRDefault="003A673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86735013"/>
        </w:trPr>
        <w:tc>
          <w:tcPr>
            <w:tcW w:w="5000" w:type="pct"/>
            <w:hideMark/>
          </w:tcPr>
          <w:p w:rsidR="00000000" w:rsidRDefault="003A6737">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Depending on the type of businesses we acquire (e.g., RCM, practice management, EHR, etc.), we may have varying cost saving and/or cross-selling opportunities with the acquired business. However, there is no assurance that we will achieve anticipated cost </w:t>
      </w:r>
      <w:r>
        <w:rPr>
          <w:sz w:val="20"/>
          <w:szCs w:val="20"/>
        </w:rPr>
        <w:t>savings and cross-selling on our acquisitions, and failure to do so may mean we overpaid for such acquisitions.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In completing any future acquisitions, we will rely upon the representations, warranties and indemnities made by the sellers with respect to e</w:t>
      </w:r>
      <w:r>
        <w:rPr>
          <w:sz w:val="20"/>
          <w:szCs w:val="20"/>
        </w:rPr>
        <w:t>ach acquisition as well as our own due diligence investigation. We cannot be assured that such representations and warranties will be true and correct or that our due diligence will uncover all materially adverse facts relating to the operations and financ</w:t>
      </w:r>
      <w:r>
        <w:rPr>
          <w:sz w:val="20"/>
          <w:szCs w:val="20"/>
        </w:rPr>
        <w:t>ial condition of the acquired companies or their customers. Nor can we be assured that any available insurance will cover all such losses. To the extent that we are required to pay for obligations of an acquired company, or if material misrepresentations e</w:t>
      </w:r>
      <w:r>
        <w:rPr>
          <w:sz w:val="20"/>
          <w:szCs w:val="20"/>
        </w:rPr>
        <w:t>xist, we may not realize the expected benefit from such acquisition and we will have overpaid in cash and/or stock for the value received in that acquisition.</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Future acquisitions may result in potentially dilutive issuances of equity securities, the incu</w:t>
      </w:r>
      <w:r>
        <w:rPr>
          <w:b/>
          <w:bCs/>
          <w:i/>
          <w:iCs/>
          <w:sz w:val="20"/>
          <w:szCs w:val="20"/>
        </w:rPr>
        <w:t>rrence of indebtedness and increased amortization expense.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Future acquisitions may result in dilutive issuances of equity securities, the incurrence of debt, the assumption of known and unknown liabilities, the write-off of software development costs and</w:t>
      </w:r>
      <w:r>
        <w:rPr>
          <w:sz w:val="20"/>
          <w:szCs w:val="20"/>
        </w:rPr>
        <w:t xml:space="preserve"> the amortization of expenses related to intangible assets, all of which could have an adverse effect on our business, financial condition and results of operations.</w:t>
      </w:r>
    </w:p>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rPr>
          <w:sz w:val="20"/>
          <w:szCs w:val="20"/>
        </w:rPr>
      </w:pPr>
      <w:r>
        <w:rPr>
          <w:b/>
          <w:bCs/>
          <w:sz w:val="20"/>
          <w:szCs w:val="20"/>
        </w:rPr>
        <w:t>Regulatory Risks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The healthcare industry is heavily regulated. Our failure to comply w</w:t>
      </w:r>
      <w:r>
        <w:rPr>
          <w:b/>
          <w:bCs/>
          <w:i/>
          <w:iCs/>
          <w:sz w:val="20"/>
          <w:szCs w:val="20"/>
        </w:rPr>
        <w:t>ith regulatory requirements could create liability for us, result in adverse publicity and negatively affect our business.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healthcare industry is heavily regulated and is constantly evolving due to the changing political, legislative, regulatory land</w:t>
      </w:r>
      <w:r>
        <w:rPr>
          <w:sz w:val="20"/>
          <w:szCs w:val="20"/>
        </w:rPr>
        <w:t>scape and other factors. Many healthcare laws are complex, and their application to specific services and relationships may not be clear. In particular, many existing healthcare laws and regulations, when enacted, did not anticipate or address the services</w:t>
      </w:r>
      <w:r>
        <w:rPr>
          <w:sz w:val="20"/>
          <w:szCs w:val="20"/>
        </w:rPr>
        <w:t xml:space="preserve"> that we provide. Further, healthcare laws differ from state to state and it is difficult to ensure that our business, products and services comply with evolving laws in all states. By way of example, certain federal and state laws forbid billing based on </w:t>
      </w:r>
      <w:r>
        <w:rPr>
          <w:sz w:val="20"/>
          <w:szCs w:val="20"/>
        </w:rPr>
        <w:t>referrals between individuals or entities that have various financial, ownership, or other business relationships with healthcare providers. These laws vary widely from state to state, and one of the federal laws governing these relationships, known as the</w:t>
      </w:r>
      <w:r>
        <w:rPr>
          <w:sz w:val="20"/>
          <w:szCs w:val="20"/>
        </w:rPr>
        <w:t xml:space="preserve"> Stark Law, is very complex in its application. Similarly, many states have laws forbidding physicians from practicing medicine in partnership with non-physicians, such as business corporations, as well as laws or regulations forbidding splitting of physic</w:t>
      </w:r>
      <w:r>
        <w:rPr>
          <w:sz w:val="20"/>
          <w:szCs w:val="20"/>
        </w:rPr>
        <w:t>ian fees with non-physicians or others. Other federal and state laws restrict assignment of claims for reimbursement from government-funded programs, the manner in which business service companies may handle payments for such claims and the methodology und</w:t>
      </w:r>
      <w:r>
        <w:rPr>
          <w:sz w:val="20"/>
          <w:szCs w:val="20"/>
        </w:rPr>
        <w:t>er which business services companies may be compensated for such services.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21</w:t>
      </w:r>
      <w:r>
        <w:rPr>
          <w:sz w:val="20"/>
          <w:szCs w:val="20"/>
          <w:vertAlign w:val="superscript"/>
        </w:rPr>
        <w:t>st</w:t>
      </w:r>
      <w:r>
        <w:rPr>
          <w:sz w:val="20"/>
          <w:szCs w:val="20"/>
        </w:rPr>
        <w:t xml:space="preserve"> Century Cures Act (the “Cures Act”), passed by Congress in 2016, is meant to improve various aspects of the healthcare industry, including interoperability and informatio</w:t>
      </w:r>
      <w:r>
        <w:rPr>
          <w:sz w:val="20"/>
          <w:szCs w:val="20"/>
        </w:rPr>
        <w:t>n blocking. The Cures Act’s interoperability provisions relate to Information Exchange and Certification administered by the Office of the National Coordinator for Health Information Technology (the “ONC”). The certification involves complex and specific r</w:t>
      </w:r>
      <w:r>
        <w:rPr>
          <w:sz w:val="20"/>
          <w:szCs w:val="20"/>
        </w:rPr>
        <w:t>equirements related to various types of requests for the access, exchange or use of Electronic Health Information. In addition, the information blocking rule aims to resolve concerns that individuals in the healthcare industry intentionally prevent the exc</w:t>
      </w:r>
      <w:r>
        <w:rPr>
          <w:sz w:val="20"/>
          <w:szCs w:val="20"/>
        </w:rPr>
        <w:t>hange of information between multiple stakeholders. The Cures Act allows for penalties for stakeholders, including but not limited to, health IT developers and providers who do not comply with same. While we remain committed to efficient exchange of inform</w:t>
      </w:r>
      <w:r>
        <w:rPr>
          <w:sz w:val="20"/>
          <w:szCs w:val="20"/>
        </w:rPr>
        <w:t>ation in the healthcare industry and continue meeting all new certification requirements, failure to comply with these regulatory requirements, could create liability for us, result in adverse publicity and negatively affect our business.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Office of Inspector General (“OIG”) of the Department of Health and Human Services (“HHS”) has a longstanding concern that percentage-based billing arrangements may increase the risk of improper billing practices. In addition, certain states have adopted l</w:t>
      </w:r>
      <w:r>
        <w:rPr>
          <w:sz w:val="20"/>
          <w:szCs w:val="20"/>
        </w:rPr>
        <w:t>aws or regulations forbidding splitting of fees with non-physicians which may be interpreted to prevent business service providers, including medical billing providers, from using a percentage-based billing arrangement. The OIG and HHS recommend that medic</w:t>
      </w:r>
      <w:r>
        <w:rPr>
          <w:sz w:val="20"/>
          <w:szCs w:val="20"/>
        </w:rPr>
        <w:t xml:space="preserve">al billing companies develop and implement comprehensive compliance programs to mitigate this risk. While we have developed and implemented a comprehensive billing compliance program that we believe is consistent with these recommendations, our failure to </w:t>
      </w:r>
      <w:r>
        <w:rPr>
          <w:sz w:val="20"/>
          <w:szCs w:val="20"/>
        </w:rPr>
        <w:t>ensure compliance with controlling legal requirements, accurately anticipate the application of these laws and regulations to our business and contracting model, or other failure to comply with regulatory requirements, could create liability for us, result</w:t>
      </w:r>
      <w:r>
        <w:rPr>
          <w:sz w:val="20"/>
          <w:szCs w:val="20"/>
        </w:rPr>
        <w:t xml:space="preserve"> in adverse publicity and negatively affect our business.</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51523636"/>
        </w:trPr>
        <w:tc>
          <w:tcPr>
            <w:tcW w:w="5000" w:type="pct"/>
            <w:hideMark/>
          </w:tcPr>
          <w:p w:rsidR="00000000" w:rsidRDefault="003A6737">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federal Anti-Kickback Statute (“AKS”) prohibits us from knowingly and willfully soliciting, receiving, offering or providing remuneration in exchange for referrals or recommendations</w:t>
      </w:r>
      <w:r>
        <w:rPr>
          <w:sz w:val="20"/>
          <w:szCs w:val="20"/>
        </w:rPr>
        <w:t xml:space="preserve"> for purposes of selling products or services which are paid for by federal healthcare programs such as Medicare and Medicaid. In addition, a claim including products or services resulting from a violation of AKS constitutes a violation of the federal Fals</w:t>
      </w:r>
      <w:r>
        <w:rPr>
          <w:sz w:val="20"/>
          <w:szCs w:val="20"/>
        </w:rPr>
        <w:t>e Claims Act (“FCA”). If we are determined to have violated the FCA, we may be required to pay up to three times the actual damages sustained by the government, plus mandatory civil penalties for each separate false claim. If we are found to be in violatio</w:t>
      </w:r>
      <w:r>
        <w:rPr>
          <w:sz w:val="20"/>
          <w:szCs w:val="20"/>
        </w:rPr>
        <w:t>n of the FCA, AKS, ACA, or any other applicable state or any federal fraud and abuse laws, whether by our current practices or for the past practices of a company we acquire, we may be subject to substantial civil damages and criminal penalties and fines t</w:t>
      </w:r>
      <w:r>
        <w:rPr>
          <w:sz w:val="20"/>
          <w:szCs w:val="20"/>
        </w:rPr>
        <w:t>hat could have a material adverse impact on our business.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In addition, federal and state legislatures and agencies periodically consider proposals to revise aspects of the healthcare industry or to revise or create additional statutory and regulatory req</w:t>
      </w:r>
      <w:r>
        <w:rPr>
          <w:sz w:val="20"/>
          <w:szCs w:val="20"/>
        </w:rPr>
        <w:t xml:space="preserve">uirements. For instance, the current administration may make changes to the ACA, the nature and scope of which are presently unknown. Similarly, certain computer software products are regulated as medical devices under the Federal Food, Drug, and Cosmetic </w:t>
      </w:r>
      <w:r>
        <w:rPr>
          <w:sz w:val="20"/>
          <w:szCs w:val="20"/>
        </w:rPr>
        <w:t>Act. While the Food and Drug Administration (“FDA”) has sometimes chosen to disclaim authority to, or to refrain from actively regulating certain software products which are similar to our products, this area of medical device regulation remains in flux. W</w:t>
      </w:r>
      <w:r>
        <w:rPr>
          <w:sz w:val="20"/>
          <w:szCs w:val="20"/>
        </w:rPr>
        <w:t xml:space="preserve">e expect that the FDA will continue to be active in exploring legal regimes for regulating computer software intended for use in healthcare settings. Any additional regulation can be expected to impose additional overhead costs on us and should we fail to </w:t>
      </w:r>
      <w:r>
        <w:rPr>
          <w:sz w:val="20"/>
          <w:szCs w:val="20"/>
        </w:rPr>
        <w:t>adequately meet these legal obligations, we could face potential regulatory action. Regulatory authorities such as the Centers for Medicare and Medicaid Services may also impose functionality standards with regard to electronic prescribing technologies. If</w:t>
      </w:r>
      <w:r>
        <w:rPr>
          <w:sz w:val="20"/>
          <w:szCs w:val="20"/>
        </w:rPr>
        <w:t xml:space="preserve"> implemented, proposals like these could impact our operations, the use of our services and our ability to market new services, or could create unexpected liabilities for us. We cannot predict what changes to laws or regulations might be made in the future</w:t>
      </w:r>
      <w:r>
        <w:rPr>
          <w:sz w:val="20"/>
          <w:szCs w:val="20"/>
        </w:rPr>
        <w:t xml:space="preserve"> or how those changes could affect our business or our operating costs.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Further, our ability to provide our telehealth services in each state is dependent upon a state’s treatment of telehealth and emerging technologies (such as digital health services),</w:t>
      </w:r>
      <w:r>
        <w:rPr>
          <w:sz w:val="20"/>
          <w:szCs w:val="20"/>
        </w:rPr>
        <w:t xml:space="preserve"> which are subject to changing political, regulatory and other influences. Many states have laws that limit or restrict the practice of telehealth, such as laws that require a provider to be licensed and/or physically located in the same state where the pa</w:t>
      </w:r>
      <w:r>
        <w:rPr>
          <w:sz w:val="20"/>
          <w:szCs w:val="20"/>
        </w:rPr>
        <w:t>tient is located. For example, California, Massachusetts, and Oregon, among others, are not members of the Interstate Medical Licensure Compact, which streamlines the process by which physicians licensed in one state are able to practice in other participa</w:t>
      </w:r>
      <w:r>
        <w:rPr>
          <w:sz w:val="20"/>
          <w:szCs w:val="20"/>
        </w:rPr>
        <w:t>ting states. Failure to comply with these laws could result in denials of reimbursement for services (to the extent such services are billed), recoupments of prior payments, professional discipline for providers or civil or criminal penalties.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If we do n</w:t>
      </w:r>
      <w:r>
        <w:rPr>
          <w:b/>
          <w:bCs/>
          <w:i/>
          <w:iCs/>
          <w:sz w:val="20"/>
          <w:szCs w:val="20"/>
        </w:rPr>
        <w:t>ot maintain the certification of our EHR solutions pursuant to the HITECH Act and Cures Act, our business, financial condition and results of operations will be adversely affected.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HITECH Act provided financial incentives for healthcare providers tha</w:t>
      </w:r>
      <w:r>
        <w:rPr>
          <w:sz w:val="20"/>
          <w:szCs w:val="20"/>
        </w:rPr>
        <w:t xml:space="preserve">t demonstrated “meaningful use” of an EHR and mandated use of health information technology systems that are certified according to technical standards developed under the supervision of the U.S. Department of Health and Human Services (“HHS”). The HITECH </w:t>
      </w:r>
      <w:r>
        <w:rPr>
          <w:sz w:val="20"/>
          <w:szCs w:val="20"/>
        </w:rPr>
        <w:t>Act also imposes certain requirements upon governmental agencies to use, and requires healthcare providers, health plans, and insurers contracting with such agencies to use, systems that are certified according to such standards. The healthcare IT industry</w:t>
      </w:r>
      <w:r>
        <w:rPr>
          <w:sz w:val="20"/>
          <w:szCs w:val="20"/>
        </w:rPr>
        <w:t xml:space="preserve"> continues to experience changes as a result of new laws, regulations, and changes to healthcare industry standards. For instance, the meaningful use incentive program has since expired and has been consolidated, among other incentive programs, within the </w:t>
      </w:r>
      <w:r>
        <w:rPr>
          <w:sz w:val="20"/>
          <w:szCs w:val="20"/>
        </w:rPr>
        <w:t>Merit-based Incentive Payment System (“MIPS”), which was created as part of the Quality Payment Program (“QPP”), launched by CMS after passage of the Medicare Access and CHIP Reauthorization Act (“MACRA”). MACRA and regulations promulgated by it change the</w:t>
      </w:r>
      <w:r>
        <w:rPr>
          <w:sz w:val="20"/>
          <w:szCs w:val="20"/>
        </w:rPr>
        <w:t xml:space="preserve"> way CMS rewards clinicians in the healthcare industry by rewarding value-based care over volume-based care. MIPS requires substantial reporting mechanisms based on clinical quality measures that highly depend on reporting feature within EHR systems.</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91311852"/>
        </w:trPr>
        <w:tc>
          <w:tcPr>
            <w:tcW w:w="5000" w:type="pct"/>
            <w:hideMark/>
          </w:tcPr>
          <w:p w:rsidR="00000000" w:rsidRDefault="003A6737">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HITECH and Cures Acts (as described in more detail above) contain certification requirements which affect our business because we have invested and continue to invest in conforming our products and services to these standards. HHS has developed certificati</w:t>
      </w:r>
      <w:r>
        <w:rPr>
          <w:sz w:val="20"/>
          <w:szCs w:val="20"/>
        </w:rPr>
        <w:t>on programs for electronic health records and health information exchanges. Our web-based EHR solutions have been certified as complete EHR systems by ICSA Labs or Drummond Group, non-governmental, independent certifying bodies. We must ensure that our EHR</w:t>
      </w:r>
      <w:r>
        <w:rPr>
          <w:sz w:val="20"/>
          <w:szCs w:val="20"/>
        </w:rPr>
        <w:t xml:space="preserve"> solutions continue to be certified according to applicable HITECH Act and Cures Act technical standards so that our customers qualify for any MIPS/MACRA incentive payments and are not subject to penalties for non-compliance. Failure to maintain this certi</w:t>
      </w:r>
      <w:r>
        <w:rPr>
          <w:sz w:val="20"/>
          <w:szCs w:val="20"/>
        </w:rPr>
        <w:t>fication under the HITECH Act and Cures Act could jeopardize our relationships with customers who are relying upon us to provide certified software, and will make our products and services less attractive to customers than the offerings of other EHR vendor</w:t>
      </w:r>
      <w:r>
        <w:rPr>
          <w:sz w:val="20"/>
          <w:szCs w:val="20"/>
        </w:rPr>
        <w:t>s who maintain certification of their products.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If a breach of our measures protecting personal data covered by HIPAA or the HITECH Act occurs, we may incur significant liabilities.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Health Insurance Portability and Accountability Act of 1996, as am</w:t>
      </w:r>
      <w:r>
        <w:rPr>
          <w:sz w:val="20"/>
          <w:szCs w:val="20"/>
        </w:rPr>
        <w:t>ended (“HIPAA”), and the regulations that have been issued under it contain substantial restrictions and requirements with respect to the use, collection, storage and disclosure of individuals’ protected health information. Under HIPAA, covered entities mu</w:t>
      </w:r>
      <w:r>
        <w:rPr>
          <w:sz w:val="20"/>
          <w:szCs w:val="20"/>
        </w:rPr>
        <w:t>st establish administrative, physical and technical safeguards to protect the confidentiality, integrity and availability of electronic protected health information maintained or transmitted by them or by others on their behalf. In February 2009, HIPAA was</w:t>
      </w:r>
      <w:r>
        <w:rPr>
          <w:sz w:val="20"/>
          <w:szCs w:val="20"/>
        </w:rPr>
        <w:t xml:space="preserve"> amended by the HITECH Act to add provisions that impose certain of HIPAA’s privacy and security requirements directly upon business associates of covered entities. Under HIPAA and the HITECH Act, our customers are covered entities and we are a business as</w:t>
      </w:r>
      <w:r>
        <w:rPr>
          <w:sz w:val="20"/>
          <w:szCs w:val="20"/>
        </w:rPr>
        <w:t>sociate of our customers as a result of our contractual obligations to perform certain services for those customers. The HITECH Act transferred enforcement authority of the security rule from CMS to the Office for Civil Rights of HHS, thereby consolidating</w:t>
      </w:r>
      <w:r>
        <w:rPr>
          <w:sz w:val="20"/>
          <w:szCs w:val="20"/>
        </w:rPr>
        <w:t xml:space="preserve"> authority over the privacy and security rules under a single office within HHS. Further, HITECH empowered state attorneys’ general to enforce HIPAA.</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HITECH Act heightened enforcement of privacy and security rules, indicating that the imposition of p</w:t>
      </w:r>
      <w:r>
        <w:rPr>
          <w:sz w:val="20"/>
          <w:szCs w:val="20"/>
        </w:rPr>
        <w:t>enalties will be more common in the future and such penalties will be more severe. For example, the HITECH Act requires that the HHS fully investigate all complaints if a preliminary investigation of the facts indicates a possible violation due to “willful</w:t>
      </w:r>
      <w:r>
        <w:rPr>
          <w:sz w:val="20"/>
          <w:szCs w:val="20"/>
        </w:rPr>
        <w:t xml:space="preserve"> neglect” and imposes penalties if such neglect is found. Further, where our liability as a business associate to our customers was previously merely contractual in nature, the HITECH Act now treats the breach of duty under an agreement by a business assoc</w:t>
      </w:r>
      <w:r>
        <w:rPr>
          <w:sz w:val="20"/>
          <w:szCs w:val="20"/>
        </w:rPr>
        <w:t>iate to carry the same liability as if the covered entity engaged in the breach. In other words, as a business associate, we are now directly responsible for complying with HIPAA. We may find ourselves subject to increased liability as a possible liable pa</w:t>
      </w:r>
      <w:r>
        <w:rPr>
          <w:sz w:val="20"/>
          <w:szCs w:val="20"/>
        </w:rPr>
        <w:t>rty and we may incur increased costs as we perform our obligations to our customers under our agreements with them.</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Finally, regulations also require business associates to notify covered entities, who in turn must notify affected individuals and governm</w:t>
      </w:r>
      <w:r>
        <w:rPr>
          <w:sz w:val="20"/>
          <w:szCs w:val="20"/>
        </w:rPr>
        <w:t>ent authorities of data security breaches involving unsecured protected health information. We have performed an assessment of the potential risks and vulnerabilities to the confidentiality, integrity and availability of electronic health information. In r</w:t>
      </w:r>
      <w:r>
        <w:rPr>
          <w:sz w:val="20"/>
          <w:szCs w:val="20"/>
        </w:rPr>
        <w:t>esponse to this risk analysis, we implemented and maintain physical, technical and administrative safeguards intended to protect all personal data and have processes in place to assist us in complying with applicable laws and regulations regarding the prot</w:t>
      </w:r>
      <w:r>
        <w:rPr>
          <w:sz w:val="20"/>
          <w:szCs w:val="20"/>
        </w:rPr>
        <w:t>ection of this data and properly responding to any security incidents. If we knowingly breach the HITECH Act’s requirements, we could be exposed to criminal liability. A breach of our safeguards and processes could expose us to civil penalties of up to $1.</w:t>
      </w:r>
      <w:r>
        <w:rPr>
          <w:sz w:val="20"/>
          <w:szCs w:val="20"/>
        </w:rPr>
        <w:t>5 million for each incident and the possibility of civil litigation.</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 xml:space="preserve">If we or our customers fail to comply with federal and state laws governing submission of false or fraudulent claims to government healthcare programs and financial relationships among </w:t>
      </w:r>
      <w:r>
        <w:rPr>
          <w:b/>
          <w:bCs/>
          <w:i/>
          <w:iCs/>
          <w:sz w:val="20"/>
          <w:szCs w:val="20"/>
        </w:rPr>
        <w:t>healthcare providers, we or our customers may be subject to civil and criminal penalties or loss of eligibility to participate in government healthcare programs.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As a participant in the healthcare industry, our operations and relationships, and those of </w:t>
      </w:r>
      <w:r>
        <w:rPr>
          <w:sz w:val="20"/>
          <w:szCs w:val="20"/>
        </w:rPr>
        <w:t>our customers, are regulated by a number of federal, state and local governmental entities. The impact of these regulations can adversely affect us even though we may not be directly regulated by specific healthcare laws and regulations. We must ensure tha</w:t>
      </w:r>
      <w:r>
        <w:rPr>
          <w:sz w:val="20"/>
          <w:szCs w:val="20"/>
        </w:rPr>
        <w:t>t our products and services can be used by our customers in a manner that complies with those laws and regulations. Inability of our customers to do so could affect the marketability of our products and services or our compliance with our customer contract</w:t>
      </w:r>
      <w:r>
        <w:rPr>
          <w:sz w:val="20"/>
          <w:szCs w:val="20"/>
        </w:rPr>
        <w:t>s, or even expose us to direct liability under the theory that we had assisted our customers in a violation of healthcare laws or regulations. A number of federal and state laws, including anti-kickback restrictions and laws prohibiting the submission of f</w:t>
      </w:r>
      <w:r>
        <w:rPr>
          <w:sz w:val="20"/>
          <w:szCs w:val="20"/>
        </w:rPr>
        <w:t>alse or fraudulent claims, apply to healthcare providers and others that make, offer, seek or receive referrals or payments for products or services that may be paid for through any federal or state healthcare program and, in some instances, any private pr</w:t>
      </w:r>
      <w:r>
        <w:rPr>
          <w:sz w:val="20"/>
          <w:szCs w:val="20"/>
        </w:rPr>
        <w:t>ogram. These laws are complex and their application to our specific services and relationships may not be clear and may be applied to our business in ways that we do not anticipate. Federal and state regulatory and law enforcement authorities have recently</w:t>
      </w:r>
      <w:r>
        <w:rPr>
          <w:sz w:val="20"/>
          <w:szCs w:val="20"/>
        </w:rPr>
        <w:t xml:space="preserve"> increased enforcement activities with respect to Medicare and Medicaid fraud and abuse regulations and other healthcare reimbursement laws and rules. From time to time, participants in the healthcare industry receive inquiries or subpoenas to produce docu</w:t>
      </w:r>
      <w:r>
        <w:rPr>
          <w:sz w:val="20"/>
          <w:szCs w:val="20"/>
        </w:rPr>
        <w:t>ments in connection with government investigations. We could be required to expend significant time and resources to comply with these requests, and the attention of our management team could be diverted by these efforts. The occurrence of any of these eve</w:t>
      </w:r>
      <w:r>
        <w:rPr>
          <w:sz w:val="20"/>
          <w:szCs w:val="20"/>
        </w:rPr>
        <w:t>nts could give our customers the right to terminate our contracts with us and result in significant harm to our business and financial condition.</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22074421"/>
        </w:trPr>
        <w:tc>
          <w:tcPr>
            <w:tcW w:w="5000" w:type="pct"/>
            <w:hideMark/>
          </w:tcPr>
          <w:p w:rsidR="00000000" w:rsidRDefault="003A6737">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These </w:t>
      </w:r>
      <w:r>
        <w:rPr>
          <w:sz w:val="20"/>
          <w:szCs w:val="20"/>
        </w:rPr>
        <w:t>laws and regulations may change rapidly, and it is frequently unclear how they apply to our business. Any failure of our products or services to comply with these laws and regulations could result in substantial civil or criminal liability and could, among</w:t>
      </w:r>
      <w:r>
        <w:rPr>
          <w:sz w:val="20"/>
          <w:szCs w:val="20"/>
        </w:rPr>
        <w:t xml:space="preserve"> other things, adversely affect demand for our services, invalidate all or portions of some of our contracts with our customers, require us to change or terminate some portions of our business, require us to refund portions of our revenue, cause us to be d</w:t>
      </w:r>
      <w:r>
        <w:rPr>
          <w:sz w:val="20"/>
          <w:szCs w:val="20"/>
        </w:rPr>
        <w:t>isqualified from serving customers doing business with government payers, and give our customers the right to terminate our contracts with them, any one of which could have an adverse effect on our business.</w:t>
      </w:r>
    </w:p>
    <w:p w:rsidR="00000000" w:rsidRDefault="003A6737">
      <w:pPr>
        <w:pStyle w:val="a3"/>
        <w:spacing w:before="0" w:beforeAutospacing="0" w:after="0" w:afterAutospacing="0"/>
        <w:jc w:val="both"/>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b/>
          <w:bCs/>
          <w:i/>
          <w:iCs/>
          <w:sz w:val="20"/>
          <w:szCs w:val="20"/>
        </w:rPr>
        <w:t>Potential healthcare reform and new regulatory</w:t>
      </w:r>
      <w:r>
        <w:rPr>
          <w:b/>
          <w:bCs/>
          <w:i/>
          <w:iCs/>
          <w:sz w:val="20"/>
          <w:szCs w:val="20"/>
        </w:rPr>
        <w:t xml:space="preserve"> requirements placed on our products and services could increase our costs, delay or prevent our introduction of new products or services, and impair the function or value of our existing products and services.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products and services may be significan</w:t>
      </w:r>
      <w:r>
        <w:rPr>
          <w:sz w:val="20"/>
          <w:szCs w:val="20"/>
        </w:rPr>
        <w:t>tly impacted by healthcare reform initiatives and will be subject to increasing regulatory requirements, either of which could negatively impact our business in a multitude of ways. If substantive healthcare reform or applicable regulatory requirements are</w:t>
      </w:r>
      <w:r>
        <w:rPr>
          <w:sz w:val="20"/>
          <w:szCs w:val="20"/>
        </w:rPr>
        <w:t xml:space="preserve"> adopted, we may have to change or adapt our products and services to comply. Reform or changing regulatory requirements may also render our products or services obsolete or may block us from accomplishing our work or from developing new products or servic</w:t>
      </w:r>
      <w:r>
        <w:rPr>
          <w:sz w:val="20"/>
          <w:szCs w:val="20"/>
        </w:rPr>
        <w:t>es. This may in turn impose additional costs upon us to adapt to the new operating environment or to further develop or modify our products and services. Such reforms may also make introduction of new products and service costlier or more time-consuming th</w:t>
      </w:r>
      <w:r>
        <w:rPr>
          <w:sz w:val="20"/>
          <w:szCs w:val="20"/>
        </w:rPr>
        <w:t>an we currently anticipate. These changes may also prevent our introduction of new products and services or make the continuation or maintenance of our existing products and services unprofitable or impossible.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 xml:space="preserve">Additional regulation of the disclosure of </w:t>
      </w:r>
      <w:r>
        <w:rPr>
          <w:b/>
          <w:bCs/>
          <w:i/>
          <w:iCs/>
          <w:sz w:val="20"/>
          <w:szCs w:val="20"/>
        </w:rPr>
        <w:t>medical information outside the United States may adversely affect our operations and may increase our costs.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Federal or state governmental authorities may impose additional data security standards or additional privacy or other restrictions on the colle</w:t>
      </w:r>
      <w:r>
        <w:rPr>
          <w:sz w:val="20"/>
          <w:szCs w:val="20"/>
        </w:rPr>
        <w:t>ction, use, transmission, and other disclosures of medical information. Legislation has been proposed at various times at both the federal and the state level that would limit, forbid, or regulate the use or transmission of medical information outside of t</w:t>
      </w:r>
      <w:r>
        <w:rPr>
          <w:sz w:val="20"/>
          <w:szCs w:val="20"/>
        </w:rPr>
        <w:t>he United States. Such legislation, if adopted, may render our use of our servers in Offshore Offices for work related to such data impracticable or substantially more expensive. Alternative processing of such information within the United States may invol</w:t>
      </w:r>
      <w:r>
        <w:rPr>
          <w:sz w:val="20"/>
          <w:szCs w:val="20"/>
        </w:rPr>
        <w:t>ve substantial delay in implementation and increased cost.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 xml:space="preserve">Our </w:t>
      </w:r>
      <w:r>
        <w:rPr>
          <w:b/>
          <w:bCs/>
          <w:i/>
          <w:iCs/>
          <w:sz w:val="20"/>
          <w:szCs w:val="20"/>
        </w:rPr>
        <w:t>services present the potential for embezzlement, identity theft, or other similar illegal behavior by our employees.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Among other things, our services from time to time involve handling mail from payers and payments from patients for our customers, and th</w:t>
      </w:r>
      <w:r>
        <w:rPr>
          <w:sz w:val="20"/>
          <w:szCs w:val="20"/>
        </w:rPr>
        <w:t>is mail frequently includes original checks and credit card information and occasionally includes currency. Where requested, we deposit payments and process credit card transactions from patients on behalf of customers and then forward these payments to th</w:t>
      </w:r>
      <w:r>
        <w:rPr>
          <w:sz w:val="20"/>
          <w:szCs w:val="20"/>
        </w:rPr>
        <w:t>e customers. Even in those cases in which we do not handle original documents or mail, our services also involve the use and disclosure of personal and business information that could be used to impersonate third parties or otherwise gain access to their d</w:t>
      </w:r>
      <w:r>
        <w:rPr>
          <w:sz w:val="20"/>
          <w:szCs w:val="20"/>
        </w:rPr>
        <w:t>ata or funds. The manner in which we store and use certain financial information is governed by various federal and state laws. If any of our employees takes, converts, or misuses such funds, documents, or data, we could be liable for damages, subject to r</w:t>
      </w:r>
      <w:r>
        <w:rPr>
          <w:sz w:val="20"/>
          <w:szCs w:val="20"/>
        </w:rPr>
        <w:t>egulatory actions and penalties, and our business reputation could be damaged or destroyed. In addition, we could be perceived to have facilitated or participated in illegal misappropriation of funds, documents, or data and therefore be subject to civil or</w:t>
      </w:r>
      <w:r>
        <w:rPr>
          <w:sz w:val="20"/>
          <w:szCs w:val="20"/>
        </w:rPr>
        <w:t xml:space="preserve"> criminal liability.</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60981025"/>
        </w:trPr>
        <w:tc>
          <w:tcPr>
            <w:tcW w:w="5000" w:type="pct"/>
            <w:hideMark/>
          </w:tcPr>
          <w:p w:rsidR="00000000" w:rsidRDefault="003A6737">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sz w:val="20"/>
          <w:szCs w:val="20"/>
        </w:rPr>
        <w:t>Risks Related to Ownership of Shares of Our Common Stock</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i/>
          <w:iCs/>
          <w:sz w:val="20"/>
          <w:szCs w:val="20"/>
        </w:rPr>
        <w:t xml:space="preserve">Our </w:t>
      </w:r>
      <w:r>
        <w:rPr>
          <w:b/>
          <w:bCs/>
          <w:i/>
          <w:iCs/>
          <w:sz w:val="20"/>
          <w:szCs w:val="20"/>
        </w:rPr>
        <w:t>revenues, operating results and cash flows may fluctuate in future periods and we may fail to meet investor expectations, which may cause the price of our common stock to decline.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Variations in our quarterly and year-end operating results are difficult t</w:t>
      </w:r>
      <w:r>
        <w:rPr>
          <w:sz w:val="20"/>
          <w:szCs w:val="20"/>
        </w:rPr>
        <w:t>o predict and may fluctuate significantly from period to period. If our sales or operating results fall below the expectations of investors or securities analysts, the price of our common stock could decline substantially. Specific factors that may cause f</w:t>
      </w:r>
      <w:r>
        <w:rPr>
          <w:sz w:val="20"/>
          <w:szCs w:val="20"/>
        </w:rPr>
        <w:t>luctuations in our operating results include:</w:t>
      </w:r>
    </w:p>
    <w:p w:rsidR="00000000" w:rsidRDefault="003A6737">
      <w:pPr>
        <w:pStyle w:val="a3"/>
        <w:spacing w:before="0" w:beforeAutospacing="0" w:after="0" w:afterAutospacing="0"/>
        <w:ind w:left="36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demand and pricing for our products and services;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the encounter volumes of our customer base;</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government or commercial healthcare reimbursement policies;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physician </w:t>
            </w:r>
            <w:r>
              <w:rPr>
                <w:rFonts w:eastAsia="Times New Roman"/>
                <w:sz w:val="20"/>
                <w:szCs w:val="20"/>
              </w:rPr>
              <w:t>and patient acceptance of any of our current or future products;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introduction of competing products;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our operating expenses which fluctuate due to growth of our business;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timing and size of any new product or technology acquisitions we may complet</w:t>
            </w:r>
            <w:r>
              <w:rPr>
                <w:rFonts w:eastAsia="Times New Roman"/>
                <w:sz w:val="20"/>
                <w:szCs w:val="20"/>
              </w:rPr>
              <w:t>e; and</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variable sales cycle and implementation periods for our products and services.</w:t>
            </w:r>
          </w:p>
        </w:tc>
      </w:tr>
    </w:tbl>
    <w:p w:rsidR="00000000" w:rsidRDefault="003A6737">
      <w:pPr>
        <w:pStyle w:val="a3"/>
        <w:spacing w:before="0" w:beforeAutospacing="0" w:after="0" w:afterAutospacing="0"/>
        <w:ind w:left="360" w:hanging="36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Future sales of shares of our common stock could depress the market price of our common stock.</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Sales of a substantial number of shares of our common stock in the </w:t>
      </w:r>
      <w:r>
        <w:rPr>
          <w:sz w:val="20"/>
          <w:szCs w:val="20"/>
        </w:rPr>
        <w:t>public market could occur at any time. If our stockholders sell, or the market perceives that our stockholders intend to sell substantial amounts of our common stock in the public market, the market price of our common stock could decline significantly.</w:t>
      </w:r>
    </w:p>
    <w:p w:rsidR="00000000" w:rsidRDefault="003A6737">
      <w:pPr>
        <w:pStyle w:val="a3"/>
        <w:spacing w:before="0" w:beforeAutospacing="0" w:after="0" w:afterAutospacing="0"/>
        <w:jc w:val="both"/>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b/>
          <w:bCs/>
          <w:i/>
          <w:iCs/>
          <w:sz w:val="20"/>
          <w:szCs w:val="20"/>
        </w:rPr>
        <w:t>Mahmud Haq currently controls 29.5% of our outstanding shares of common stock, which will prevent investors from influencing significant corporate decisions.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Mahmud </w:t>
      </w:r>
      <w:r>
        <w:rPr>
          <w:sz w:val="20"/>
          <w:szCs w:val="20"/>
        </w:rPr>
        <w:t xml:space="preserve">Haq, our founder and Executive Chairman, beneficially owns 29.5% of our outstanding shares of common stock. As a result, Mr. Haq exercises a significant level of control over all matters requiring stockholder approval, including the election of directors, </w:t>
      </w:r>
      <w:r>
        <w:rPr>
          <w:sz w:val="20"/>
          <w:szCs w:val="20"/>
        </w:rPr>
        <w:t>amendment of our certificate of incorporation, and approval of significant corporate transactions. This control could have the effect of delaying or preventing a change of control of our company or changes in management, and will make the approval of certa</w:t>
      </w:r>
      <w:r>
        <w:rPr>
          <w:sz w:val="20"/>
          <w:szCs w:val="20"/>
        </w:rPr>
        <w:t>in transactions difficult or impossible without his support, which in turn could reduce the price of our common stock.</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Provisions of Delaware law, of our amended and restated charter and amended and restated bylaws may make a takeover more difficult, whi</w:t>
      </w:r>
      <w:r>
        <w:rPr>
          <w:b/>
          <w:bCs/>
          <w:i/>
          <w:iCs/>
          <w:sz w:val="20"/>
          <w:szCs w:val="20"/>
        </w:rPr>
        <w:t>ch could cause our common stock price to decline.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Provisions in our amended and restated certificate of incorporation and amended and restated bylaws and in the Delaware General Corporation Law (“DGCL”) may make it difficult and expensive for a third par</w:t>
      </w:r>
      <w:r>
        <w:rPr>
          <w:sz w:val="20"/>
          <w:szCs w:val="20"/>
        </w:rPr>
        <w:t>ty to pursue a tender offer, change in control or takeover attempt, which is opposed by management and the Board of Directors. Public stockholders who might desire to participate in such a transaction may not have an opportunity to do so. We have a stagger</w:t>
      </w:r>
      <w:r>
        <w:rPr>
          <w:sz w:val="20"/>
          <w:szCs w:val="20"/>
        </w:rPr>
        <w:t>ed Board of Directors that makes it difficult for stockholders to change the composition of the Board of Directors in any one year. Further, our amended and restated certificate of incorporation provides for the removal of a director only for cause upon th</w:t>
      </w:r>
      <w:r>
        <w:rPr>
          <w:sz w:val="20"/>
          <w:szCs w:val="20"/>
        </w:rPr>
        <w:t>e affirmative vote of the holders of at least 50.1% of the outstanding shares entitled to cast their vote for the election of directors, which may discourage a third party from making a tender offer or otherwise attempting to obtain control of us. These an</w:t>
      </w:r>
      <w:r>
        <w:rPr>
          <w:sz w:val="20"/>
          <w:szCs w:val="20"/>
        </w:rPr>
        <w:t>d other anti-takeover provisions could substantially impede the ability of public stockholders to change our management and Board of Directors. Such provisions may also limit the price that investors might be willing to pay for shares of our Preferred Stoc</w:t>
      </w:r>
      <w:r>
        <w:rPr>
          <w:sz w:val="20"/>
          <w:szCs w:val="20"/>
        </w:rPr>
        <w:t>k in the future.</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rPr>
          <w:sz w:val="20"/>
          <w:szCs w:val="20"/>
        </w:rPr>
      </w:pPr>
      <w:r>
        <w:rPr>
          <w:b/>
          <w:bCs/>
          <w:i/>
          <w:iCs/>
          <w:sz w:val="20"/>
          <w:szCs w:val="20"/>
        </w:rPr>
        <w:t>Any issuance of additional preferred stock in the future may dilute the rights of our existing stockholders.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Board of Directors has the authority to issue up to 7,000,000 shares of preferred stock and to determine the price, privil</w:t>
      </w:r>
      <w:r>
        <w:rPr>
          <w:sz w:val="20"/>
          <w:szCs w:val="20"/>
        </w:rPr>
        <w:t xml:space="preserve">eges and other terms of these shares, of which 4,526,231 shares of Series A Preferred Stock and 1,344,128 of Series B Preferred Stock have been issued as of December 31, 2022. Our Board of Directors may exercise its authority with respect to the remaining </w:t>
      </w:r>
      <w:r>
        <w:rPr>
          <w:sz w:val="20"/>
          <w:szCs w:val="20"/>
        </w:rPr>
        <w:t>shares of preferred stock without any further approval of common stockholders. The rights of the holders of common stock may be adversely affected by the rights of future holders of preferred stock.</w:t>
      </w:r>
    </w:p>
    <w:p w:rsidR="00000000" w:rsidRDefault="003A6737">
      <w:pPr>
        <w:pStyle w:val="a3"/>
        <w:spacing w:before="0" w:beforeAutospacing="0" w:after="0" w:afterAutospacing="0"/>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0482399"/>
        </w:trPr>
        <w:tc>
          <w:tcPr>
            <w:tcW w:w="5000" w:type="pct"/>
            <w:hideMark/>
          </w:tcPr>
          <w:p w:rsidR="00000000" w:rsidRDefault="003A6737">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b/>
          <w:bCs/>
          <w:i/>
          <w:iCs/>
          <w:sz w:val="20"/>
          <w:szCs w:val="20"/>
        </w:rPr>
        <w:t> </w:t>
      </w:r>
    </w:p>
    <w:p w:rsidR="00000000" w:rsidRDefault="003A6737">
      <w:pPr>
        <w:pStyle w:val="a3"/>
        <w:spacing w:before="0" w:beforeAutospacing="0" w:after="0" w:afterAutospacing="0"/>
        <w:rPr>
          <w:sz w:val="20"/>
          <w:szCs w:val="20"/>
        </w:rPr>
      </w:pPr>
      <w:r>
        <w:rPr>
          <w:b/>
          <w:bCs/>
          <w:i/>
          <w:iCs/>
          <w:sz w:val="20"/>
          <w:szCs w:val="20"/>
        </w:rPr>
        <w:t>We do not intend to pay cash dividends on our</w:t>
      </w:r>
      <w:r>
        <w:rPr>
          <w:b/>
          <w:bCs/>
          <w:i/>
          <w:iCs/>
          <w:sz w:val="20"/>
          <w:szCs w:val="20"/>
        </w:rPr>
        <w:t xml:space="preserve"> common stock.</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Currently, we do not anticipate paying any cash dividends to holders of our common stock. As a result, capital appreciation, if any, of our common stock will be a stockholder’s sole source of gain.</w:t>
      </w:r>
    </w:p>
    <w:p w:rsidR="00000000" w:rsidRDefault="003A6737">
      <w:pPr>
        <w:pStyle w:val="a3"/>
        <w:shd w:val="clear" w:color="auto" w:fill="FFFFFF"/>
        <w:spacing w:before="0" w:beforeAutospacing="0" w:after="0" w:afterAutospacing="0"/>
        <w:jc w:val="both"/>
        <w:rPr>
          <w:sz w:val="20"/>
          <w:szCs w:val="20"/>
        </w:rPr>
      </w:pPr>
      <w:r>
        <w:rPr>
          <w:b/>
          <w:bCs/>
          <w:i/>
          <w:iCs/>
          <w:sz w:val="20"/>
          <w:szCs w:val="20"/>
        </w:rPr>
        <w:t> </w:t>
      </w:r>
    </w:p>
    <w:p w:rsidR="00000000" w:rsidRDefault="003A6737">
      <w:pPr>
        <w:pStyle w:val="a3"/>
        <w:shd w:val="clear" w:color="auto" w:fill="FFFFFF"/>
        <w:spacing w:before="0" w:beforeAutospacing="0" w:after="0" w:afterAutospacing="0"/>
        <w:jc w:val="both"/>
        <w:rPr>
          <w:sz w:val="20"/>
          <w:szCs w:val="20"/>
        </w:rPr>
      </w:pPr>
      <w:r>
        <w:rPr>
          <w:b/>
          <w:bCs/>
          <w:i/>
          <w:iCs/>
          <w:sz w:val="20"/>
          <w:szCs w:val="20"/>
        </w:rPr>
        <w:t xml:space="preserve">Complying </w:t>
      </w:r>
      <w:r>
        <w:rPr>
          <w:b/>
          <w:bCs/>
          <w:i/>
          <w:iCs/>
          <w:sz w:val="20"/>
          <w:szCs w:val="20"/>
        </w:rPr>
        <w:t>with the laws and regulations affecting public companies will increase our costs and the demands on management and could harm our operating results.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As a public company, the Sarbanes-Oxley Act requires, among other things, that we assess the effectivenes</w:t>
      </w:r>
      <w:r>
        <w:rPr>
          <w:sz w:val="20"/>
          <w:szCs w:val="20"/>
        </w:rPr>
        <w:t xml:space="preserve">s of our internal control over financial reporting annually and the effectiveness of our disclosure controls and procedures quarterly. As a “smaller reporting company” prior to 2021, we elected to avail ourselves of the exemption from the requirement that </w:t>
      </w:r>
      <w:r>
        <w:rPr>
          <w:sz w:val="20"/>
          <w:szCs w:val="20"/>
        </w:rPr>
        <w:t>our independent registered public accounting firm attest to the effectiveness of our internal control over financial reporting under Section 404 of the Sarbanes-Oxley Act. For the year 2021, we were subject to such requirement, but were not required to hav</w:t>
      </w:r>
      <w:r>
        <w:rPr>
          <w:sz w:val="20"/>
          <w:szCs w:val="20"/>
        </w:rPr>
        <w:t xml:space="preserve">e this attestation performed for the year 2022. In future years if we are required to have our independent registered public accounting firm attest the effectiveness of our internal control over financial reporting, the cost of our compliance with Section </w:t>
      </w:r>
      <w:r>
        <w:rPr>
          <w:sz w:val="20"/>
          <w:szCs w:val="20"/>
        </w:rPr>
        <w:t>404 will correspondingly increase. Our compliance with applicable provisions of Section 404 requires that we incur substantial accounting expense and expend significant management time on compliance-related issues and stay in compliance with reporting requ</w:t>
      </w:r>
      <w:r>
        <w:rPr>
          <w:sz w:val="20"/>
          <w:szCs w:val="20"/>
        </w:rPr>
        <w:t>irements. Moreover, if we are not able to stay in compliance with the requirements of Section 404 applicable to us in a timely manner, or if we or our independent registered public accounting firm identifies any deficiencies in our internal control over fi</w:t>
      </w:r>
      <w:r>
        <w:rPr>
          <w:sz w:val="20"/>
          <w:szCs w:val="20"/>
        </w:rPr>
        <w:t>nancial reporting that are deemed to be material weaknesses, the market price of our stock could decline and we could be subject to sanctions or investigations by the SEC or other regulatory authorities, which would require additional financial and managem</w:t>
      </w:r>
      <w:r>
        <w:rPr>
          <w:sz w:val="20"/>
          <w:szCs w:val="20"/>
        </w:rPr>
        <w:t>ent resources.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Furthermore, investor perceptions of our Company may suffer if deficiencies are found, and this could cause a decline in the market price of our common and preferred stock. Irrespective of compliance with Section 404, any failure of our in</w:t>
      </w:r>
      <w:r>
        <w:rPr>
          <w:sz w:val="20"/>
          <w:szCs w:val="20"/>
        </w:rPr>
        <w:t>ternal control over financial reporting could have a material adverse effect on our stated operating results and harm our reputation. If we are unable to implement these changes effectively or efficiently, it could harm our operations, financial reporting,</w:t>
      </w:r>
      <w:r>
        <w:rPr>
          <w:sz w:val="20"/>
          <w:szCs w:val="20"/>
        </w:rPr>
        <w:t xml:space="preserve"> or financial results and could result in an adverse opinion on internal control from our independent registered public accounting firm.</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i/>
          <w:iCs/>
          <w:sz w:val="20"/>
          <w:szCs w:val="20"/>
        </w:rPr>
        <w:t>We are a smaller reporting company and we cannot be certain if the reduced disclosure requirements applicable to smal</w:t>
      </w:r>
      <w:r>
        <w:rPr>
          <w:b/>
          <w:bCs/>
          <w:i/>
          <w:iCs/>
          <w:sz w:val="20"/>
          <w:szCs w:val="20"/>
        </w:rPr>
        <w:t>ler reporting companies will make our common stock less attractive to investors.</w:t>
      </w:r>
    </w:p>
    <w:p w:rsidR="00000000" w:rsidRDefault="003A6737">
      <w:pPr>
        <w:pStyle w:val="a3"/>
        <w:shd w:val="clear" w:color="auto" w:fill="FFFFFF"/>
        <w:spacing w:before="0" w:beforeAutospacing="0" w:after="0" w:afterAutospacing="0"/>
        <w:jc w:val="both"/>
        <w:rPr>
          <w:sz w:val="20"/>
          <w:szCs w:val="20"/>
        </w:rPr>
      </w:pPr>
      <w:r>
        <w:rPr>
          <w:b/>
          <w:bCs/>
          <w:i/>
          <w:iCs/>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There are many exemptions available to smaller reporting companies like us that have less than $250 million of worldwide common equity held by non-affiliates. The disclosure</w:t>
      </w:r>
      <w:r>
        <w:rPr>
          <w:sz w:val="20"/>
          <w:szCs w:val="20"/>
        </w:rPr>
        <w:t>s we will be required to provide in our SEC filings are still less than they would be if we were not considered a smaller reporting company. Specifically, smaller reporting companies are able to provide simplified executive compensation disclosures in thei</w:t>
      </w:r>
      <w:r>
        <w:rPr>
          <w:sz w:val="20"/>
          <w:szCs w:val="20"/>
        </w:rPr>
        <w:t>r fillings and have certain other decreased disclosure obligations in their SEC filings. Our status as a smaller reporting company may make it harder for investors to analyze our results of operations and financial prospects. We cannot predict if investors</w:t>
      </w:r>
      <w:r>
        <w:rPr>
          <w:sz w:val="20"/>
          <w:szCs w:val="20"/>
        </w:rPr>
        <w:t xml:space="preserve"> will find our common stock less attractive because we will rely on the exemption available to smaller reporting companies. If some investors find our common stock less attractive as a result, there may be a less active trading market for our common stock </w:t>
      </w:r>
      <w:r>
        <w:rPr>
          <w:sz w:val="20"/>
          <w:szCs w:val="20"/>
        </w:rPr>
        <w:t>and our stock price may be more volatile.</w:t>
      </w:r>
    </w:p>
    <w:p w:rsidR="00000000" w:rsidRDefault="003A6737">
      <w:pPr>
        <w:pStyle w:val="a3"/>
        <w:spacing w:before="0" w:beforeAutospacing="0" w:after="0" w:afterAutospacing="0"/>
        <w:jc w:val="both"/>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b/>
          <w:bCs/>
          <w:i/>
          <w:iCs/>
          <w:sz w:val="20"/>
          <w:szCs w:val="20"/>
        </w:rPr>
        <w:t>New climate disclosure rules, if adopted by the SEC, may increase our costs and litigation risks, which could materially and adversely affect our future results of operations and financial condition.</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During 202</w:t>
      </w:r>
      <w:r>
        <w:rPr>
          <w:sz w:val="20"/>
          <w:szCs w:val="20"/>
        </w:rPr>
        <w:t>2, the SEC proposed new climate disclosure rules, which, if adopted, would require new climate-related disclosure in SEC filings, including certain climate-related metrics and greenhouse gas emissions data, information about climate-related targets and goa</w:t>
      </w:r>
      <w:r>
        <w:rPr>
          <w:sz w:val="20"/>
          <w:szCs w:val="20"/>
        </w:rPr>
        <w:t>ls, transition plans, if any, and extensive attestation requirements. In addition to requiring public companies to quantify and disclose direct emissions data, the new rules also would require disclosure of climate impact arising from the operations and us</w:t>
      </w:r>
      <w:r>
        <w:rPr>
          <w:sz w:val="20"/>
          <w:szCs w:val="20"/>
        </w:rPr>
        <w:t>es by the company’s business partners and contractors and end-users of the company’s products and/or services. We are currently assessing the impact of the new rules, if adopted as proposed, but at this time, we cannot predict the costs of implementation o</w:t>
      </w:r>
      <w:r>
        <w:rPr>
          <w:sz w:val="20"/>
          <w:szCs w:val="20"/>
        </w:rPr>
        <w:t>r any potential adverse impacts resulting from the new rules if adopted. However, we may incur increased costs relating to the assessment and disclosure of climate-related risks and increased litigation risks related to disclosures made pursuant to the new</w:t>
      </w:r>
      <w:r>
        <w:rPr>
          <w:sz w:val="20"/>
          <w:szCs w:val="20"/>
        </w:rPr>
        <w:t xml:space="preserve"> rules, either of which could materially and adversely affect our future results of operations and financial condition.</w:t>
      </w:r>
    </w:p>
    <w:p w:rsidR="00000000" w:rsidRDefault="003A6737">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81223165"/>
        </w:trPr>
        <w:tc>
          <w:tcPr>
            <w:tcW w:w="5000" w:type="pct"/>
            <w:hideMark/>
          </w:tcPr>
          <w:p w:rsidR="00000000" w:rsidRDefault="003A6737">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rPr>
          <w:sz w:val="20"/>
          <w:szCs w:val="20"/>
        </w:rPr>
      </w:pPr>
      <w:r>
        <w:rPr>
          <w:b/>
          <w:bCs/>
          <w:sz w:val="20"/>
          <w:szCs w:val="20"/>
        </w:rPr>
        <w:t>Risks Related to Ownership of Shares of Our Preferred Stock</w:t>
      </w:r>
    </w:p>
    <w:p w:rsidR="00000000" w:rsidRDefault="003A6737">
      <w:pPr>
        <w:pStyle w:val="a3"/>
        <w:spacing w:before="0" w:beforeAutospacing="0" w:after="0" w:afterAutospacing="0"/>
        <w:jc w:val="both"/>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b/>
          <w:bCs/>
          <w:i/>
          <w:iCs/>
          <w:sz w:val="20"/>
          <w:szCs w:val="20"/>
        </w:rPr>
        <w:t xml:space="preserve">Our </w:t>
      </w:r>
      <w:r>
        <w:rPr>
          <w:b/>
          <w:bCs/>
          <w:i/>
          <w:iCs/>
          <w:sz w:val="20"/>
          <w:szCs w:val="20"/>
        </w:rPr>
        <w:t>Series A and Series B Preferred Stock ranks junior to all of our indebtedness and other liabilities.</w:t>
      </w:r>
    </w:p>
    <w:p w:rsidR="00000000" w:rsidRDefault="003A6737">
      <w:pPr>
        <w:pStyle w:val="a3"/>
        <w:spacing w:before="0" w:beforeAutospacing="0" w:after="0" w:afterAutospacing="0"/>
        <w:jc w:val="both"/>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sz w:val="20"/>
          <w:szCs w:val="20"/>
        </w:rPr>
        <w:t>Our Series A Preferred Stock ranks pari passu to our Series B Preferred Stock with respect to the distribution of assets upon our liquidation, dissolutio</w:t>
      </w:r>
      <w:r>
        <w:rPr>
          <w:sz w:val="20"/>
          <w:szCs w:val="20"/>
        </w:rPr>
        <w:t>n or winding-up of our affairs. In the event of our bankruptcy, liquidation, dissolution or winding-up of our affairs, our assets will be available to pay obligations on the Preferred Stock only after all of our indebtedness and other liabilities have been</w:t>
      </w:r>
      <w:r>
        <w:rPr>
          <w:sz w:val="20"/>
          <w:szCs w:val="20"/>
        </w:rPr>
        <w:t xml:space="preserve"> paid. The rights of holders of the Preferred Stock to participate in the distribution of our assets will rank junior to the prior claims of our current and future creditors and any future series or class of preferred stock we may issue that ranks senior t</w:t>
      </w:r>
      <w:r>
        <w:rPr>
          <w:sz w:val="20"/>
          <w:szCs w:val="20"/>
        </w:rPr>
        <w:t>o the Preferred Stock. Also, the Preferred Stock effectively ranks junior to all existing and future indebtedness and to the indebtedness and other liabilities of our existing subsidiaries and any future subsidiaries. Our existing subsidiaries are, and fut</w:t>
      </w:r>
      <w:r>
        <w:rPr>
          <w:sz w:val="20"/>
          <w:szCs w:val="20"/>
        </w:rPr>
        <w:t>ure subsidiaries would be, separate legal entities and have no legal obligation to pay any amounts to us in respect of dividends due on the Preferred Stock. If we are forced to liquidate our assets to pay our creditors, we may not have sufficient assets to</w:t>
      </w:r>
      <w:r>
        <w:rPr>
          <w:sz w:val="20"/>
          <w:szCs w:val="20"/>
        </w:rPr>
        <w:t xml:space="preserve"> pay amounts due on any or all of the Preferred Stock then outstanding. We may in the future incur debt and other obligations that will rank senior to the Preferred Stock. At December 31, 2022, our total liabilities (excluding contingent consideration) equ</w:t>
      </w:r>
      <w:r>
        <w:rPr>
          <w:sz w:val="20"/>
          <w:szCs w:val="20"/>
        </w:rPr>
        <w:t>aled approximately $34.5 million.</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Certain of our existing or future debt instruments may restrict the authorization, payment or setting apart of dividends on the Preferred Stock. Our Credit Agreement with Silicon Valley Bank (“SVB”) restricts the payment</w:t>
      </w:r>
      <w:r>
        <w:rPr>
          <w:sz w:val="20"/>
          <w:szCs w:val="20"/>
        </w:rPr>
        <w:t xml:space="preserve"> of dividends in the event of any event of default, including failure to meet certain financial covenants. There can be no assurance that we will remain in compliance with the SVB Credit Agreement, and if we default, we may be contractually prohibited from</w:t>
      </w:r>
      <w:r>
        <w:rPr>
          <w:sz w:val="20"/>
          <w:szCs w:val="20"/>
        </w:rPr>
        <w:t xml:space="preserve"> paying dividends on the Preferred Stock. Also, future offerings of debt or senior equity securities may adversely affect the market price of the Preferred Stock. If we decide to issue debt or senior equity securities in the future, it is possible that the</w:t>
      </w:r>
      <w:r>
        <w:rPr>
          <w:sz w:val="20"/>
          <w:szCs w:val="20"/>
        </w:rPr>
        <w:t>se securities will be governed by an indenture or other instruments containing covenants restricting our operating flexibility. Additionally, any convertible or exchangeable securities that we issue in the future may have rights, preferences and privileges</w:t>
      </w:r>
      <w:r>
        <w:rPr>
          <w:sz w:val="20"/>
          <w:szCs w:val="20"/>
        </w:rPr>
        <w:t xml:space="preserve"> more favorable than those of the Preferred Stock and may result in dilution to owners of the Preferred Stock. We and, indirectly, our shareholders, will bear the cost of issuing and servicing such securities. Because our decision to issue debt or equity s</w:t>
      </w:r>
      <w:r>
        <w:rPr>
          <w:sz w:val="20"/>
          <w:szCs w:val="20"/>
        </w:rPr>
        <w:t xml:space="preserve">ecurities in any future offering will depend on market conditions and other factors beyond our control, we cannot predict or estimate the amount, timing or nature of our future offerings. The holders of the Preferred Stock will bear the risk of our future </w:t>
      </w:r>
      <w:r>
        <w:rPr>
          <w:sz w:val="20"/>
          <w:szCs w:val="20"/>
        </w:rPr>
        <w:t>offerings, which may reduce the market price of the Preferred Stock and will dilute the value of their holdings.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We may not be able to pay dividends on the Preferred Stock if we fall out of compliance with our loan covenants and are prohibited by our ban</w:t>
      </w:r>
      <w:r>
        <w:rPr>
          <w:b/>
          <w:bCs/>
          <w:i/>
          <w:iCs/>
          <w:sz w:val="20"/>
          <w:szCs w:val="20"/>
        </w:rPr>
        <w:t>k lender from paying dividends or if we have insufficient cash to make dividend payments.</w:t>
      </w:r>
    </w:p>
    <w:p w:rsidR="00000000" w:rsidRDefault="003A6737">
      <w:pPr>
        <w:pStyle w:val="a3"/>
        <w:spacing w:before="0" w:beforeAutospacing="0" w:after="0" w:afterAutospacing="0"/>
        <w:jc w:val="both"/>
        <w:rPr>
          <w:sz w:val="20"/>
          <w:szCs w:val="20"/>
        </w:rPr>
      </w:pPr>
      <w:r>
        <w:rPr>
          <w:i/>
          <w:iCs/>
          <w:sz w:val="20"/>
          <w:szCs w:val="20"/>
        </w:rPr>
        <w:t> </w:t>
      </w:r>
    </w:p>
    <w:p w:rsidR="00000000" w:rsidRDefault="003A6737">
      <w:pPr>
        <w:pStyle w:val="a3"/>
        <w:spacing w:before="0" w:beforeAutospacing="0" w:after="0" w:afterAutospacing="0"/>
        <w:jc w:val="both"/>
        <w:rPr>
          <w:sz w:val="20"/>
          <w:szCs w:val="20"/>
        </w:rPr>
      </w:pPr>
      <w:r>
        <w:rPr>
          <w:sz w:val="20"/>
          <w:szCs w:val="20"/>
        </w:rPr>
        <w:t>Our ability to pay cash dividends on the Preferred Stock requires us to have either net profits or positive net assets (total assets less total liabilities), and to</w:t>
      </w:r>
      <w:r>
        <w:rPr>
          <w:sz w:val="20"/>
          <w:szCs w:val="20"/>
        </w:rPr>
        <w:t xml:space="preserve"> be able to pay our debts as they become due in the usual course of business. We cannot predict with certainty whether we will remain in compliance with the covenants of our senior secured lender, SVB, which include, among other things, generating adjusted</w:t>
      </w:r>
      <w:r>
        <w:rPr>
          <w:sz w:val="20"/>
          <w:szCs w:val="20"/>
        </w:rPr>
        <w:t xml:space="preserve"> EBITDA or complying with a minimum liquidity ratio at times when we are utilizing our line of credit. If we fall out of compliance, our lender may exercise any of its rights and remedies under the loan agreement, including restricting us from making divid</w:t>
      </w:r>
      <w:r>
        <w:rPr>
          <w:sz w:val="20"/>
          <w:szCs w:val="20"/>
        </w:rPr>
        <w:t>end payments.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Further, notwithstanding these factors, we may not have sufficient cash to pay dividends on the Preferred Stock. Our ability to pay dividends may be impaired if any of the risks described in this document, including the documents incorporat</w:t>
      </w:r>
      <w:r>
        <w:rPr>
          <w:sz w:val="20"/>
          <w:szCs w:val="20"/>
        </w:rPr>
        <w:t xml:space="preserve">ed by reference herein, were to occur. Also, payment of our dividends depends upon our financial condition, remaining in compliance with our affirmative and negative loan covenants with SVB, which we may be unable to do in the future, and other factors as </w:t>
      </w:r>
      <w:r>
        <w:rPr>
          <w:sz w:val="20"/>
          <w:szCs w:val="20"/>
        </w:rPr>
        <w:t>our Board of Directors may deem relevant from time to time. We cannot assure you that our businesses will generate sufficient cash flow from operations or that future borrowings will be available to us in an amount sufficient to enable us to make distribut</w:t>
      </w:r>
      <w:r>
        <w:rPr>
          <w:sz w:val="20"/>
          <w:szCs w:val="20"/>
        </w:rPr>
        <w:t>ions on our common stock, if any, and preferred stock, including the Preferred Stock to pay our indebtedness or to fund our other liquidity needs.</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549544"/>
        </w:trPr>
        <w:tc>
          <w:tcPr>
            <w:tcW w:w="5000" w:type="pct"/>
            <w:hideMark/>
          </w:tcPr>
          <w:p w:rsidR="00000000" w:rsidRDefault="003A6737">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 xml:space="preserve">We </w:t>
      </w:r>
      <w:r>
        <w:rPr>
          <w:b/>
          <w:bCs/>
          <w:i/>
          <w:iCs/>
          <w:sz w:val="20"/>
          <w:szCs w:val="20"/>
        </w:rPr>
        <w:t>may issue additional shares of Preferred Stock and additional series of preferred stock that rank on parity with the Preferred Stock as to dividend rights, rights upon liquidation or voting rights.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We are allowed to issue additional shares of Preferred S</w:t>
      </w:r>
      <w:r>
        <w:rPr>
          <w:sz w:val="20"/>
          <w:szCs w:val="20"/>
        </w:rPr>
        <w:t>tock and additional series of preferred stock that would rank equal to or below the Preferred Stock as to dividend payments and rights upon our liquidation, dissolution or winding up of our affairs pursuant to our amended and restated certificate of incorp</w:t>
      </w:r>
      <w:r>
        <w:rPr>
          <w:sz w:val="20"/>
          <w:szCs w:val="20"/>
        </w:rPr>
        <w:t>oration and the certificate of designations relating to the Preferred Stock without any vote of the holders of the Preferred Stock. Upon the affirmative vote of the holders of at least two-thirds of the outstanding shares of Preferred Stock (voting togethe</w:t>
      </w:r>
      <w:r>
        <w:rPr>
          <w:sz w:val="20"/>
          <w:szCs w:val="20"/>
        </w:rPr>
        <w:t>r as a class with all other series of parity preferred stock we may issue upon which like voting rights have been conferred and are exercisable), we are allowed to issue additional series of preferred stock that would rank above the Preferred Stock as to d</w:t>
      </w:r>
      <w:r>
        <w:rPr>
          <w:sz w:val="20"/>
          <w:szCs w:val="20"/>
        </w:rPr>
        <w:t>ividend payments and rights upon our liquidation, dissolution or the winding up of our affairs pursuant to our amended and restated certificate of incorporation and the certificate of designations relating to the Preferred Stock. The issuance of additional</w:t>
      </w:r>
      <w:r>
        <w:rPr>
          <w:sz w:val="20"/>
          <w:szCs w:val="20"/>
        </w:rPr>
        <w:t xml:space="preserve"> shares of Preferred Stock and additional series of preferred stock could have the effect of reducing the amounts available to the Preferred Stock upon our liquidation or dissolution or the winding up of our affairs. It also may reduce dividend payments on</w:t>
      </w:r>
      <w:r>
        <w:rPr>
          <w:sz w:val="20"/>
          <w:szCs w:val="20"/>
        </w:rPr>
        <w:t xml:space="preserve"> the Preferred Stock if we do not have sufficient funds to pay dividends on all Preferred Stock outstanding and other classes or series of stock with equal priority with respect to dividends.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Also, although holders of Preferred Stock are entitled to limi</w:t>
      </w:r>
      <w:r>
        <w:rPr>
          <w:sz w:val="20"/>
          <w:szCs w:val="20"/>
        </w:rPr>
        <w:t>ted voting rights with respect to the circumstances under which the holders of Preferred Stock are entitled to vote, the Preferred Stock votes separately as a class along with all other series of our preferred stock that we may issue upon which like voting</w:t>
      </w:r>
      <w:r>
        <w:rPr>
          <w:sz w:val="20"/>
          <w:szCs w:val="20"/>
        </w:rPr>
        <w:t xml:space="preserve"> rights have been conferred and are exercisable. As a result, the voting rights of holders of Preferred Stock may be significantly diluted, and the holders of such other series of preferred stock that we may issue may be able to control or significantly in</w:t>
      </w:r>
      <w:r>
        <w:rPr>
          <w:sz w:val="20"/>
          <w:szCs w:val="20"/>
        </w:rPr>
        <w:t>fluence the outcome of any vote.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Future issuances and sales of senior or pari passu preferred stock, or the perception that such issuances and sales could occur, may cause prevailing market prices for the Preferred Stock and our common stock to decline a</w:t>
      </w:r>
      <w:r>
        <w:rPr>
          <w:sz w:val="20"/>
          <w:szCs w:val="20"/>
        </w:rPr>
        <w:t>nd may adversely affect our ability to raise additional capital in the financial markets at times and prices favorable to us.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Market interest rates may materially and adversely affect the value of the Preferred Stock.</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One of the factors that influences</w:t>
      </w:r>
      <w:r>
        <w:rPr>
          <w:sz w:val="20"/>
          <w:szCs w:val="20"/>
        </w:rPr>
        <w:t xml:space="preserve"> the price of the Preferred Stock is the dividend yield on the Preferred Stock (as a percentage of the market price of each class of the Preferred Stock) relative to market interest rates. An increase in market interest rates may lead prospective purchaser</w:t>
      </w:r>
      <w:r>
        <w:rPr>
          <w:sz w:val="20"/>
          <w:szCs w:val="20"/>
        </w:rPr>
        <w:t>s of the Preferred Stock to expect a higher dividend yield (and higher interest rates would likely increase our borrowing costs and potentially decrease funds available for dividend payments). Thus, higher market interest rates could cause the market price</w:t>
      </w:r>
      <w:r>
        <w:rPr>
          <w:sz w:val="20"/>
          <w:szCs w:val="20"/>
        </w:rPr>
        <w:t xml:space="preserve"> of the Preferred Stock to materially decrease.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Holders of the Preferred Stock may be unable to use the dividends-received deduction and may not be eligible for the preferential tax rates applicable to “qualified dividend income”.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Distributions paid to</w:t>
      </w:r>
      <w:r>
        <w:rPr>
          <w:sz w:val="20"/>
          <w:szCs w:val="20"/>
        </w:rPr>
        <w:t xml:space="preserve"> corporate U.S. holders of the Preferred Stock may be eligible for the dividends-received deduction, and distributions paid to non-corporate U.S. holders of the Preferred Stock may be subject to tax at the preferential tax rates applicable to “qualified di</w:t>
      </w:r>
      <w:r>
        <w:rPr>
          <w:sz w:val="20"/>
          <w:szCs w:val="20"/>
        </w:rPr>
        <w:t>vidend income,” if we have current or accumulated earnings and profits, as determined for U.S. federal income tax purposes. We do not currently have such accumulated earnings and profits. Additionally, we may not have sufficient current earnings and profit</w:t>
      </w:r>
      <w:r>
        <w:rPr>
          <w:sz w:val="20"/>
          <w:szCs w:val="20"/>
        </w:rPr>
        <w:t xml:space="preserve">s during future fiscal years for the distributions on the Preferred Stock to qualify as dividends for U.S. federal income tax purposes. If the distributions fail to qualify as dividends, U.S. holders would be unable to use the dividends-received deduction </w:t>
      </w:r>
      <w:r>
        <w:rPr>
          <w:sz w:val="20"/>
          <w:szCs w:val="20"/>
        </w:rPr>
        <w:t>and may not be eligible for the preferential tax rates applicable to “qualified dividend income.” If any distributions on the Preferred Stock with respect to any fiscal year are not eligible for the dividends-received deduction or preferential tax rates ap</w:t>
      </w:r>
      <w:r>
        <w:rPr>
          <w:sz w:val="20"/>
          <w:szCs w:val="20"/>
        </w:rPr>
        <w:t>plicable to “qualified dividend income” because of insufficient current or accumulated earnings and profits, it is possible that the market value of the Preferred Stock might decline.</w:t>
      </w:r>
    </w:p>
    <w:p w:rsidR="00000000" w:rsidRDefault="003A6737">
      <w:pPr>
        <w:pStyle w:val="a3"/>
        <w:spacing w:before="0" w:beforeAutospacing="0" w:after="0" w:afterAutospacing="0"/>
        <w:jc w:val="both"/>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b/>
          <w:bCs/>
          <w:i/>
          <w:iCs/>
          <w:sz w:val="20"/>
          <w:szCs w:val="20"/>
        </w:rPr>
        <w:t>Our Preferred Stock has not been rated.</w:t>
      </w:r>
    </w:p>
    <w:p w:rsidR="00000000" w:rsidRDefault="003A6737">
      <w:pPr>
        <w:pStyle w:val="a3"/>
        <w:spacing w:before="0" w:beforeAutospacing="0" w:after="0" w:afterAutospacing="0"/>
        <w:jc w:val="both"/>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sz w:val="20"/>
          <w:szCs w:val="20"/>
        </w:rPr>
        <w:t>We have not sought to obtain</w:t>
      </w:r>
      <w:r>
        <w:rPr>
          <w:sz w:val="20"/>
          <w:szCs w:val="20"/>
        </w:rPr>
        <w:t xml:space="preserve"> a rating for the Preferred Stock. No assurance can be given, however, that one or more rating agencies might not independently determine to issue such a rating or that such a rating, if issued, would not adversely affect the market price of the Preferred </w:t>
      </w:r>
      <w:r>
        <w:rPr>
          <w:sz w:val="20"/>
          <w:szCs w:val="20"/>
        </w:rPr>
        <w:t>Stock. Also, we may elect in the future to obtain a rating for the Preferred Stock, which could adversely affect the market price of the Preferred Stock. Ratings only reflect the views of the rating agency or agencies issuing the ratings and such ratings c</w:t>
      </w:r>
      <w:r>
        <w:rPr>
          <w:sz w:val="20"/>
          <w:szCs w:val="20"/>
        </w:rPr>
        <w:t>ould be revised downward, placed on a watch list or withdrawn entirely at the discretion of the issuing rating agency if in its judgment circumstances so warrant. Any such downward revision, placing on a watch list or withdrawal of a rating could have an a</w:t>
      </w:r>
      <w:r>
        <w:rPr>
          <w:sz w:val="20"/>
          <w:szCs w:val="20"/>
        </w:rPr>
        <w:t>dverse effect on the market price of the Preferred Stock.</w:t>
      </w:r>
    </w:p>
    <w:p w:rsidR="00000000" w:rsidRDefault="003A6737">
      <w:pPr>
        <w:pStyle w:val="a3"/>
        <w:spacing w:before="0" w:beforeAutospacing="0" w:after="0" w:afterAutospacing="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35377674"/>
        </w:trPr>
        <w:tc>
          <w:tcPr>
            <w:tcW w:w="5000" w:type="pct"/>
            <w:hideMark/>
          </w:tcPr>
          <w:p w:rsidR="00000000" w:rsidRDefault="003A6737">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b/>
          <w:bCs/>
          <w:i/>
          <w:iCs/>
          <w:sz w:val="20"/>
          <w:szCs w:val="20"/>
        </w:rPr>
        <w:t xml:space="preserve">We </w:t>
      </w:r>
      <w:r>
        <w:rPr>
          <w:b/>
          <w:bCs/>
          <w:i/>
          <w:iCs/>
          <w:sz w:val="20"/>
          <w:szCs w:val="20"/>
        </w:rPr>
        <w:t>may redeem the Series A Preferred Stock at any time and may redeem the Series B Preferred Stock after February 15, 2024.</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Since November 4, 2020, we may, at our option, redeem the Series A Preferred Stock, in whole or in part, at any time or from time to </w:t>
      </w:r>
      <w:r>
        <w:rPr>
          <w:sz w:val="20"/>
          <w:szCs w:val="20"/>
        </w:rPr>
        <w:t>time. On March 18, 2022, we redeemed 800,000 shares of the Series A Preferred Stock in accordance with our amended and restated certificate of designations for the Series A Preferred Stock. Starting February 15, 2024, we may, at our option, redeem the Seri</w:t>
      </w:r>
      <w:r>
        <w:rPr>
          <w:sz w:val="20"/>
          <w:szCs w:val="20"/>
        </w:rPr>
        <w:t>es B Preferred Stock, in whole or in part, at any time or from time to time, paying a small premium if we choose to redeem any Series B Preferred Stock prior to February 15, 2027. Also, upon the occurrence of a change of control, we may, at our option, red</w:t>
      </w:r>
      <w:r>
        <w:rPr>
          <w:sz w:val="20"/>
          <w:szCs w:val="20"/>
        </w:rPr>
        <w:t xml:space="preserve">eem the Preferred Stock, in whole or in part, within 120 days after the first date on which such change of control occurred. We may have an incentive to redeem the Preferred Stock voluntarily if market conditions allow us to issue other preferred stock or </w:t>
      </w:r>
      <w:r>
        <w:rPr>
          <w:sz w:val="20"/>
          <w:szCs w:val="20"/>
        </w:rPr>
        <w:t>debt securities at a rate that is lower than the dividend on the Preferred Stock. If we redeem the Preferred Stock, then from and after the redemption date, dividends will cease to accrue on shares of Preferred Stock, the shares of Preferred Stock shall no</w:t>
      </w:r>
      <w:r>
        <w:rPr>
          <w:sz w:val="20"/>
          <w:szCs w:val="20"/>
        </w:rPr>
        <w:t xml:space="preserve"> longer be deemed outstanding and all rights as a holder of those shares will terminate, except the right to receive the redemption price plus accumulated and unpaid dividends, if any, payable upon redemption. The Company also intends to allow holders of t</w:t>
      </w:r>
      <w:r>
        <w:rPr>
          <w:sz w:val="20"/>
          <w:szCs w:val="20"/>
        </w:rPr>
        <w:t>he Series A Preferred Stock in the future to exchange their shares of the Series A Preferred Stock into an equivalent number of shares of the Series B Preferred Stock.</w:t>
      </w:r>
    </w:p>
    <w:p w:rsidR="00000000" w:rsidRDefault="003A6737">
      <w:pPr>
        <w:pStyle w:val="a3"/>
        <w:spacing w:before="0" w:beforeAutospacing="0" w:after="0" w:afterAutospacing="0"/>
        <w:jc w:val="both"/>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b/>
          <w:bCs/>
          <w:i/>
          <w:iCs/>
          <w:sz w:val="20"/>
          <w:szCs w:val="20"/>
        </w:rPr>
        <w:t>The market price of our Preferred Stock is variable and could be substantially affecte</w:t>
      </w:r>
      <w:r>
        <w:rPr>
          <w:b/>
          <w:bCs/>
          <w:i/>
          <w:iCs/>
          <w:sz w:val="20"/>
          <w:szCs w:val="20"/>
        </w:rPr>
        <w:t>d by various factors.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market price of our Preferred Stock could be subject to wide fluctuations in response to numerous factors. These factors include, but are not limited to, the following:</w:t>
      </w:r>
    </w:p>
    <w:p w:rsidR="00000000" w:rsidRDefault="003A6737">
      <w:pPr>
        <w:pStyle w:val="a3"/>
        <w:spacing w:before="0" w:beforeAutospacing="0" w:after="0" w:afterAutospacing="0"/>
        <w:ind w:left="36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prevailing interest rates, increases in which may have </w:t>
            </w:r>
            <w:r>
              <w:rPr>
                <w:rFonts w:eastAsia="Times New Roman"/>
                <w:sz w:val="20"/>
                <w:szCs w:val="20"/>
              </w:rPr>
              <w:t>an adverse effect on the market price of the Preferred Stock;</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trading prices of similar securities;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our history of timely dividend payments;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the </w:t>
            </w:r>
            <w:r>
              <w:rPr>
                <w:rFonts w:eastAsia="Times New Roman"/>
                <w:sz w:val="20"/>
                <w:szCs w:val="20"/>
              </w:rPr>
              <w:t>annual yield from dividends on the Preferred Stock as compared to yields on other financial instruments;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general economic and financial market conditions;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government action or regulation;</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our financial condition, performance and prospects of our c</w:t>
            </w:r>
            <w:r>
              <w:rPr>
                <w:rFonts w:eastAsia="Times New Roman"/>
                <w:sz w:val="20"/>
                <w:szCs w:val="20"/>
              </w:rPr>
              <w:t>ompetitors;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changes in financial estimates or recommendations by securities analysts with respect to us or our competitors in our industry;</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our issuance of additional preferred equity or debt securities; and</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actual or anticipated variations in qua</w:t>
            </w:r>
            <w:r>
              <w:rPr>
                <w:rFonts w:eastAsia="Times New Roman"/>
                <w:sz w:val="20"/>
                <w:szCs w:val="20"/>
              </w:rPr>
              <w:t>rterly operating results of us and our competitors.</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A holder of Preferred Stock has extremely limited voting rights.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voting rights for a holder of Preferred Stock are limited. Our shares of common stock are the only class of our securities that carry full voting rights, and Mahmud Haq, our Executive Chairman, beneficially owns approximately 29.5% of our outstanding share</w:t>
      </w:r>
      <w:r>
        <w:rPr>
          <w:sz w:val="20"/>
          <w:szCs w:val="20"/>
        </w:rPr>
        <w:t>s of common stock. As a result, Mr. Haq exercises a significant level of control over all matters requiring stockholder approval, including the election of directors, amendment of our certificate of incorporation, and approval of significant corporate tran</w:t>
      </w:r>
      <w:r>
        <w:rPr>
          <w:sz w:val="20"/>
          <w:szCs w:val="20"/>
        </w:rPr>
        <w:t>sactions. This control could have the effect of delaying or preventing a change of control of our Company or changes in management, and will make the approval of certain transactions difficult or impossible without his support, which in turn could reduce t</w:t>
      </w:r>
      <w:r>
        <w:rPr>
          <w:sz w:val="20"/>
          <w:szCs w:val="20"/>
        </w:rPr>
        <w:t>he price of our Preferred Stock.</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Voting rights for holders of the Preferred Stock exist primarily with respect to the ability to elect, voting together with the holders of any other series of our preferred stock having similar voting rights, two addition</w:t>
      </w:r>
      <w:r>
        <w:rPr>
          <w:sz w:val="20"/>
          <w:szCs w:val="20"/>
        </w:rPr>
        <w:t>al directors to our Board of Directors, subject to limitations, in the event that eighteen monthly dividends (whether or not consecutive) payable on the Preferred Stock are in arrears, and with respect to voting on amendments to our articles of incorporati</w:t>
      </w:r>
      <w:r>
        <w:rPr>
          <w:sz w:val="20"/>
          <w:szCs w:val="20"/>
        </w:rPr>
        <w:t>on or articles of amendment relating to the Preferred Stock that materially and adversely affect the rights of the holders of Preferred Stock or authorize, increase or create additional classes or series of our capital stock that are senior to the Preferre</w:t>
      </w:r>
      <w:r>
        <w:rPr>
          <w:sz w:val="20"/>
          <w:szCs w:val="20"/>
        </w:rPr>
        <w:t>d Stock. Other than the limited circumstances and except to the extent required by law, holders of Preferred Stock do not have any voting rights.</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79782084"/>
        </w:trPr>
        <w:tc>
          <w:tcPr>
            <w:tcW w:w="5000" w:type="pct"/>
            <w:hideMark/>
          </w:tcPr>
          <w:p w:rsidR="00000000" w:rsidRDefault="003A6737">
            <w:pPr>
              <w:jc w:val="center"/>
              <w:rPr>
                <w:rFonts w:eastAsia="Times New Roman"/>
                <w:sz w:val="20"/>
                <w:szCs w:val="20"/>
              </w:rPr>
            </w:pP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b/>
          <w:bCs/>
          <w:i/>
          <w:iCs/>
          <w:sz w:val="20"/>
          <w:szCs w:val="20"/>
        </w:rPr>
        <w:t>The Preferred Stock is not convertible, and investors will not realize a corresponding upside if t</w:t>
      </w:r>
      <w:r>
        <w:rPr>
          <w:b/>
          <w:bCs/>
          <w:i/>
          <w:iCs/>
          <w:sz w:val="20"/>
          <w:szCs w:val="20"/>
        </w:rPr>
        <w:t xml:space="preserve">he price of the common stock increases. </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Preferred Stock is not convertible into the common stock and earns dividends at a fixed rate. Accordingly, an increase in market price of our common stock will not necessarily result in an increase in the mark</w:t>
      </w:r>
      <w:r>
        <w:rPr>
          <w:sz w:val="20"/>
          <w:szCs w:val="20"/>
        </w:rPr>
        <w:t xml:space="preserve">et price of our Preferred Stock. The market value of the Preferred Stock may depend more on dividend and interest rates for other preferred stock, commercial paper and other investment alternatives and our actual and perceived ability to pay dividends on, </w:t>
      </w:r>
      <w:r>
        <w:rPr>
          <w:sz w:val="20"/>
          <w:szCs w:val="20"/>
        </w:rPr>
        <w:t>and in the event of dissolution satisfy the liquidation preference with respect to, the Preferred Stock.</w:t>
      </w:r>
    </w:p>
    <w:p w:rsidR="00000000" w:rsidRDefault="003A6737">
      <w:pPr>
        <w:pStyle w:val="a3"/>
        <w:spacing w:before="0" w:beforeAutospacing="0" w:after="0" w:afterAutospacing="0"/>
        <w:rPr>
          <w:b/>
          <w:bCs/>
          <w:sz w:val="20"/>
          <w:szCs w:val="20"/>
        </w:rPr>
      </w:pPr>
      <w:r>
        <w:rPr>
          <w:b/>
          <w:bCs/>
          <w:sz w:val="20"/>
          <w:szCs w:val="20"/>
        </w:rPr>
        <w:t> </w:t>
      </w:r>
    </w:p>
    <w:p w:rsidR="00000000" w:rsidRDefault="003A6737">
      <w:pPr>
        <w:pStyle w:val="a3"/>
        <w:spacing w:before="0" w:beforeAutospacing="0" w:after="0" w:afterAutospacing="0"/>
        <w:rPr>
          <w:b/>
          <w:bCs/>
          <w:sz w:val="20"/>
          <w:szCs w:val="20"/>
        </w:rPr>
      </w:pPr>
      <w:r>
        <w:rPr>
          <w:b/>
          <w:bCs/>
          <w:sz w:val="20"/>
          <w:szCs w:val="20"/>
        </w:rPr>
        <w:t>Item 1B. Unresolved Staff Comments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sz w:val="20"/>
          <w:szCs w:val="20"/>
        </w:rPr>
      </w:pPr>
      <w:r>
        <w:rPr>
          <w:sz w:val="20"/>
          <w:szCs w:val="20"/>
        </w:rPr>
        <w:t>None.</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Item 2. Properties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Our </w:t>
      </w:r>
      <w:r>
        <w:rPr>
          <w:sz w:val="20"/>
          <w:szCs w:val="20"/>
        </w:rPr>
        <w:t>corporate headquarters are located at 7 Clyde Road, Somerset, New Jersey 08873 where we occupy approximately 2,400 square feet of space under a month-to-month lease. Additionally, at December 31, 2022 we lease approximately 126,000 square feet of office sp</w:t>
      </w:r>
      <w:r>
        <w:rPr>
          <w:sz w:val="20"/>
          <w:szCs w:val="20"/>
        </w:rPr>
        <w:t>ace in approximately 16 locations throughout the U.S., with lease terms that are typically five years or less. We also lease approximately 40,000 square feet for five pediatric offices in the Midwest, with leases that will expire between April 2023 and Apr</w:t>
      </w:r>
      <w:r>
        <w:rPr>
          <w:sz w:val="20"/>
          <w:szCs w:val="20"/>
        </w:rPr>
        <w:t>il 2036.</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We lease approximately 18,000 square feet of land in Islamabad, Pakistan, where we constructed modular buildings used for office space and computer server facilities for three years expiring on September 30, 2024, with the first two years under </w:t>
      </w:r>
      <w:r>
        <w:rPr>
          <w:sz w:val="20"/>
          <w:szCs w:val="20"/>
        </w:rPr>
        <w:t>a non-cancellable lease. The Company also leases a total of 47,000 square feet of office space in Bagh and Karachi, Pakistan, and in Sri Lanka. The lease in Sri Lanka expires in March 2023 and we intend to renew it for an additional year at expiration.</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W</w:t>
      </w:r>
      <w:r>
        <w:rPr>
          <w:sz w:val="20"/>
          <w:szCs w:val="20"/>
        </w:rPr>
        <w:t>e believe our current facilities are adequate for our current needs and that suitable additional space will be available as and when needed.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Item 3. Legal Proceedings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On December 9, 2022, an arbitrator rendered a decision in favor of MTBC Acquisition C</w:t>
      </w:r>
      <w:r>
        <w:rPr>
          <w:sz w:val="20"/>
          <w:szCs w:val="20"/>
        </w:rPr>
        <w:t>orp. (“MAC”) and dismissed the claims brought against MAC by Randolph Pain Relief and Wellness Center (“RPRWC”), determining that RPRWC failed to prove any breach of the applicable billing services agreement and failed to prove that any alleged damages wer</w:t>
      </w:r>
      <w:r>
        <w:rPr>
          <w:sz w:val="20"/>
          <w:szCs w:val="20"/>
        </w:rPr>
        <w:t>e due. RPRWC has until April 5, 2023 to file a summary action in Superior Court of New Jersey should it seek to have the decision overturned.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RPRWC was a client of Millennium Practice Management Associates, Inc. (“MPMA”), a subsidiary of MediGain, Inc., </w:t>
      </w:r>
      <w:r>
        <w:rPr>
          <w:sz w:val="20"/>
          <w:szCs w:val="20"/>
        </w:rPr>
        <w:t>whose assets were purchased by MAC on October 3, 2016, after RPRWC terminated its billing services agreement with MPMA. After MAC’s purchase of MediGain’s assets, RPRWC demanded an arbitration proceeding against CareCloud and MAC before the American Arbitr</w:t>
      </w:r>
      <w:r>
        <w:rPr>
          <w:sz w:val="20"/>
          <w:szCs w:val="20"/>
        </w:rPr>
        <w:t>ation Association for damages they alleged were caused by MPMA prior to the asset purchase.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On May 30, 2018, the Superior Court of New Jersey, Chancery Division, Somerset County (the “Chancery Court”) denied CareCloud’s and MAC’s request to enjoin the ar</w:t>
      </w:r>
      <w:r>
        <w:rPr>
          <w:sz w:val="20"/>
          <w:szCs w:val="20"/>
        </w:rPr>
        <w:t>bitration proceeding demanded by RPRWC.</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CareCloud and MAC filed an appeal of the Chancery Court’s decision with the New Jersey Superior Court, Appellate Division. The Chancery Court stayed the arbitration pending the appeal. On appeal, CareCloud and MAC </w:t>
      </w:r>
      <w:r>
        <w:rPr>
          <w:sz w:val="20"/>
          <w:szCs w:val="20"/>
        </w:rPr>
        <w:t>contended they were never party to the billing services agreement giving rise to the arbitration claim, did not assume the obligations of MPMA under such agreement, and any agreement to arbitrate disputes arising under such agreement did not apply to CareC</w:t>
      </w:r>
      <w:r>
        <w:rPr>
          <w:sz w:val="20"/>
          <w:szCs w:val="20"/>
        </w:rPr>
        <w:t>loud or MAC as RPRWC terminated the agreement before the applicable asset purchase agreement took effect.</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90991987"/>
        </w:trPr>
        <w:tc>
          <w:tcPr>
            <w:tcW w:w="5000" w:type="pct"/>
            <w:hideMark/>
          </w:tcPr>
          <w:p w:rsidR="00000000" w:rsidRDefault="003A6737">
            <w:pPr>
              <w:jc w:val="center"/>
              <w:rPr>
                <w:rFonts w:eastAsia="Times New Roman"/>
                <w:sz w:val="20"/>
                <w:szCs w:val="20"/>
              </w:rPr>
            </w:pP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On </w:t>
      </w:r>
      <w:r>
        <w:rPr>
          <w:sz w:val="20"/>
          <w:szCs w:val="20"/>
        </w:rPr>
        <w:t>April 23, 2019, the Appellate Division affirmed in part and reversed in part the Chancery Court’s order. The Appellate Division upheld the portion of the Chancery Court’s order requiring MAC to participate in the arbitration based on the Chancery Court’s f</w:t>
      </w:r>
      <w:r>
        <w:rPr>
          <w:sz w:val="20"/>
          <w:szCs w:val="20"/>
        </w:rPr>
        <w:t>inding that MAC had assumed MPMA’s contractual responsibilities. The Appellate Division, however, reversed the Chancery Court’s order requiring CareCloud to participate in the arbitration on the grounds that insufficient facts had been provided by RPRWC fr</w:t>
      </w:r>
      <w:r>
        <w:rPr>
          <w:sz w:val="20"/>
          <w:szCs w:val="20"/>
        </w:rPr>
        <w:t>om which the court could conclude CareCloud was required to participate in the arbitration and remanded the matter back to the trial court for further proceedings.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On February 6, 2020, the Chancery Court held that CareCloud cannot be compelled to partici</w:t>
      </w:r>
      <w:r>
        <w:rPr>
          <w:sz w:val="20"/>
          <w:szCs w:val="20"/>
        </w:rPr>
        <w:t>pate in the arbitration. On March 25, 2020, the Chancery Court lifted the stay of arbitration relative to RPRWC and MAC. In its arbitration demand, RPRWC alleged that MPMA, a subsidiary of MediGain, LLC, breached the terms of the billing services agreement</w:t>
      </w:r>
      <w:r>
        <w:rPr>
          <w:sz w:val="20"/>
          <w:szCs w:val="20"/>
        </w:rPr>
        <w:t xml:space="preserve"> the parties had entered into and sought compensatory damages of $6.6 million and costs.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During the discovery phase of the arbitration, RPRWC served expert reports whereby RPRWC’s expert alleged that damages were estimated to be in the range of $9.8 mill</w:t>
      </w:r>
      <w:r>
        <w:rPr>
          <w:sz w:val="20"/>
          <w:szCs w:val="20"/>
        </w:rPr>
        <w:t>ion to $10.8 million. MAC served an expert report refuting the alleged damages.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In the event RPRWC files a summary action, MAC will continue to vigorously defend against RPRWC’s claim. It remains that since MAC is not a significant subsidiary of CareClou</w:t>
      </w:r>
      <w:r>
        <w:rPr>
          <w:sz w:val="20"/>
          <w:szCs w:val="20"/>
        </w:rPr>
        <w:t>d pursuant to Rule 1-02(w) of Regulation S-X and CareCloud is not a party to this proceeding, we do not expect any outcome to have a material impact on the Company’s consolidated financial statements.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From time to time, we may become involved in other le</w:t>
      </w:r>
      <w:r>
        <w:rPr>
          <w:sz w:val="20"/>
          <w:szCs w:val="20"/>
        </w:rPr>
        <w:t>gal proceedings arising in the ordinary course of our business. Including the proceeding described above, we are not presently a party to any legal proceedings that, in the opinion of our management, would individually or taken together have a material adv</w:t>
      </w:r>
      <w:r>
        <w:rPr>
          <w:sz w:val="20"/>
          <w:szCs w:val="20"/>
        </w:rPr>
        <w:t>erse effect on our business, consolidated results of operations, financial position or cash flows of the Company.</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Please see </w:t>
      </w:r>
      <w:r>
        <w:rPr>
          <w:i/>
          <w:iCs/>
          <w:sz w:val="20"/>
          <w:szCs w:val="20"/>
        </w:rPr>
        <w:t>“Risk Factor - Acquisitions may subject us to liability with regard to the creditors, customers, and shareholders of the sellers.</w:t>
      </w:r>
      <w:r>
        <w:rPr>
          <w:i/>
          <w:iCs/>
          <w:sz w:val="20"/>
          <w:szCs w:val="20"/>
        </w:rPr>
        <w:t>”</w:t>
      </w:r>
      <w:r>
        <w:rPr>
          <w:sz w:val="20"/>
          <w:szCs w:val="20"/>
        </w:rPr>
        <w:t xml:space="preserve"> in Part 1, Item 1A of this Annual Report on Form 10-K.</w:t>
      </w:r>
    </w:p>
    <w:p w:rsidR="00000000" w:rsidRDefault="003A6737">
      <w:pPr>
        <w:pStyle w:val="a3"/>
        <w:spacing w:before="0" w:beforeAutospacing="0" w:after="0" w:afterAutospacing="0"/>
        <w:rPr>
          <w:b/>
          <w:bCs/>
          <w:sz w:val="20"/>
          <w:szCs w:val="20"/>
        </w:rPr>
      </w:pPr>
      <w:r>
        <w:rPr>
          <w:b/>
          <w:bCs/>
          <w:sz w:val="20"/>
          <w:szCs w:val="20"/>
        </w:rPr>
        <w:t> </w:t>
      </w:r>
    </w:p>
    <w:p w:rsidR="00000000" w:rsidRDefault="003A6737">
      <w:pPr>
        <w:pStyle w:val="a3"/>
        <w:spacing w:before="0" w:beforeAutospacing="0" w:after="0" w:afterAutospacing="0"/>
        <w:rPr>
          <w:b/>
          <w:bCs/>
          <w:sz w:val="20"/>
          <w:szCs w:val="20"/>
        </w:rPr>
      </w:pPr>
      <w:r>
        <w:rPr>
          <w:b/>
          <w:bCs/>
          <w:sz w:val="20"/>
          <w:szCs w:val="20"/>
        </w:rPr>
        <w:t>Item 4. Mine Safety Disclosures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sz w:val="20"/>
          <w:szCs w:val="20"/>
        </w:rPr>
      </w:pPr>
      <w:r>
        <w:rPr>
          <w:sz w:val="20"/>
          <w:szCs w:val="20"/>
        </w:rPr>
        <w:t>None.</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PART II</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b/>
          <w:bCs/>
          <w:sz w:val="20"/>
          <w:szCs w:val="20"/>
        </w:rPr>
      </w:pPr>
      <w:r>
        <w:rPr>
          <w:b/>
          <w:bCs/>
          <w:sz w:val="20"/>
          <w:szCs w:val="20"/>
        </w:rPr>
        <w:t>Item 5. Market for Registrant’s Common Equity, Related Stockholder Matters and Issuer Purchases of Equity Securities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Our </w:t>
      </w:r>
      <w:r>
        <w:rPr>
          <w:sz w:val="20"/>
          <w:szCs w:val="20"/>
        </w:rPr>
        <w:t>common stock has been listed since July 23, 2014 and is trading on the Nasdaq Global Market under the symbol “CCLD”.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sz w:val="20"/>
          <w:szCs w:val="20"/>
        </w:rPr>
      </w:pPr>
      <w:r>
        <w:rPr>
          <w:b/>
          <w:bCs/>
          <w:sz w:val="20"/>
          <w:szCs w:val="20"/>
        </w:rPr>
        <w:t>Common Stockholders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sz w:val="20"/>
          <w:szCs w:val="20"/>
        </w:rPr>
      </w:pPr>
      <w:r>
        <w:rPr>
          <w:sz w:val="20"/>
          <w:szCs w:val="20"/>
        </w:rPr>
        <w:t xml:space="preserve">As of December 31, 2022, there were </w:t>
      </w:r>
      <w:r>
        <w:rPr>
          <w:color w:val="000000"/>
          <w:sz w:val="20"/>
          <w:szCs w:val="20"/>
        </w:rPr>
        <w:t xml:space="preserve">approximately 7,000 holders </w:t>
      </w:r>
      <w:r>
        <w:rPr>
          <w:sz w:val="20"/>
          <w:szCs w:val="20"/>
        </w:rPr>
        <w:t>of record of our common stock.</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sz w:val="20"/>
          <w:szCs w:val="20"/>
        </w:rPr>
      </w:pPr>
      <w:r>
        <w:rPr>
          <w:b/>
          <w:bCs/>
          <w:sz w:val="20"/>
          <w:szCs w:val="20"/>
        </w:rPr>
        <w:t>Dividends on Commo</w:t>
      </w:r>
      <w:r>
        <w:rPr>
          <w:b/>
          <w:bCs/>
          <w:sz w:val="20"/>
          <w:szCs w:val="20"/>
        </w:rPr>
        <w:t>n Stock</w:t>
      </w:r>
    </w:p>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We have not declared a cash dividend on our common stock since we became public on July 23, 2014, and currently we do not anticipate paying any cash dividends to holders of our common stock in the foreseeable future. The Company is prohibited fro</w:t>
      </w:r>
      <w:r>
        <w:rPr>
          <w:sz w:val="20"/>
          <w:szCs w:val="20"/>
        </w:rPr>
        <w:t>m paying any dividends on common stock without the prior written consent of its senior lender, SVB.</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sz w:val="20"/>
          <w:szCs w:val="20"/>
        </w:rPr>
      </w:pPr>
      <w:r>
        <w:rPr>
          <w:b/>
          <w:bCs/>
          <w:sz w:val="20"/>
          <w:szCs w:val="20"/>
        </w:rPr>
        <w:t>Sales of Unregistered Securities</w:t>
      </w:r>
    </w:p>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There was no sale of unregistered equity securities during the year ended December 31, 2022.</w:t>
      </w:r>
    </w:p>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rPr>
          <w:sz w:val="20"/>
          <w:szCs w:val="20"/>
        </w:rPr>
      </w:pPr>
      <w:r>
        <w:rPr>
          <w:b/>
          <w:bCs/>
          <w:sz w:val="20"/>
          <w:szCs w:val="20"/>
        </w:rPr>
        <w:t>Purchases of Equity Secu</w:t>
      </w:r>
      <w:r>
        <w:rPr>
          <w:b/>
          <w:bCs/>
          <w:sz w:val="20"/>
          <w:szCs w:val="20"/>
        </w:rPr>
        <w:t>rities by the Issuer and Affiliated Purchasers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sz w:val="20"/>
          <w:szCs w:val="20"/>
        </w:rPr>
      </w:pPr>
      <w:r>
        <w:rPr>
          <w:sz w:val="20"/>
          <w:szCs w:val="20"/>
        </w:rPr>
        <w:t>There was no share repurchase activity during the three months ended December 31, 2022.</w:t>
      </w:r>
    </w:p>
    <w:p w:rsidR="00000000" w:rsidRDefault="003A6737">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96724338"/>
        </w:trPr>
        <w:tc>
          <w:tcPr>
            <w:tcW w:w="5000" w:type="pct"/>
            <w:hideMark/>
          </w:tcPr>
          <w:p w:rsidR="00000000" w:rsidRDefault="003A6737">
            <w:pPr>
              <w:jc w:val="center"/>
              <w:rPr>
                <w:rFonts w:eastAsia="Times New Roman"/>
                <w:sz w:val="20"/>
                <w:szCs w:val="20"/>
              </w:rPr>
            </w:pPr>
            <w:r>
              <w:rPr>
                <w:rFonts w:eastAsia="Times New Roman"/>
                <w:sz w:val="20"/>
                <w:szCs w:val="20"/>
              </w:rPr>
              <w:t>3</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rPr>
          <w:sz w:val="20"/>
          <w:szCs w:val="20"/>
        </w:rPr>
      </w:pPr>
      <w:r>
        <w:rPr>
          <w:b/>
          <w:bCs/>
          <w:sz w:val="20"/>
          <w:szCs w:val="20"/>
        </w:rPr>
        <w:t xml:space="preserve">Securities </w:t>
      </w:r>
      <w:r>
        <w:rPr>
          <w:b/>
          <w:bCs/>
          <w:sz w:val="20"/>
          <w:szCs w:val="20"/>
        </w:rPr>
        <w:t>Authorized for Issuance under the Equity Compensation Plan</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As of December 31, 2022, the following table shows the number of securities to be issued upon vesting under the equity compensation plan approved by the Company’s Board of Directors.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Equity Com</w:t>
      </w:r>
      <w:r>
        <w:rPr>
          <w:b/>
          <w:bCs/>
          <w:sz w:val="20"/>
          <w:szCs w:val="20"/>
        </w:rPr>
        <w:t>pensation Plan Information</w:t>
      </w:r>
    </w:p>
    <w:p w:rsidR="00000000" w:rsidRDefault="003A6737">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185"/>
        <w:gridCol w:w="149"/>
        <w:gridCol w:w="74"/>
        <w:gridCol w:w="1346"/>
        <w:gridCol w:w="75"/>
        <w:gridCol w:w="150"/>
        <w:gridCol w:w="75"/>
        <w:gridCol w:w="1346"/>
        <w:gridCol w:w="75"/>
      </w:tblGrid>
      <w:tr w:rsidR="00000000">
        <w:tc>
          <w:tcPr>
            <w:tcW w:w="0" w:type="auto"/>
            <w:tcBorders>
              <w:bottom w:val="single" w:sz="12" w:space="0" w:color="000000"/>
            </w:tcBorders>
            <w:vAlign w:val="bottom"/>
            <w:hideMark/>
          </w:tcPr>
          <w:p w:rsidR="00000000" w:rsidRDefault="003A6737">
            <w:pPr>
              <w:rPr>
                <w:rFonts w:eastAsia="Times New Roman"/>
                <w:b/>
                <w:bCs/>
                <w:sz w:val="20"/>
                <w:szCs w:val="20"/>
              </w:rPr>
            </w:pPr>
            <w:r>
              <w:rPr>
                <w:rFonts w:eastAsia="Times New Roman"/>
                <w:b/>
                <w:bCs/>
                <w:sz w:val="20"/>
                <w:szCs w:val="20"/>
              </w:rPr>
              <w:t>Plan Category</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Number of securities to be issued upon vesting</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Number of securities remaining available for future issuance under equity incentive plan (excluding securities to be issued upon vesting)</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2800" w:type="pct"/>
            <w:shd w:val="clear" w:color="auto" w:fill="CCEEFF"/>
            <w:vAlign w:val="bottom"/>
            <w:hideMark/>
          </w:tcPr>
          <w:p w:rsidR="00000000" w:rsidRDefault="003A6737">
            <w:pPr>
              <w:rPr>
                <w:rFonts w:eastAsia="Times New Roman"/>
                <w:sz w:val="20"/>
                <w:szCs w:val="20"/>
              </w:rPr>
            </w:pPr>
            <w:r>
              <w:rPr>
                <w:rFonts w:eastAsia="Times New Roman"/>
                <w:sz w:val="20"/>
                <w:szCs w:val="20"/>
              </w:rPr>
              <w:t>Equity compensati</w:t>
            </w:r>
            <w:r>
              <w:rPr>
                <w:rFonts w:eastAsia="Times New Roman"/>
                <w:sz w:val="20"/>
                <w:szCs w:val="20"/>
              </w:rPr>
              <w:t>on plan approved by security holders - common shares</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645,475</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1,498,492</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Equity compensation plan approved by security holders - preferred shares</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80,462</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133,769</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b/>
                <w:bCs/>
                <w:sz w:val="20"/>
                <w:szCs w:val="20"/>
              </w:rPr>
            </w:pPr>
            <w:r>
              <w:rPr>
                <w:rFonts w:eastAsia="Times New Roman"/>
                <w:b/>
                <w:bCs/>
                <w:sz w:val="20"/>
                <w:szCs w:val="20"/>
              </w:rPr>
              <w:t>725,937</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b/>
                <w:bCs/>
                <w:sz w:val="20"/>
                <w:szCs w:val="20"/>
              </w:rPr>
            </w:pPr>
            <w:r>
              <w:rPr>
                <w:rFonts w:eastAsia="Times New Roman"/>
                <w:b/>
                <w:bCs/>
                <w:sz w:val="20"/>
                <w:szCs w:val="20"/>
              </w:rPr>
              <w:t>1,632,261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bl>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rPr>
          <w:b/>
          <w:bCs/>
          <w:sz w:val="20"/>
          <w:szCs w:val="20"/>
        </w:rPr>
      </w:pPr>
      <w:r>
        <w:rPr>
          <w:b/>
          <w:bCs/>
          <w:sz w:val="20"/>
          <w:szCs w:val="20"/>
        </w:rPr>
        <w:t>Item 6. [Reserved]</w:t>
      </w:r>
    </w:p>
    <w:p w:rsidR="00000000" w:rsidRDefault="003A6737">
      <w:pPr>
        <w:pStyle w:val="a3"/>
        <w:spacing w:before="0" w:beforeAutospacing="0" w:after="0" w:afterAutospacing="0"/>
        <w:jc w:val="both"/>
        <w:rPr>
          <w:b/>
          <w:bCs/>
          <w:sz w:val="20"/>
          <w:szCs w:val="20"/>
        </w:rPr>
      </w:pPr>
      <w:r>
        <w:rPr>
          <w:b/>
          <w:bCs/>
          <w:sz w:val="20"/>
          <w:szCs w:val="20"/>
        </w:rPr>
        <w:t> </w:t>
      </w:r>
    </w:p>
    <w:p w:rsidR="00000000" w:rsidRDefault="003A6737">
      <w:pPr>
        <w:pStyle w:val="a3"/>
        <w:spacing w:before="0" w:beforeAutospacing="0" w:after="0" w:afterAutospacing="0"/>
        <w:jc w:val="both"/>
        <w:rPr>
          <w:b/>
          <w:bCs/>
          <w:sz w:val="20"/>
          <w:szCs w:val="20"/>
        </w:rPr>
      </w:pPr>
      <w:r>
        <w:rPr>
          <w:b/>
          <w:bCs/>
          <w:sz w:val="20"/>
          <w:szCs w:val="20"/>
        </w:rPr>
        <w:t xml:space="preserve">Item </w:t>
      </w:r>
      <w:r>
        <w:rPr>
          <w:b/>
          <w:bCs/>
          <w:sz w:val="20"/>
          <w:szCs w:val="20"/>
        </w:rPr>
        <w:t>7. Management’s Discussion and Analysis of Financial Condition and Results of Operations</w:t>
      </w:r>
    </w:p>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The following is a discussion of our consolidated financial condition and results of operations for the years ended December 31, 2022 and 2021 and other factors that</w:t>
      </w:r>
      <w:r>
        <w:rPr>
          <w:sz w:val="20"/>
          <w:szCs w:val="20"/>
        </w:rPr>
        <w:t xml:space="preserve"> are expected to affect our prospective financial condition. The following discussion and analysis should be read together with our Consolidated Financial Statements and related notes beginning on page F-1 of this Annual Report on Form 10-K.</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Some </w:t>
      </w:r>
      <w:r>
        <w:rPr>
          <w:sz w:val="20"/>
          <w:szCs w:val="20"/>
        </w:rPr>
        <w:t>of the statements set forth in this section are forward-looking statements relating to our future results of operations. Our actual results may vary from the results anticipated by these statements. Please see “</w:t>
      </w:r>
      <w:r>
        <w:rPr>
          <w:i/>
          <w:iCs/>
          <w:sz w:val="20"/>
          <w:szCs w:val="20"/>
        </w:rPr>
        <w:t>Forward-Looking Statements</w:t>
      </w:r>
      <w:r>
        <w:rPr>
          <w:sz w:val="20"/>
          <w:szCs w:val="20"/>
        </w:rPr>
        <w:t>” on page 2 of this</w:t>
      </w:r>
      <w:r>
        <w:rPr>
          <w:sz w:val="20"/>
          <w:szCs w:val="20"/>
        </w:rPr>
        <w:t xml:space="preserve"> Annual Report on Form 10-K.</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sz w:val="20"/>
          <w:szCs w:val="20"/>
        </w:rPr>
      </w:pPr>
      <w:r>
        <w:rPr>
          <w:b/>
          <w:bCs/>
          <w:sz w:val="20"/>
          <w:szCs w:val="20"/>
        </w:rPr>
        <w:t>Overview</w:t>
      </w:r>
    </w:p>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The Company is a healthcare information technology company that provides technology-enabled business solutions and Software-as-a-Service offerings (“SaaS”), which are often bundled, but are occasionally provided in</w:t>
      </w:r>
      <w:r>
        <w:rPr>
          <w:sz w:val="20"/>
          <w:szCs w:val="20"/>
        </w:rPr>
        <w:t>dividually, together with related business services to healthcare providers and hospitals throughout the United States. Our integrated SaaS platform includes technology-assisted revenue cycle management (“RCM”), practice management (“PM”), electronic healt</w:t>
      </w:r>
      <w:r>
        <w:rPr>
          <w:sz w:val="20"/>
          <w:szCs w:val="20"/>
        </w:rPr>
        <w:t>h records (“EHR”), business intelligence, telehealth, patient experience management (“PXM”) solutions and complementary software tools and business services for high-performance medical groups and health systems.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At a high level, these solutions can be c</w:t>
      </w:r>
      <w:r>
        <w:rPr>
          <w:sz w:val="20"/>
          <w:szCs w:val="20"/>
        </w:rPr>
        <w:t>ategorized as follows:</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3A6737">
            <w:pPr>
              <w:rPr>
                <w:rFonts w:eastAsia="Times New Roman"/>
                <w:sz w:val="20"/>
                <w:szCs w:val="20"/>
              </w:rPr>
            </w:pPr>
            <w:r>
              <w:rPr>
                <w:rFonts w:eastAsia="Times New Roman"/>
                <w:sz w:val="20"/>
                <w:szCs w:val="20"/>
              </w:rPr>
              <w:t> </w:t>
            </w: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Technology-enabled business solutions, which are sometimes provided as individual offerings and often provided in combination with each other, including:</w:t>
            </w:r>
          </w:p>
        </w:tc>
      </w:tr>
    </w:tbl>
    <w:p w:rsidR="00000000" w:rsidRDefault="003A6737">
      <w:pPr>
        <w:pStyle w:val="a3"/>
        <w:spacing w:before="0" w:beforeAutospacing="0" w:after="0" w:afterAutospacing="0"/>
        <w:ind w:left="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3A6737">
            <w:pPr>
              <w:rPr>
                <w:rFonts w:eastAsia="Times New Roman"/>
                <w:sz w:val="20"/>
                <w:szCs w:val="20"/>
              </w:rPr>
            </w:pPr>
            <w:r>
              <w:rPr>
                <w:rFonts w:eastAsia="Times New Roman"/>
                <w:sz w:val="20"/>
                <w:szCs w:val="20"/>
              </w:rPr>
              <w:t> </w:t>
            </w: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RCM services including end-to-end medical billing, eligibility, an</w:t>
            </w:r>
            <w:r>
              <w:rPr>
                <w:rFonts w:eastAsia="Times New Roman"/>
                <w:sz w:val="20"/>
                <w:szCs w:val="20"/>
              </w:rPr>
              <w:t>alytics, and related services, all of which can be provided utilizing our technology platform or through a third-party system;</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EHRs, </w:t>
            </w:r>
            <w:r>
              <w:rPr>
                <w:rFonts w:eastAsia="Times New Roman"/>
                <w:sz w:val="20"/>
                <w:szCs w:val="20"/>
              </w:rPr>
              <w:t xml:space="preserve">which are easy to use and sometimes integrated with our business services, and enable our healthcare provider clients to deliver better patient care, streamline their clinical workflows, decrease documentation errors and potentially qualify for government </w:t>
            </w:r>
            <w:r>
              <w:rPr>
                <w:rFonts w:eastAsia="Times New Roman"/>
                <w:sz w:val="20"/>
                <w:szCs w:val="20"/>
              </w:rPr>
              <w:t>incentives;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PM software and related capabilities, which support our clients’ day-to-day business operations and financial workflows, including automated insurance eligibility software, a robust billing and claims rules engine and other automated tools</w:t>
            </w:r>
            <w:r>
              <w:rPr>
                <w:rFonts w:eastAsia="Times New Roman"/>
                <w:sz w:val="20"/>
                <w:szCs w:val="20"/>
              </w:rPr>
              <w:t xml:space="preserve"> designed to maximize reimbursement;</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PXM solutions designed to transform interactions between patients and their clinicians, including smartphone applications that assist patients and healthcare providers in the provision of healthcare services, inclu</w:t>
            </w:r>
            <w:r>
              <w:rPr>
                <w:rFonts w:eastAsia="Times New Roman"/>
                <w:sz w:val="20"/>
                <w:szCs w:val="20"/>
              </w:rPr>
              <w:t>ding contactless digital check-in solutions, messaging and online appointment scheduling tools;</w:t>
            </w:r>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05706254"/>
        </w:trPr>
        <w:tc>
          <w:tcPr>
            <w:tcW w:w="5000" w:type="pct"/>
            <w:hideMark/>
          </w:tcPr>
          <w:p w:rsidR="00000000" w:rsidRDefault="003A6737">
            <w:pPr>
              <w:jc w:val="center"/>
              <w:rPr>
                <w:rFonts w:eastAsia="Times New Roman"/>
                <w:sz w:val="20"/>
                <w:szCs w:val="20"/>
              </w:rPr>
            </w:pPr>
            <w:r>
              <w:rPr>
                <w:rFonts w:eastAsia="Times New Roman"/>
                <w:sz w:val="20"/>
                <w:szCs w:val="20"/>
              </w:rPr>
              <w:t>3</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3A6737">
            <w:pPr>
              <w:rPr>
                <w:rFonts w:eastAsia="Times New Roman"/>
                <w:sz w:val="20"/>
                <w:szCs w:val="20"/>
              </w:rPr>
            </w:pPr>
            <w:r>
              <w:rPr>
                <w:rFonts w:eastAsia="Times New Roman"/>
                <w:sz w:val="20"/>
                <w:szCs w:val="20"/>
              </w:rPr>
              <w:t> </w:t>
            </w: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CareCloud </w:t>
            </w:r>
            <w:r>
              <w:rPr>
                <w:rFonts w:eastAsia="Times New Roman"/>
                <w:sz w:val="20"/>
                <w:szCs w:val="20"/>
              </w:rPr>
              <w:t>Wellness, a digital health solution which includes chronic care management interactions with certified care managers, remote patient monitoring which feeds patient data directly to the EHR and highlights exceptions, and telehealth solutions which allow hea</w:t>
            </w:r>
            <w:r>
              <w:rPr>
                <w:rFonts w:eastAsia="Times New Roman"/>
                <w:sz w:val="20"/>
                <w:szCs w:val="20"/>
              </w:rPr>
              <w:t>lthcare providers to conduct remote patient visits;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Business intelligence and healthcare analytics platforms that allow our clients to derive actionable insights from their vast amount of data;</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Healthcare claims clearinghouse which enables our cl</w:t>
            </w:r>
            <w:r>
              <w:rPr>
                <w:rFonts w:eastAsia="Times New Roman"/>
                <w:sz w:val="20"/>
                <w:szCs w:val="20"/>
              </w:rPr>
              <w:t>ients to electronically scrub and submit claims and process payments from insurance companies;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Interoperability and data transformation software to support the complex realities of data exchange with healthcare trading partners, including labs, insura</w:t>
            </w:r>
            <w:r>
              <w:rPr>
                <w:rFonts w:eastAsia="Times New Roman"/>
                <w:sz w:val="20"/>
                <w:szCs w:val="20"/>
              </w:rPr>
              <w:t>nce companies, and other healthcare IT vendors;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Customized applications, interfaces and a variety of other technology solutions that support our healthcare clients;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Professional </w:t>
            </w:r>
            <w:r>
              <w:rPr>
                <w:rFonts w:eastAsia="Times New Roman"/>
                <w:sz w:val="20"/>
                <w:szCs w:val="20"/>
              </w:rPr>
              <w:t>services consisting of application and advisory services, revenue cycle services, data analytic services and educational training services; and</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Workforce augmentation and on-demand staffing to support our clients as they expand their businesses, seek </w:t>
            </w:r>
            <w:r>
              <w:rPr>
                <w:rFonts w:eastAsia="Times New Roman"/>
                <w:sz w:val="20"/>
                <w:szCs w:val="20"/>
              </w:rPr>
              <w:t>highly trained personnel, or struggle with staffing shortages.</w:t>
            </w:r>
          </w:p>
        </w:tc>
      </w:tr>
    </w:tbl>
    <w:p w:rsidR="00000000" w:rsidRDefault="003A6737">
      <w:pPr>
        <w:pStyle w:val="a3"/>
        <w:spacing w:before="0" w:beforeAutospacing="0" w:after="0" w:afterAutospacing="0"/>
        <w:ind w:left="108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3A6737">
            <w:pPr>
              <w:rPr>
                <w:rFonts w:eastAsia="Times New Roman"/>
                <w:sz w:val="20"/>
                <w:szCs w:val="20"/>
              </w:rPr>
            </w:pPr>
            <w:r>
              <w:rPr>
                <w:rFonts w:eastAsia="Times New Roman"/>
                <w:sz w:val="20"/>
                <w:szCs w:val="20"/>
              </w:rPr>
              <w:t> </w:t>
            </w: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Medical practice management services are provided to medical practices. In this service model, we provide the medical practice with appropriate facilities, equipment, supplies, support s</w:t>
            </w:r>
            <w:r>
              <w:rPr>
                <w:rFonts w:eastAsia="Times New Roman"/>
                <w:sz w:val="20"/>
                <w:szCs w:val="20"/>
              </w:rPr>
              <w:t>ervices, nurses and administrative support staff. We also provide management, bill-paying and financial advisory services.</w:t>
            </w:r>
          </w:p>
        </w:tc>
      </w:tr>
    </w:tbl>
    <w:p w:rsidR="00000000" w:rsidRDefault="003A6737">
      <w:pPr>
        <w:pStyle w:val="a3"/>
        <w:spacing w:before="0" w:beforeAutospacing="0" w:after="0" w:afterAutospacing="0"/>
        <w:ind w:left="72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Our offshore operations in Pakistan and Sri Lanka together accounted for approximately 14% and 11% of total expenses for the years</w:t>
      </w:r>
      <w:r>
        <w:rPr>
          <w:sz w:val="20"/>
          <w:szCs w:val="20"/>
        </w:rPr>
        <w:t xml:space="preserve"> ended December 31, 2022 and 2021, respectively. A significant portion of those expenses were personnel-related costs (approximately 79% and 80% of foreign costs for the years ended December 31, 2022 and 2021, respectively). Because personnel-related costs</w:t>
      </w:r>
      <w:r>
        <w:rPr>
          <w:sz w:val="20"/>
          <w:szCs w:val="20"/>
        </w:rPr>
        <w:t xml:space="preserve"> are significantly lower in Pakistan and Sri Lanka than in the U.S. and many other offshore locations, we believe our offshore operations give us a competitive advantage over many industry participants. All of the medical billing companies that we have acq</w:t>
      </w:r>
      <w:r>
        <w:rPr>
          <w:sz w:val="20"/>
          <w:szCs w:val="20"/>
        </w:rPr>
        <w:t>uired used domestic labor or subcontractors from higher cost locations to provide all or a substantial portion of their services. We are able to achieve significant cost reductions as we shift these labor costs to our offshore operations.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rPr>
          <w:sz w:val="20"/>
          <w:szCs w:val="20"/>
        </w:rPr>
      </w:pPr>
      <w:r>
        <w:rPr>
          <w:b/>
          <w:bCs/>
          <w:sz w:val="20"/>
          <w:szCs w:val="20"/>
        </w:rPr>
        <w:t xml:space="preserve">Key </w:t>
      </w:r>
      <w:r>
        <w:rPr>
          <w:b/>
          <w:bCs/>
          <w:sz w:val="20"/>
          <w:szCs w:val="20"/>
        </w:rPr>
        <w:t>Performance Measures</w:t>
      </w:r>
    </w:p>
    <w:p w:rsidR="00000000" w:rsidRDefault="003A6737">
      <w:pPr>
        <w:pStyle w:val="a3"/>
        <w:shd w:val="clear" w:color="auto" w:fill="FFFFFF"/>
        <w:spacing w:before="0" w:beforeAutospacing="0" w:after="0" w:afterAutospacing="0"/>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We consider numerous factors in assessing our performance. Key performance measures used by management include adjusted EBITDA, adjusted operating income, adjusted operating margin, adjusted net income and adjusted net income per sha</w:t>
      </w:r>
      <w:r>
        <w:rPr>
          <w:sz w:val="20"/>
          <w:szCs w:val="20"/>
        </w:rPr>
        <w:t>re. These key performance measures are non-GAAP financial measures, which we believe better enable management and investors to analyze and compare the underlying business results from period to period.</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These non-GAAP financial measures should not be cons</w:t>
      </w:r>
      <w:r>
        <w:rPr>
          <w:sz w:val="20"/>
          <w:szCs w:val="20"/>
        </w:rPr>
        <w:t xml:space="preserve">idered in isolation, or as a substitute for or superior to, financial measures calculated in accordance with accounting principles generally accepted in the United States of America (“GAAP”). Moreover, these non-GAAP financial measures have limitations in </w:t>
      </w:r>
      <w:r>
        <w:rPr>
          <w:sz w:val="20"/>
          <w:szCs w:val="20"/>
        </w:rPr>
        <w:t>that they do not reflect all the items associated with the operations of our business as determined in accordance with GAAP. We compensate for these limitations by analyzing current and future results on a GAAP basis, as well as a non-GAAP basis, and we pr</w:t>
      </w:r>
      <w:r>
        <w:rPr>
          <w:sz w:val="20"/>
          <w:szCs w:val="20"/>
        </w:rPr>
        <w:t xml:space="preserve">ovide reconciliations from the most directly comparable GAAP financial measures to the non-GAAP financial measures. Our non-GAAP financial measures may not be comparable to similarly titled measures of other companies. Other companies, including companies </w:t>
      </w:r>
      <w:r>
        <w:rPr>
          <w:sz w:val="20"/>
          <w:szCs w:val="20"/>
        </w:rPr>
        <w:t>in our industry, may calculate similarly titled non-GAAP financial measures differently than we do, limiting the usefulness of those measures for comparative purposes.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Adjusted EBITDA, adjusted operating income, adjusted operating margin, adjusted net in</w:t>
      </w:r>
      <w:r>
        <w:rPr>
          <w:sz w:val="20"/>
          <w:szCs w:val="20"/>
        </w:rPr>
        <w:t>come and adjusted net income per share provide an alternative view of performance used by management and we believe that an investor’s understanding of our performance is enhanced by disclosing these adjusted performance measures.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Adjusted EBITDA exclude</w:t>
      </w:r>
      <w:r>
        <w:rPr>
          <w:sz w:val="20"/>
          <w:szCs w:val="20"/>
        </w:rPr>
        <w:t>s the following elements which are included in GAAP net income:</w:t>
      </w:r>
    </w:p>
    <w:p w:rsidR="00000000" w:rsidRDefault="003A673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3A6737">
            <w:pPr>
              <w:rPr>
                <w:rFonts w:eastAsia="Times New Roman"/>
                <w:sz w:val="20"/>
                <w:szCs w:val="20"/>
              </w:rPr>
            </w:pPr>
            <w:r>
              <w:rPr>
                <w:rFonts w:eastAsia="Times New Roman"/>
                <w:sz w:val="20"/>
                <w:szCs w:val="20"/>
              </w:rPr>
              <w:t> </w:t>
            </w: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Income tax expense or the cash requirements to pay our taxes;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Interest expense or the cash requirements necessary to service interest on principal payments on our debt;</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Foreign currency gains and losses and other non-operating expenses;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Stock-based compensation expense, which includes cash-settled awards and the related taxes, based on changes in the stock price;</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Depreciation and amortization charges;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Integ</w:t>
            </w:r>
            <w:r>
              <w:rPr>
                <w:rFonts w:eastAsia="Times New Roman"/>
                <w:sz w:val="20"/>
                <w:szCs w:val="20"/>
              </w:rPr>
              <w:t>ration costs, such as severance amounts paid to employees from acquired businesses and transaction costs, such as brokerage fees, pre-acquisition accounting costs and legal fees and exit costs related to contractual agreements;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Net loss on lease termi</w:t>
            </w:r>
            <w:r>
              <w:rPr>
                <w:rFonts w:eastAsia="Times New Roman"/>
                <w:sz w:val="20"/>
                <w:szCs w:val="20"/>
              </w:rPr>
              <w:t>nation, impairment and unoccupied lease charges; and</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Change in contingent consideration.</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Set forth below is a presentation of </w:t>
      </w:r>
      <w:r>
        <w:rPr>
          <w:sz w:val="20"/>
          <w:szCs w:val="20"/>
        </w:rPr>
        <w:t>our adjusted EBITDA for the years ended December 31, 2022 and 2021:</w:t>
      </w:r>
    </w:p>
    <w:p w:rsidR="00000000" w:rsidRDefault="003A6737">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707"/>
        <w:gridCol w:w="119"/>
        <w:gridCol w:w="100"/>
        <w:gridCol w:w="1182"/>
        <w:gridCol w:w="67"/>
        <w:gridCol w:w="120"/>
        <w:gridCol w:w="100"/>
        <w:gridCol w:w="1183"/>
        <w:gridCol w:w="67"/>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2800" w:type="pct"/>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138,826</w:t>
            </w:r>
          </w:p>
        </w:tc>
        <w:tc>
          <w:tcPr>
            <w:tcW w:w="50" w:type="pct"/>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139,599</w:t>
            </w:r>
          </w:p>
        </w:tc>
        <w:tc>
          <w:tcPr>
            <w:tcW w:w="50" w:type="pct"/>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GAAP net income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5,432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2,836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Provision for income taxes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177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157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Net interest expense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364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440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712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241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4,914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5,396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11,725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12,195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876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1,364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1,138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2,005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(3,090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(2,515</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b/>
                <w:bCs/>
                <w:sz w:val="20"/>
                <w:szCs w:val="20"/>
              </w:rPr>
            </w:pPr>
            <w:r>
              <w:rPr>
                <w:rFonts w:eastAsia="Times New Roman"/>
                <w:b/>
                <w:bCs/>
                <w:sz w:val="20"/>
                <w:szCs w:val="20"/>
              </w:rPr>
              <w:t>22,248</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b/>
                <w:bCs/>
                <w:sz w:val="20"/>
                <w:szCs w:val="20"/>
              </w:rPr>
            </w:pPr>
            <w:r>
              <w:rPr>
                <w:rFonts w:eastAsia="Times New Roman"/>
                <w:b/>
                <w:bCs/>
                <w:sz w:val="20"/>
                <w:szCs w:val="20"/>
              </w:rPr>
              <w:t>22,119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bl>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operating income and adjusted operating margin exclude the following elements which are included in GAAP operating income:</w:t>
      </w:r>
    </w:p>
    <w:p w:rsidR="00000000" w:rsidRDefault="003A6737">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3A6737">
            <w:pPr>
              <w:rPr>
                <w:sz w:val="20"/>
                <w:szCs w:val="20"/>
              </w:rPr>
            </w:pPr>
          </w:p>
        </w:tc>
        <w:tc>
          <w:tcPr>
            <w:tcW w:w="360" w:type="dxa"/>
            <w:shd w:val="clear" w:color="auto" w:fill="FFFFFF"/>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3A6737">
            <w:pPr>
              <w:jc w:val="both"/>
              <w:rPr>
                <w:rFonts w:eastAsia="Times New Roman"/>
                <w:sz w:val="20"/>
                <w:szCs w:val="20"/>
              </w:rPr>
            </w:pPr>
            <w:r>
              <w:rPr>
                <w:rFonts w:eastAsia="Times New Roman"/>
                <w:sz w:val="20"/>
                <w:szCs w:val="20"/>
              </w:rPr>
              <w:t>Stock-based compensation expense, which includes cash-settled awards and the related taxes, based on changes in the stock price;</w:t>
            </w:r>
          </w:p>
        </w:tc>
      </w:tr>
      <w:tr w:rsidR="00000000">
        <w:trPr>
          <w:tblCellSpacing w:w="0" w:type="dxa"/>
        </w:trPr>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3A6737">
            <w:pPr>
              <w:jc w:val="both"/>
              <w:rPr>
                <w:rFonts w:eastAsia="Times New Roman"/>
                <w:sz w:val="20"/>
                <w:szCs w:val="20"/>
              </w:rPr>
            </w:pPr>
            <w:r>
              <w:rPr>
                <w:rFonts w:eastAsia="Times New Roman"/>
                <w:sz w:val="20"/>
                <w:szCs w:val="20"/>
              </w:rPr>
              <w:t>Amortization of purchased intangible assets;</w:t>
            </w:r>
          </w:p>
        </w:tc>
      </w:tr>
      <w:tr w:rsidR="00000000">
        <w:trPr>
          <w:tblCellSpacing w:w="0" w:type="dxa"/>
        </w:trPr>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3A6737">
            <w:pPr>
              <w:jc w:val="both"/>
              <w:rPr>
                <w:rFonts w:eastAsia="Times New Roman"/>
                <w:sz w:val="20"/>
                <w:szCs w:val="20"/>
              </w:rPr>
            </w:pPr>
            <w:r>
              <w:rPr>
                <w:rFonts w:eastAsia="Times New Roman"/>
                <w:sz w:val="20"/>
                <w:szCs w:val="20"/>
              </w:rPr>
              <w:t>Integration costs, such as severance amounts paid to employees from acquired businesses and transaction costs, such as brokerage fees, pre-acquisition accounting costs and legal fees and exit costs re</w:t>
            </w:r>
            <w:r>
              <w:rPr>
                <w:rFonts w:eastAsia="Times New Roman"/>
                <w:sz w:val="20"/>
                <w:szCs w:val="20"/>
              </w:rPr>
              <w:t>lated to contractual agreements;</w:t>
            </w:r>
          </w:p>
        </w:tc>
      </w:tr>
      <w:tr w:rsidR="00000000">
        <w:trPr>
          <w:tblCellSpacing w:w="0" w:type="dxa"/>
        </w:trPr>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3A6737">
            <w:pPr>
              <w:jc w:val="both"/>
              <w:rPr>
                <w:rFonts w:eastAsia="Times New Roman"/>
                <w:sz w:val="20"/>
                <w:szCs w:val="20"/>
              </w:rPr>
            </w:pPr>
            <w:r>
              <w:rPr>
                <w:rFonts w:eastAsia="Times New Roman"/>
                <w:sz w:val="20"/>
                <w:szCs w:val="20"/>
              </w:rPr>
              <w:t>Net loss on lease termination, impairment and unoccupied lease charges; and</w:t>
            </w:r>
          </w:p>
        </w:tc>
      </w:tr>
      <w:tr w:rsidR="00000000">
        <w:trPr>
          <w:tblCellSpacing w:w="0" w:type="dxa"/>
        </w:trPr>
        <w:tc>
          <w:tcPr>
            <w:tcW w:w="0" w:type="auto"/>
            <w:shd w:val="clear" w:color="auto" w:fill="FFFFFF"/>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3A6737">
            <w:pPr>
              <w:jc w:val="both"/>
              <w:rPr>
                <w:rFonts w:eastAsia="Times New Roman"/>
                <w:sz w:val="20"/>
                <w:szCs w:val="20"/>
              </w:rPr>
            </w:pPr>
            <w:r>
              <w:rPr>
                <w:rFonts w:eastAsia="Times New Roman"/>
                <w:sz w:val="20"/>
                <w:szCs w:val="20"/>
              </w:rPr>
              <w:t>Change in contingent consideration.</w:t>
            </w:r>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9325689"/>
        </w:trPr>
        <w:tc>
          <w:tcPr>
            <w:tcW w:w="5000" w:type="pct"/>
            <w:hideMark/>
          </w:tcPr>
          <w:p w:rsidR="00000000" w:rsidRDefault="003A6737">
            <w:pPr>
              <w:jc w:val="center"/>
              <w:rPr>
                <w:rFonts w:eastAsia="Times New Roman"/>
                <w:sz w:val="20"/>
                <w:szCs w:val="20"/>
              </w:rPr>
            </w:pPr>
            <w:r>
              <w:rPr>
                <w:rFonts w:eastAsia="Times New Roman"/>
                <w:sz w:val="20"/>
                <w:szCs w:val="20"/>
              </w:rPr>
              <w:t>3</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hd w:val="clear" w:color="auto" w:fill="FFFFFF"/>
        <w:spacing w:before="0" w:beforeAutospacing="0" w:after="0" w:afterAutospacing="0"/>
        <w:ind w:left="72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Set </w:t>
      </w:r>
      <w:r>
        <w:rPr>
          <w:sz w:val="20"/>
          <w:szCs w:val="20"/>
        </w:rPr>
        <w:t>forth below is a presentation of our adjusted operating income and adjusted operating margin, which represents adjusted operating income as a percentage of net revenue, for the years ended December 31, 2022 and 2021:</w:t>
      </w:r>
    </w:p>
    <w:p w:rsidR="00000000" w:rsidRDefault="003A6737">
      <w:pPr>
        <w:pStyle w:val="a3"/>
        <w:shd w:val="clear" w:color="auto" w:fill="FFFFFF"/>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138"/>
        <w:gridCol w:w="102"/>
        <w:gridCol w:w="100"/>
        <w:gridCol w:w="1299"/>
        <w:gridCol w:w="167"/>
        <w:gridCol w:w="103"/>
        <w:gridCol w:w="100"/>
        <w:gridCol w:w="1299"/>
        <w:gridCol w:w="167"/>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2800" w:type="pct"/>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138,826</w:t>
            </w:r>
          </w:p>
        </w:tc>
        <w:tc>
          <w:tcPr>
            <w:tcW w:w="50" w:type="pct"/>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139,599</w:t>
            </w:r>
          </w:p>
        </w:tc>
        <w:tc>
          <w:tcPr>
            <w:tcW w:w="50" w:type="pct"/>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GAAP net income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5,432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2,836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Provision for income taxes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177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157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Net interest expense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364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440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Other expense - net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637</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96</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GAAP operating income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6,610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3,529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GAAP operating margin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4,914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5,396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6,277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8,880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876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1,364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1,138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2,005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(3,090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(2,515</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Non-GAAP adjusted operating income</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b/>
                <w:bCs/>
                <w:sz w:val="20"/>
                <w:szCs w:val="20"/>
              </w:rPr>
            </w:pPr>
            <w:r>
              <w:rPr>
                <w:rFonts w:eastAsia="Times New Roman"/>
                <w:b/>
                <w:bCs/>
                <w:sz w:val="20"/>
                <w:szCs w:val="20"/>
              </w:rPr>
              <w:t>16,725</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b/>
                <w:bCs/>
                <w:sz w:val="20"/>
                <w:szCs w:val="20"/>
              </w:rPr>
            </w:pPr>
            <w:r>
              <w:rPr>
                <w:rFonts w:eastAsia="Times New Roman"/>
                <w:b/>
                <w:bCs/>
                <w:sz w:val="20"/>
                <w:szCs w:val="20"/>
              </w:rPr>
              <w:t>18,659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Non-GAAP adjusted operating margin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12.0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13.4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bl>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net income and adjusted net income per share exclude the following elements which are included in GAAP net income:</w:t>
      </w:r>
    </w:p>
    <w:p w:rsidR="00000000" w:rsidRDefault="003A673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3A6737">
            <w:pPr>
              <w:rPr>
                <w:rFonts w:eastAsia="Times New Roman"/>
                <w:sz w:val="20"/>
                <w:szCs w:val="20"/>
              </w:rPr>
            </w:pPr>
            <w:r>
              <w:rPr>
                <w:rFonts w:eastAsia="Times New Roman"/>
                <w:sz w:val="20"/>
                <w:szCs w:val="20"/>
              </w:rPr>
              <w:t> </w:t>
            </w:r>
          </w:p>
        </w:tc>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Foreign currency gains and losses and other non-operating expenses;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Stock-based compensation expense, which includes cash-settled </w:t>
            </w:r>
            <w:r>
              <w:rPr>
                <w:rFonts w:eastAsia="Times New Roman"/>
                <w:sz w:val="20"/>
                <w:szCs w:val="20"/>
              </w:rPr>
              <w:t>awards and the related taxes, based on changes in the stock price;</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Amortization of purchased intangible assets;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Integration costs, such as severance amounts paid to employees from acquired businesses and transaction costs, such as brokerage fees,</w:t>
            </w:r>
            <w:r>
              <w:rPr>
                <w:rFonts w:eastAsia="Times New Roman"/>
                <w:sz w:val="20"/>
                <w:szCs w:val="20"/>
              </w:rPr>
              <w:t xml:space="preserve"> pre-acquisition accounting costs and legal fees and exit costs related to contractual agreements;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Net loss on lease termination, impairment and unoccupied lease charges;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Change in contingent consideration; and</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Income tax expense </w:t>
            </w:r>
            <w:r>
              <w:rPr>
                <w:rFonts w:eastAsia="Times New Roman"/>
                <w:sz w:val="20"/>
                <w:szCs w:val="20"/>
              </w:rPr>
              <w:t>resulting from the amortization of goodwill related to our acquisitions.</w:t>
            </w:r>
          </w:p>
        </w:tc>
      </w:tr>
    </w:tbl>
    <w:p w:rsidR="00000000" w:rsidRDefault="003A6737">
      <w:pPr>
        <w:pStyle w:val="a3"/>
        <w:shd w:val="clear" w:color="auto" w:fill="FFFFFF"/>
        <w:spacing w:before="0" w:beforeAutospacing="0" w:after="0" w:afterAutospacing="0"/>
        <w:ind w:left="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78893020"/>
        </w:trPr>
        <w:tc>
          <w:tcPr>
            <w:tcW w:w="5000" w:type="pct"/>
            <w:hideMark/>
          </w:tcPr>
          <w:p w:rsidR="00000000" w:rsidRDefault="003A6737">
            <w:pPr>
              <w:jc w:val="center"/>
              <w:rPr>
                <w:rFonts w:eastAsia="Times New Roman"/>
                <w:sz w:val="20"/>
                <w:szCs w:val="20"/>
              </w:rPr>
            </w:pPr>
            <w:r>
              <w:rPr>
                <w:rFonts w:eastAsia="Times New Roman"/>
                <w:sz w:val="20"/>
                <w:szCs w:val="20"/>
              </w:rPr>
              <w:t>3</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hd w:val="clear" w:color="auto" w:fill="FFFFFF"/>
        <w:spacing w:before="0" w:beforeAutospacing="0" w:after="0" w:afterAutospacing="0"/>
        <w:ind w:left="72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color w:val="000000"/>
          <w:sz w:val="20"/>
          <w:szCs w:val="20"/>
          <w:shd w:val="clear" w:color="auto" w:fill="FFFFFF"/>
        </w:rPr>
        <w:t xml:space="preserve">No </w:t>
      </w:r>
      <w:r>
        <w:rPr>
          <w:color w:val="000000"/>
          <w:sz w:val="20"/>
          <w:szCs w:val="20"/>
          <w:shd w:val="clear" w:color="auto" w:fill="FFFFFF"/>
        </w:rPr>
        <w:t xml:space="preserve">tax effect has been provided in computing non-GAAP adjusted net income and non-GAAP adjusted net income per share as the Company has sufficient carry forward net operating losses to offset the applicable income taxes. </w:t>
      </w:r>
      <w:r>
        <w:rPr>
          <w:sz w:val="20"/>
          <w:szCs w:val="20"/>
        </w:rPr>
        <w:t>The following table shows our reconcil</w:t>
      </w:r>
      <w:r>
        <w:rPr>
          <w:sz w:val="20"/>
          <w:szCs w:val="20"/>
        </w:rPr>
        <w:t>iation of GAAP net income to non-GAAP adjusted net income for the years ended December 31, 2022 and 2021:</w:t>
      </w:r>
    </w:p>
    <w:p w:rsidR="00000000" w:rsidRDefault="003A6737">
      <w:pPr>
        <w:pStyle w:val="a3"/>
        <w:shd w:val="clear" w:color="auto" w:fill="FFFFFF"/>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3A6737">
            <w:pPr>
              <w:rPr>
                <w:rFonts w:eastAsia="Times New Roman"/>
                <w:sz w:val="20"/>
                <w:szCs w:val="20"/>
              </w:rPr>
            </w:pPr>
            <w:r>
              <w:rPr>
                <w:rFonts w:eastAsia="Times New Roman"/>
                <w:sz w:val="20"/>
                <w:szCs w:val="20"/>
              </w:rPr>
              <w:t>GAAP net income</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5,432</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2,836</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712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241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4,914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5,396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6,277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8,880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876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1,364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1,138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2,005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(3,090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(2,515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Income tax expense related to goodwill</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75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290</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Non-GAAP adjusted net income</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b/>
                <w:bCs/>
                <w:sz w:val="20"/>
                <w:szCs w:val="20"/>
              </w:rPr>
            </w:pPr>
            <w:r>
              <w:rPr>
                <w:rFonts w:eastAsia="Times New Roman"/>
                <w:b/>
                <w:bCs/>
                <w:sz w:val="20"/>
                <w:szCs w:val="20"/>
              </w:rPr>
              <w:t>16,334</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b/>
                <w:bCs/>
                <w:sz w:val="20"/>
                <w:szCs w:val="20"/>
              </w:rPr>
            </w:pPr>
            <w:r>
              <w:rPr>
                <w:rFonts w:eastAsia="Times New Roman"/>
                <w:b/>
                <w:bCs/>
                <w:sz w:val="20"/>
                <w:szCs w:val="20"/>
              </w:rPr>
              <w:t>18,497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bl>
    <w:p w:rsidR="00000000" w:rsidRDefault="003A6737">
      <w:pPr>
        <w:pStyle w:val="a3"/>
        <w:shd w:val="clear" w:color="auto" w:fill="FFFFFF"/>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2800" w:type="pct"/>
            <w:shd w:val="clear" w:color="auto" w:fill="CCEEFF"/>
            <w:vAlign w:val="bottom"/>
            <w:hideMark/>
          </w:tcPr>
          <w:p w:rsidR="00000000" w:rsidRDefault="003A6737">
            <w:pPr>
              <w:rPr>
                <w:rFonts w:eastAsia="Times New Roman"/>
                <w:sz w:val="20"/>
                <w:szCs w:val="20"/>
              </w:rPr>
            </w:pPr>
            <w:r>
              <w:rPr>
                <w:rFonts w:eastAsia="Times New Roman"/>
                <w:sz w:val="20"/>
                <w:szCs w:val="20"/>
              </w:rPr>
              <w:t>GAAP net loss attributable to common shareholders, per share</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(0.67</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(0.77</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Impact of preferred stock dividend</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1.03</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0.96</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Net income per end-of-period share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0.36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0.19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0.05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0.32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0.36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0.41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0.60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0.06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0.09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0.13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(0.20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(0.17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Income tax expense related to goodwill</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0.02</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Non-GAAP adjusted earnings per share</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b/>
                <w:bCs/>
                <w:sz w:val="20"/>
                <w:szCs w:val="20"/>
              </w:rPr>
            </w:pPr>
            <w:r>
              <w:rPr>
                <w:rFonts w:eastAsia="Times New Roman"/>
                <w:b/>
                <w:bCs/>
                <w:sz w:val="20"/>
                <w:szCs w:val="20"/>
              </w:rPr>
              <w:t>1.07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b/>
                <w:bCs/>
                <w:sz w:val="20"/>
                <w:szCs w:val="20"/>
              </w:rPr>
            </w:pPr>
            <w:r>
              <w:rPr>
                <w:rFonts w:eastAsia="Times New Roman"/>
                <w:b/>
                <w:bCs/>
                <w:sz w:val="20"/>
                <w:szCs w:val="20"/>
              </w:rPr>
              <w:t>1.24</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End-of-period common shares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15,229,405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14,916,842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In-the-money warrants and outstanding unvested RSUs</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598,245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684,528</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Total fully diluted shares</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15,827,650</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15,601,370</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Non-GAAP adjusted diluted earnings per share</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b/>
                <w:bCs/>
                <w:sz w:val="20"/>
                <w:szCs w:val="20"/>
              </w:rPr>
            </w:pPr>
            <w:r>
              <w:rPr>
                <w:rFonts w:eastAsia="Times New Roman"/>
                <w:b/>
                <w:bCs/>
                <w:sz w:val="20"/>
                <w:szCs w:val="20"/>
              </w:rPr>
              <w:t>1.03</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b/>
                <w:bCs/>
                <w:sz w:val="20"/>
                <w:szCs w:val="20"/>
              </w:rPr>
            </w:pPr>
            <w:r>
              <w:rPr>
                <w:rFonts w:eastAsia="Times New Roman"/>
                <w:b/>
                <w:bCs/>
                <w:sz w:val="20"/>
                <w:szCs w:val="20"/>
              </w:rPr>
              <w:t>1.19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bl>
    <w:p w:rsidR="00000000" w:rsidRDefault="003A6737">
      <w:pPr>
        <w:pStyle w:val="a3"/>
        <w:shd w:val="clear" w:color="auto" w:fill="FFFFFF"/>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shd w:val="clear" w:color="auto" w:fill="FFFFFF"/>
        </w:rPr>
        <w:t xml:space="preserve">For </w:t>
      </w:r>
      <w:r>
        <w:rPr>
          <w:sz w:val="20"/>
          <w:szCs w:val="20"/>
          <w:shd w:val="clear" w:color="auto" w:fill="FFFFFF"/>
        </w:rPr>
        <w:t>purposes of determining non-GAAP adjusted earnings per share, the Company used the number of common shares outstanding at the end of December 31, 2022 and 2021. Non-GAAP adjusted diluted earnings per share was computed using an as-converted method and incl</w:t>
      </w:r>
      <w:r>
        <w:rPr>
          <w:sz w:val="20"/>
          <w:szCs w:val="20"/>
          <w:shd w:val="clear" w:color="auto" w:fill="FFFFFF"/>
        </w:rPr>
        <w:t>udes warrants that are in-the-money as of that date as well as outstanding unvested RSUs. Non-GAAP adjusted earnings per share and non-GAAP adjusted diluted earnings per share do not take into account dividends paid on Preferred Stock. No tax effect has be</w:t>
      </w:r>
      <w:r>
        <w:rPr>
          <w:sz w:val="20"/>
          <w:szCs w:val="20"/>
          <w:shd w:val="clear" w:color="auto" w:fill="FFFFFF"/>
        </w:rPr>
        <w:t>en provided in computing non-GAAP adjusted earnings per share and non-GAAP adjusted diluted earnings per share as the Company has sufficient carry forward net operating losses to offset the applicable income taxes.</w:t>
      </w:r>
    </w:p>
    <w:p w:rsidR="00000000" w:rsidRDefault="003A6737">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3623724"/>
        </w:trPr>
        <w:tc>
          <w:tcPr>
            <w:tcW w:w="5000" w:type="pct"/>
            <w:hideMark/>
          </w:tcPr>
          <w:p w:rsidR="00000000" w:rsidRDefault="003A6737">
            <w:pPr>
              <w:jc w:val="center"/>
              <w:rPr>
                <w:rFonts w:eastAsia="Times New Roman"/>
                <w:sz w:val="20"/>
                <w:szCs w:val="20"/>
              </w:rPr>
            </w:pPr>
            <w:r>
              <w:rPr>
                <w:rFonts w:eastAsia="Times New Roman"/>
                <w:sz w:val="20"/>
                <w:szCs w:val="20"/>
              </w:rPr>
              <w:t>4</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rPr>
          <w:b/>
          <w:bCs/>
          <w:sz w:val="20"/>
          <w:szCs w:val="20"/>
        </w:rPr>
      </w:pPr>
      <w:r>
        <w:rPr>
          <w:b/>
          <w:bCs/>
          <w:sz w:val="20"/>
          <w:szCs w:val="20"/>
        </w:rPr>
        <w:t>Consolidated Statements of Operations Data</w:t>
      </w:r>
    </w:p>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21"/>
        <w:gridCol w:w="50"/>
        <w:gridCol w:w="100"/>
        <w:gridCol w:w="900"/>
        <w:gridCol w:w="67"/>
        <w:gridCol w:w="50"/>
        <w:gridCol w:w="100"/>
        <w:gridCol w:w="900"/>
        <w:gridCol w:w="67"/>
        <w:gridCol w:w="50"/>
        <w:gridCol w:w="100"/>
        <w:gridCol w:w="900"/>
        <w:gridCol w:w="67"/>
        <w:gridCol w:w="50"/>
        <w:gridCol w:w="100"/>
        <w:gridCol w:w="900"/>
        <w:gridCol w:w="67"/>
        <w:gridCol w:w="50"/>
        <w:gridCol w:w="100"/>
        <w:gridCol w:w="900"/>
        <w:gridCol w:w="67"/>
      </w:tblGrid>
      <w:tr w:rsidR="00000000">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18"/>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Years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18"/>
            <w:vAlign w:val="bottom"/>
            <w:hideMark/>
          </w:tcPr>
          <w:p w:rsidR="00000000" w:rsidRDefault="003A6737">
            <w:pPr>
              <w:jc w:val="center"/>
              <w:rPr>
                <w:rFonts w:eastAsia="Times New Roman"/>
                <w:sz w:val="20"/>
                <w:szCs w:val="20"/>
              </w:rPr>
            </w:pPr>
            <w:r>
              <w:rPr>
                <w:rFonts w:eastAsia="Times New Roman"/>
                <w:sz w:val="20"/>
                <w:szCs w:val="20"/>
              </w:rPr>
              <w:t>($ in thousands, except per share data)</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2500" w:type="pct"/>
            <w:shd w:val="clear" w:color="auto" w:fill="CCEEFF"/>
            <w:vAlign w:val="bottom"/>
            <w:hideMark/>
          </w:tcPr>
          <w:p w:rsidR="00000000" w:rsidRDefault="003A6737">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138,826</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139,599</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105,122</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64,439</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50,546</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84,434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86,918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64,821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41,186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31,253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9,788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8,786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6,582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1,522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1,612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23,820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24,273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22,811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17,912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16,264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4,401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4,408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9,311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871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1,029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(3,090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(2,515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(344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73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11,725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12,195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9,905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3,006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2,854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1,138</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2,005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963</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219</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Total operating expenses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132,216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136,070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113,393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64,372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53,085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Operating income (loss)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6,610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3,529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(8,271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(2,539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(364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(440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(446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(121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(250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Other (expense) income - net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(637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(96</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(625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494</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Income (loss) before provision (benefit) for income taxes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5,609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2,993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(8,710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(679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(2,295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Income tax provision (benefit)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177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157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103</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193</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(157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60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income (loss)</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5,432</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2,836</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(8,813</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(872</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(2,138</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Preferred stock dividend</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15,517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14,052</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13,877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6,386</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4,824</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loss attributable to common shareholders</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(10,085</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(11,216</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(22,690</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(7,258</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(6,962</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Weighted average common shares outstanding basic and diluted</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15,109,587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14,541,061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12,678,845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12,087,947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11,721,232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loss per common share: basic and diluted</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(0.67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(0.77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(1.79</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(0.60</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(0.59</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sz w:val="20"/>
          <w:szCs w:val="20"/>
        </w:rPr>
      </w:pPr>
      <w:r>
        <w:rPr>
          <w:b/>
          <w:bCs/>
          <w:sz w:val="20"/>
          <w:szCs w:val="20"/>
        </w:rPr>
        <w:t>Consolidated Balance Sheet Data</w:t>
      </w:r>
      <w:r>
        <w:rPr>
          <w:sz w:val="20"/>
          <w:szCs w:val="20"/>
        </w:rPr>
        <w:t xml:space="preserve"> </w:t>
      </w:r>
    </w:p>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1"/>
        <w:gridCol w:w="160"/>
        <w:gridCol w:w="100"/>
        <w:gridCol w:w="742"/>
        <w:gridCol w:w="77"/>
        <w:gridCol w:w="160"/>
        <w:gridCol w:w="100"/>
        <w:gridCol w:w="742"/>
        <w:gridCol w:w="78"/>
        <w:gridCol w:w="161"/>
        <w:gridCol w:w="100"/>
        <w:gridCol w:w="743"/>
        <w:gridCol w:w="78"/>
        <w:gridCol w:w="161"/>
        <w:gridCol w:w="100"/>
        <w:gridCol w:w="743"/>
        <w:gridCol w:w="78"/>
        <w:gridCol w:w="161"/>
        <w:gridCol w:w="100"/>
        <w:gridCol w:w="743"/>
        <w:gridCol w:w="78"/>
      </w:tblGrid>
      <w:tr w:rsidR="00000000">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18"/>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As of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18"/>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3A6737">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12,299</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10,340</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20,925</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19,994</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14,472</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Working capital - net (1)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12,255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5,997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15,795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19,823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17,916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Total assets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136,174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140,848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137,999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56,402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47,623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Long-term debt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222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Shareholders’ equity</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101,689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97,931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101,245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42,837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38,870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A6737">
            <w:pPr>
              <w:rPr>
                <w:rFonts w:eastAsia="Times New Roman"/>
                <w:sz w:val="20"/>
                <w:szCs w:val="20"/>
              </w:rPr>
            </w:pPr>
            <w:r>
              <w:rPr>
                <w:rFonts w:eastAsia="Times New Roman"/>
                <w:sz w:val="20"/>
                <w:szCs w:val="20"/>
              </w:rPr>
              <w:t>(1)</w:t>
            </w:r>
          </w:p>
        </w:tc>
        <w:tc>
          <w:tcPr>
            <w:tcW w:w="0" w:type="auto"/>
            <w:hideMark/>
          </w:tcPr>
          <w:p w:rsidR="00000000" w:rsidRDefault="003A6737">
            <w:pPr>
              <w:rPr>
                <w:rFonts w:eastAsia="Times New Roman"/>
                <w:sz w:val="20"/>
                <w:szCs w:val="20"/>
              </w:rPr>
            </w:pPr>
            <w:r>
              <w:rPr>
                <w:rFonts w:eastAsia="Times New Roman"/>
                <w:sz w:val="20"/>
                <w:szCs w:val="20"/>
              </w:rPr>
              <w:t xml:space="preserve">Working </w:t>
            </w:r>
            <w:r>
              <w:rPr>
                <w:rFonts w:eastAsia="Times New Roman"/>
                <w:sz w:val="20"/>
                <w:szCs w:val="20"/>
              </w:rPr>
              <w:t>capital-net is defined as current assets less current liabilities.</w:t>
            </w:r>
          </w:p>
        </w:tc>
      </w:tr>
    </w:tbl>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rPr>
          <w:sz w:val="20"/>
          <w:szCs w:val="20"/>
        </w:rPr>
      </w:pPr>
      <w:r>
        <w:rPr>
          <w:b/>
          <w:bCs/>
          <w:sz w:val="20"/>
          <w:szCs w:val="20"/>
        </w:rPr>
        <w:t>Other Financial Data</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To provide investors with additional insight and allow for a more comprehensive understanding of the information used by management in its financial and operationa</w:t>
      </w:r>
      <w:r>
        <w:rPr>
          <w:sz w:val="20"/>
          <w:szCs w:val="20"/>
        </w:rPr>
        <w:t>l decision-making, we supplement our consolidated financial statements presented on a basis consistent with U.S. generally accepted accounting principles, or GAAP, with adjusted EBITDA, (previously defined), a non-GAAP financial measure of earnings.</w:t>
      </w:r>
    </w:p>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1"/>
        <w:gridCol w:w="160"/>
        <w:gridCol w:w="100"/>
        <w:gridCol w:w="742"/>
        <w:gridCol w:w="77"/>
        <w:gridCol w:w="160"/>
        <w:gridCol w:w="100"/>
        <w:gridCol w:w="742"/>
        <w:gridCol w:w="78"/>
        <w:gridCol w:w="161"/>
        <w:gridCol w:w="100"/>
        <w:gridCol w:w="743"/>
        <w:gridCol w:w="78"/>
        <w:gridCol w:w="161"/>
        <w:gridCol w:w="100"/>
        <w:gridCol w:w="743"/>
        <w:gridCol w:w="78"/>
        <w:gridCol w:w="161"/>
        <w:gridCol w:w="100"/>
        <w:gridCol w:w="743"/>
        <w:gridCol w:w="78"/>
      </w:tblGrid>
      <w:tr w:rsidR="00000000">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18"/>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Years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18"/>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3A6737">
            <w:pPr>
              <w:rPr>
                <w:rFonts w:eastAsia="Times New Roman"/>
                <w:sz w:val="20"/>
                <w:szCs w:val="20"/>
              </w:rPr>
            </w:pPr>
            <w:r>
              <w:rPr>
                <w:rFonts w:eastAsia="Times New Roman"/>
                <w:sz w:val="20"/>
                <w:szCs w:val="20"/>
              </w:rPr>
              <w:t>Adjusted EBITDA</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22,248</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22,119</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10,871</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8,101</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4,802</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01215448"/>
        </w:trPr>
        <w:tc>
          <w:tcPr>
            <w:tcW w:w="5000" w:type="pct"/>
            <w:hideMark/>
          </w:tcPr>
          <w:p w:rsidR="00000000" w:rsidRDefault="003A6737">
            <w:pPr>
              <w:jc w:val="center"/>
              <w:rPr>
                <w:rFonts w:eastAsia="Times New Roman"/>
                <w:sz w:val="20"/>
                <w:szCs w:val="20"/>
              </w:rPr>
            </w:pPr>
            <w:r>
              <w:rPr>
                <w:rFonts w:eastAsia="Times New Roman"/>
                <w:sz w:val="20"/>
                <w:szCs w:val="20"/>
              </w:rPr>
              <w:t>4</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rPr>
          <w:sz w:val="20"/>
          <w:szCs w:val="20"/>
        </w:rPr>
      </w:pPr>
      <w:r>
        <w:rPr>
          <w:b/>
          <w:bCs/>
          <w:sz w:val="20"/>
          <w:szCs w:val="20"/>
        </w:rPr>
        <w:t xml:space="preserve">Quarterly </w:t>
      </w:r>
      <w:r>
        <w:rPr>
          <w:b/>
          <w:bCs/>
          <w:sz w:val="20"/>
          <w:szCs w:val="20"/>
        </w:rPr>
        <w:t>Results of Operations</w:t>
      </w:r>
    </w:p>
    <w:p w:rsidR="00000000" w:rsidRDefault="003A6737">
      <w:pPr>
        <w:pStyle w:val="a3"/>
        <w:shd w:val="clear" w:color="auto" w:fill="FFFFFF"/>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145"/>
        <w:gridCol w:w="81"/>
        <w:gridCol w:w="101"/>
        <w:gridCol w:w="730"/>
        <w:gridCol w:w="67"/>
        <w:gridCol w:w="80"/>
        <w:gridCol w:w="101"/>
        <w:gridCol w:w="760"/>
        <w:gridCol w:w="67"/>
        <w:gridCol w:w="80"/>
        <w:gridCol w:w="100"/>
        <w:gridCol w:w="550"/>
        <w:gridCol w:w="67"/>
        <w:gridCol w:w="80"/>
        <w:gridCol w:w="100"/>
        <w:gridCol w:w="550"/>
        <w:gridCol w:w="67"/>
        <w:gridCol w:w="80"/>
        <w:gridCol w:w="101"/>
        <w:gridCol w:w="730"/>
        <w:gridCol w:w="67"/>
        <w:gridCol w:w="80"/>
        <w:gridCol w:w="101"/>
        <w:gridCol w:w="760"/>
        <w:gridCol w:w="67"/>
        <w:gridCol w:w="80"/>
        <w:gridCol w:w="100"/>
        <w:gridCol w:w="550"/>
        <w:gridCol w:w="67"/>
        <w:gridCol w:w="80"/>
        <w:gridCol w:w="100"/>
        <w:gridCol w:w="550"/>
        <w:gridCol w:w="67"/>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jc w:val="center"/>
              <w:rPr>
                <w:rFonts w:eastAsia="Times New Roman"/>
                <w:sz w:val="20"/>
                <w:szCs w:val="20"/>
              </w:rPr>
            </w:pPr>
            <w:r>
              <w:rPr>
                <w:rFonts w:eastAsia="Times New Roman"/>
                <w:sz w:val="20"/>
                <w:szCs w:val="20"/>
              </w:rPr>
              <w:t>December 31,</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jc w:val="center"/>
              <w:rPr>
                <w:rFonts w:eastAsia="Times New Roman"/>
                <w:sz w:val="20"/>
                <w:szCs w:val="20"/>
              </w:rPr>
            </w:pPr>
            <w:r>
              <w:rPr>
                <w:rFonts w:eastAsia="Times New Roman"/>
                <w:sz w:val="20"/>
                <w:szCs w:val="20"/>
              </w:rPr>
              <w:t>September 30,</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jc w:val="center"/>
              <w:rPr>
                <w:rFonts w:eastAsia="Times New Roman"/>
                <w:sz w:val="20"/>
                <w:szCs w:val="20"/>
              </w:rPr>
            </w:pPr>
            <w:r>
              <w:rPr>
                <w:rFonts w:eastAsia="Times New Roman"/>
                <w:sz w:val="20"/>
                <w:szCs w:val="20"/>
              </w:rPr>
              <w:t>June 30,</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jc w:val="center"/>
              <w:rPr>
                <w:rFonts w:eastAsia="Times New Roman"/>
                <w:sz w:val="20"/>
                <w:szCs w:val="20"/>
              </w:rPr>
            </w:pPr>
            <w:r>
              <w:rPr>
                <w:rFonts w:eastAsia="Times New Roman"/>
                <w:sz w:val="20"/>
                <w:szCs w:val="20"/>
              </w:rPr>
              <w:t>March 31,</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jc w:val="center"/>
              <w:rPr>
                <w:rFonts w:eastAsia="Times New Roman"/>
                <w:sz w:val="20"/>
                <w:szCs w:val="20"/>
              </w:rPr>
            </w:pPr>
            <w:r>
              <w:rPr>
                <w:rFonts w:eastAsia="Times New Roman"/>
                <w:sz w:val="20"/>
                <w:szCs w:val="20"/>
              </w:rPr>
              <w:t>December 31,</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jc w:val="center"/>
              <w:rPr>
                <w:rFonts w:eastAsia="Times New Roman"/>
                <w:sz w:val="20"/>
                <w:szCs w:val="20"/>
              </w:rPr>
            </w:pPr>
            <w:r>
              <w:rPr>
                <w:rFonts w:eastAsia="Times New Roman"/>
                <w:sz w:val="20"/>
                <w:szCs w:val="20"/>
              </w:rPr>
              <w:t>September 30,</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jc w:val="center"/>
              <w:rPr>
                <w:rFonts w:eastAsia="Times New Roman"/>
                <w:sz w:val="20"/>
                <w:szCs w:val="20"/>
              </w:rPr>
            </w:pPr>
            <w:r>
              <w:rPr>
                <w:rFonts w:eastAsia="Times New Roman"/>
                <w:sz w:val="20"/>
                <w:szCs w:val="20"/>
              </w:rPr>
              <w:t>June 30,</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jc w:val="center"/>
              <w:rPr>
                <w:rFonts w:eastAsia="Times New Roman"/>
                <w:sz w:val="20"/>
                <w:szCs w:val="20"/>
              </w:rPr>
            </w:pPr>
            <w:r>
              <w:rPr>
                <w:rFonts w:eastAsia="Times New Roman"/>
                <w:sz w:val="20"/>
                <w:szCs w:val="20"/>
              </w:rPr>
              <w:t>March 31,</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30"/>
            <w:vAlign w:val="bottom"/>
            <w:hideMark/>
          </w:tcPr>
          <w:p w:rsidR="00000000" w:rsidRDefault="003A6737">
            <w:pPr>
              <w:jc w:val="center"/>
              <w:rPr>
                <w:rFonts w:eastAsia="Times New Roman"/>
                <w:sz w:val="20"/>
                <w:szCs w:val="20"/>
              </w:rPr>
            </w:pPr>
            <w:r>
              <w:rPr>
                <w:rFonts w:eastAsia="Times New Roman"/>
                <w:sz w:val="20"/>
                <w:szCs w:val="20"/>
              </w:rPr>
              <w:t>($ in thousands, except per share data)</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3A6737">
        <w:tc>
          <w:tcPr>
            <w:tcW w:w="700" w:type="pct"/>
            <w:shd w:val="clear" w:color="auto" w:fill="CCEEFF"/>
            <w:vAlign w:val="bottom"/>
            <w:hideMark/>
          </w:tcPr>
          <w:p w:rsidR="00000000" w:rsidRDefault="003A6737">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32,534</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33,723</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37,228</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35,341</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37,462</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38,304</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34,065</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29,768</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19,568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20,406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21,787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22,673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24,200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24,124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20,534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18,060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2,474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2,504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2,426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2,384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2,317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2,375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2,204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1,890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5,341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6,500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6,394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5,585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6,459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5,921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6,269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5,624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1,150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1,168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1,098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985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1,813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2,026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(200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(1,660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(630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(600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(2,515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3,039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2,810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2,936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2,940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2,689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3,547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3,128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2,831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210</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307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463</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158</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340</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424</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223</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1,018</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Total operating expenses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31,582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32,035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34,474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34,125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33,571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36,879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34,171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31,449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Operating income (loss)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952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1,688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2,754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1,216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3,891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1,425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(106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(1,681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(104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(95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(176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3A6737">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Other (expense) income - net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(337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(495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112</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83</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(16</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205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(220</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Income (loss) before provision (benefit) for income taxes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532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1,111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2,762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1,204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3,699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1,273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(1,965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3A6737">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Income tax provision (benefit)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33</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55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64</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177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(232</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213</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3A6737">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income (loss)</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499</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1,056</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2,737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1,140</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3,522</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1,505</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(227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(1,964</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Preferred stock dividend</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3,855</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3,849</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3,776</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4,037</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3,644</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3,642</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3,638</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3,128</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(3,356</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(2,793</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(1,039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(2,897</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(122</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(2,137</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(3,865</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(5,092</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Net loss per common share: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Basic and diluted</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(0.22</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(0.18</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(0.19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(0.15</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(0.27</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(0.36</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5,684</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4,817</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7,017</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4,730</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6,098</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6,674</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5,656</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3,691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hd w:val="clear" w:color="auto" w:fill="FFFFFF"/>
        <w:spacing w:before="0" w:beforeAutospacing="0" w:after="0" w:afterAutospacing="0"/>
        <w:jc w:val="both"/>
        <w:rPr>
          <w:sz w:val="20"/>
          <w:szCs w:val="20"/>
        </w:rPr>
      </w:pPr>
      <w:r>
        <w:rPr>
          <w:b/>
          <w:bCs/>
          <w:sz w:val="20"/>
          <w:szCs w:val="20"/>
        </w:rPr>
        <w:t> </w:t>
      </w:r>
    </w:p>
    <w:p w:rsidR="00000000" w:rsidRDefault="003A6737">
      <w:pPr>
        <w:pStyle w:val="a3"/>
        <w:shd w:val="clear" w:color="auto" w:fill="FFFFFF"/>
        <w:spacing w:before="0" w:beforeAutospacing="0" w:after="0" w:afterAutospacing="0"/>
        <w:rPr>
          <w:sz w:val="20"/>
          <w:szCs w:val="20"/>
        </w:rPr>
      </w:pPr>
      <w:r>
        <w:rPr>
          <w:b/>
          <w:bCs/>
          <w:sz w:val="20"/>
          <w:szCs w:val="20"/>
        </w:rPr>
        <w:t>Recon</w:t>
      </w:r>
      <w:r>
        <w:rPr>
          <w:b/>
          <w:bCs/>
          <w:sz w:val="20"/>
          <w:szCs w:val="20"/>
        </w:rPr>
        <w:t>ciliation of net income (loss) to adjusted EBITDA</w:t>
      </w:r>
    </w:p>
    <w:p w:rsidR="00000000" w:rsidRDefault="003A6737">
      <w:pPr>
        <w:pStyle w:val="a3"/>
        <w:shd w:val="clear" w:color="auto" w:fill="FFFFFF"/>
        <w:spacing w:before="0" w:beforeAutospacing="0" w:after="0" w:afterAutospacing="0"/>
        <w:rPr>
          <w:sz w:val="20"/>
          <w:szCs w:val="20"/>
        </w:rPr>
      </w:pPr>
      <w:r>
        <w:rPr>
          <w:b/>
          <w:bCs/>
          <w:sz w:val="20"/>
          <w:szCs w:val="20"/>
        </w:rPr>
        <w:t> </w:t>
      </w:r>
    </w:p>
    <w:p w:rsidR="00000000" w:rsidRDefault="003A6737">
      <w:pPr>
        <w:pStyle w:val="a3"/>
        <w:shd w:val="clear" w:color="auto" w:fill="FFFFFF"/>
        <w:spacing w:before="0" w:beforeAutospacing="0" w:after="0" w:afterAutospacing="0"/>
        <w:rPr>
          <w:sz w:val="20"/>
          <w:szCs w:val="20"/>
        </w:rPr>
      </w:pPr>
      <w:r>
        <w:rPr>
          <w:b/>
          <w:bCs/>
          <w:sz w:val="20"/>
          <w:szCs w:val="20"/>
        </w:rPr>
        <w:t>The following table contains a reconciliation of net income (loss) to adjusted EBITDA by year.</w:t>
      </w:r>
    </w:p>
    <w:p w:rsidR="00000000" w:rsidRDefault="003A6737">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1"/>
        <w:gridCol w:w="160"/>
        <w:gridCol w:w="100"/>
        <w:gridCol w:w="742"/>
        <w:gridCol w:w="77"/>
        <w:gridCol w:w="160"/>
        <w:gridCol w:w="100"/>
        <w:gridCol w:w="742"/>
        <w:gridCol w:w="78"/>
        <w:gridCol w:w="161"/>
        <w:gridCol w:w="100"/>
        <w:gridCol w:w="743"/>
        <w:gridCol w:w="78"/>
        <w:gridCol w:w="161"/>
        <w:gridCol w:w="100"/>
        <w:gridCol w:w="743"/>
        <w:gridCol w:w="78"/>
        <w:gridCol w:w="161"/>
        <w:gridCol w:w="100"/>
        <w:gridCol w:w="743"/>
        <w:gridCol w:w="78"/>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18"/>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Years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18"/>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3A6737">
            <w:pPr>
              <w:rPr>
                <w:rFonts w:eastAsia="Times New Roman"/>
                <w:sz w:val="20"/>
                <w:szCs w:val="20"/>
              </w:rPr>
            </w:pPr>
            <w:r>
              <w:rPr>
                <w:rFonts w:eastAsia="Times New Roman"/>
                <w:sz w:val="20"/>
                <w:szCs w:val="20"/>
              </w:rPr>
              <w:t>Net income (loss)</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5,432</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2,836</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(8,813</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(872</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(2,138</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1,952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1,927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1,354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909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689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9,773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10,268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8,551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2,097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2,165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Foreign exchange loss (gain) / other expense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712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241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71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827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(435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Interest expense - net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364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440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446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121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250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Income tax provision (benefit)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177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157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103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193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(157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Stock-based compensation expense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4,914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5,396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6,502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3,216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2,464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876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1,364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2,694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1,735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1,891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1,138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2,005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219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(3,090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(2,515</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(344</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73</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22,248</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22,119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10,871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8,101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4,802</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5392157"/>
        </w:trPr>
        <w:tc>
          <w:tcPr>
            <w:tcW w:w="5000" w:type="pct"/>
            <w:hideMark/>
          </w:tcPr>
          <w:p w:rsidR="00000000" w:rsidRDefault="003A6737">
            <w:pPr>
              <w:jc w:val="center"/>
              <w:rPr>
                <w:rFonts w:eastAsia="Times New Roman"/>
                <w:sz w:val="20"/>
                <w:szCs w:val="20"/>
              </w:rPr>
            </w:pPr>
            <w:r>
              <w:rPr>
                <w:rFonts w:eastAsia="Times New Roman"/>
                <w:sz w:val="20"/>
                <w:szCs w:val="20"/>
              </w:rPr>
              <w:t>4</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hd w:val="clear" w:color="auto" w:fill="FFFFFF"/>
        <w:spacing w:before="0" w:beforeAutospacing="0" w:after="0" w:afterAutospacing="0"/>
        <w:rPr>
          <w:sz w:val="20"/>
          <w:szCs w:val="20"/>
        </w:rPr>
      </w:pPr>
      <w:r>
        <w:rPr>
          <w:b/>
          <w:bCs/>
          <w:sz w:val="20"/>
          <w:szCs w:val="20"/>
        </w:rPr>
        <w:t>The following table contains a reconciliation of net income (loss) to adjusted EBITDA by quarter.</w:t>
      </w:r>
    </w:p>
    <w:p w:rsidR="00000000" w:rsidRDefault="003A6737">
      <w:pPr>
        <w:pStyle w:val="a3"/>
        <w:shd w:val="clear" w:color="auto" w:fill="FFFFFF"/>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130"/>
        <w:gridCol w:w="133"/>
        <w:gridCol w:w="101"/>
        <w:gridCol w:w="730"/>
        <w:gridCol w:w="67"/>
        <w:gridCol w:w="118"/>
        <w:gridCol w:w="101"/>
        <w:gridCol w:w="760"/>
        <w:gridCol w:w="67"/>
        <w:gridCol w:w="118"/>
        <w:gridCol w:w="100"/>
        <w:gridCol w:w="450"/>
        <w:gridCol w:w="67"/>
        <w:gridCol w:w="119"/>
        <w:gridCol w:w="100"/>
        <w:gridCol w:w="467"/>
        <w:gridCol w:w="67"/>
        <w:gridCol w:w="121"/>
        <w:gridCol w:w="101"/>
        <w:gridCol w:w="730"/>
        <w:gridCol w:w="67"/>
        <w:gridCol w:w="121"/>
        <w:gridCol w:w="101"/>
        <w:gridCol w:w="760"/>
        <w:gridCol w:w="67"/>
        <w:gridCol w:w="121"/>
        <w:gridCol w:w="100"/>
        <w:gridCol w:w="450"/>
        <w:gridCol w:w="67"/>
        <w:gridCol w:w="121"/>
        <w:gridCol w:w="100"/>
        <w:gridCol w:w="517"/>
        <w:gridCol w:w="67"/>
      </w:tblGrid>
      <w:tr w:rsidR="00000000">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jc w:val="center"/>
              <w:rPr>
                <w:rFonts w:eastAsia="Times New Roman"/>
                <w:sz w:val="20"/>
                <w:szCs w:val="20"/>
              </w:rPr>
            </w:pPr>
            <w:r>
              <w:rPr>
                <w:rFonts w:eastAsia="Times New Roman"/>
                <w:sz w:val="20"/>
                <w:szCs w:val="20"/>
              </w:rPr>
              <w:t>December 31,</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jc w:val="center"/>
              <w:rPr>
                <w:rFonts w:eastAsia="Times New Roman"/>
                <w:sz w:val="20"/>
                <w:szCs w:val="20"/>
              </w:rPr>
            </w:pPr>
            <w:r>
              <w:rPr>
                <w:rFonts w:eastAsia="Times New Roman"/>
                <w:sz w:val="20"/>
                <w:szCs w:val="20"/>
              </w:rPr>
              <w:t>September 30,</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jc w:val="center"/>
              <w:rPr>
                <w:rFonts w:eastAsia="Times New Roman"/>
                <w:sz w:val="20"/>
                <w:szCs w:val="20"/>
              </w:rPr>
            </w:pPr>
            <w:r>
              <w:rPr>
                <w:rFonts w:eastAsia="Times New Roman"/>
                <w:sz w:val="20"/>
                <w:szCs w:val="20"/>
              </w:rPr>
              <w:t>June 30,</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jc w:val="center"/>
              <w:rPr>
                <w:rFonts w:eastAsia="Times New Roman"/>
                <w:sz w:val="20"/>
                <w:szCs w:val="20"/>
              </w:rPr>
            </w:pPr>
            <w:r>
              <w:rPr>
                <w:rFonts w:eastAsia="Times New Roman"/>
                <w:sz w:val="20"/>
                <w:szCs w:val="20"/>
              </w:rPr>
              <w:t>March 31,</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jc w:val="center"/>
              <w:rPr>
                <w:rFonts w:eastAsia="Times New Roman"/>
                <w:sz w:val="20"/>
                <w:szCs w:val="20"/>
              </w:rPr>
            </w:pPr>
            <w:r>
              <w:rPr>
                <w:rFonts w:eastAsia="Times New Roman"/>
                <w:sz w:val="20"/>
                <w:szCs w:val="20"/>
              </w:rPr>
              <w:t>December 31,</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jc w:val="center"/>
              <w:rPr>
                <w:rFonts w:eastAsia="Times New Roman"/>
                <w:sz w:val="20"/>
                <w:szCs w:val="20"/>
              </w:rPr>
            </w:pPr>
            <w:r>
              <w:rPr>
                <w:rFonts w:eastAsia="Times New Roman"/>
                <w:sz w:val="20"/>
                <w:szCs w:val="20"/>
              </w:rPr>
              <w:t>September 30,</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jc w:val="center"/>
              <w:rPr>
                <w:rFonts w:eastAsia="Times New Roman"/>
                <w:sz w:val="20"/>
                <w:szCs w:val="20"/>
              </w:rPr>
            </w:pPr>
            <w:r>
              <w:rPr>
                <w:rFonts w:eastAsia="Times New Roman"/>
                <w:sz w:val="20"/>
                <w:szCs w:val="20"/>
              </w:rPr>
              <w:t>June 30,</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jc w:val="center"/>
              <w:rPr>
                <w:rFonts w:eastAsia="Times New Roman"/>
                <w:sz w:val="20"/>
                <w:szCs w:val="20"/>
              </w:rPr>
            </w:pPr>
            <w:r>
              <w:rPr>
                <w:rFonts w:eastAsia="Times New Roman"/>
                <w:sz w:val="20"/>
                <w:szCs w:val="20"/>
              </w:rPr>
              <w:t>March 31,</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30"/>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3A6737">
        <w:tc>
          <w:tcPr>
            <w:tcW w:w="700" w:type="pct"/>
            <w:shd w:val="clear" w:color="auto" w:fill="CCEEFF"/>
            <w:vAlign w:val="bottom"/>
            <w:hideMark/>
          </w:tcPr>
          <w:p w:rsidR="00000000" w:rsidRDefault="003A6737">
            <w:pPr>
              <w:rPr>
                <w:rFonts w:eastAsia="Times New Roman"/>
                <w:sz w:val="20"/>
                <w:szCs w:val="20"/>
              </w:rPr>
            </w:pPr>
            <w:r>
              <w:rPr>
                <w:rFonts w:eastAsia="Times New Roman"/>
                <w:sz w:val="20"/>
                <w:szCs w:val="20"/>
              </w:rPr>
              <w:t>Net income (loss)</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499</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1,056</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2,737</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1,140</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3,522</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1,505</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(227</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(1,964</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547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474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482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449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446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533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460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2,492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2,336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2,454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2,491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2,243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3,059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2,595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2,371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Foreign exchange loss (gain) / other expense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353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523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(108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73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70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(146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244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Net interest expense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95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176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113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Income tax provision (benefit)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177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(232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213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Stock-based compensation expense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1,515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1,328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1,184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887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1,390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1,004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1,735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1,267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152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316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306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102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246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269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617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232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210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307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463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158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340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424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223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1,018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(200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(1,660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(630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(600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(2,515</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5,684</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4,817</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7,017</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4,730</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6,098</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6,674</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5,656</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3,691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hd w:val="clear" w:color="auto" w:fill="FFFFFF"/>
        <w:spacing w:before="0" w:beforeAutospacing="0" w:after="0" w:afterAutospacing="0"/>
        <w:rPr>
          <w:sz w:val="20"/>
          <w:szCs w:val="20"/>
        </w:rPr>
      </w:pPr>
      <w:r>
        <w:rPr>
          <w:b/>
          <w:bCs/>
          <w:sz w:val="20"/>
          <w:szCs w:val="20"/>
        </w:rPr>
        <w:t> </w:t>
      </w:r>
    </w:p>
    <w:p w:rsidR="00000000" w:rsidRDefault="003A6737">
      <w:pPr>
        <w:pStyle w:val="a3"/>
        <w:spacing w:before="0" w:beforeAutospacing="0" w:after="0" w:afterAutospacing="0"/>
        <w:rPr>
          <w:sz w:val="20"/>
          <w:szCs w:val="20"/>
        </w:rPr>
      </w:pPr>
      <w:r>
        <w:rPr>
          <w:b/>
          <w:bCs/>
          <w:sz w:val="20"/>
          <w:szCs w:val="20"/>
        </w:rPr>
        <w:t>Key Metrics</w:t>
      </w:r>
    </w:p>
    <w:p w:rsidR="00000000" w:rsidRDefault="003A6737">
      <w:pPr>
        <w:pStyle w:val="a3"/>
        <w:spacing w:before="0" w:beforeAutospacing="0" w:after="0" w:afterAutospacing="0"/>
        <w:rPr>
          <w:sz w:val="20"/>
          <w:szCs w:val="20"/>
        </w:rPr>
      </w:pPr>
      <w:r>
        <w:rPr>
          <w:b/>
          <w:bCs/>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In addition to the line items in our consolidated financial statements, we regularly review the following key metrics to evaluate our business, measure our performance, identify trends in our business, prepare financial projections, make stra</w:t>
      </w:r>
      <w:r>
        <w:rPr>
          <w:sz w:val="20"/>
          <w:szCs w:val="20"/>
        </w:rPr>
        <w:t>tegic business decisions, and assess market share trends and working capital needs. We believe information on these metrics is useful for investors to understand the underlying trends in our business.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i/>
          <w:iCs/>
          <w:sz w:val="20"/>
          <w:szCs w:val="20"/>
        </w:rPr>
        <w:t>Providers and Practices Served:</w:t>
      </w:r>
      <w:r>
        <w:rPr>
          <w:sz w:val="20"/>
          <w:szCs w:val="20"/>
        </w:rPr>
        <w:t xml:space="preserve"> As of December 31, 20</w:t>
      </w:r>
      <w:r>
        <w:rPr>
          <w:sz w:val="20"/>
          <w:szCs w:val="20"/>
        </w:rPr>
        <w:t>22 and December 31, 2021, we provided services to approximately 40,000 providers (which we define as physicians, nurses, nurse practitioners, physician assistants and other clinical staff that render bills for their services), representing approximately 2,</w:t>
      </w:r>
      <w:r>
        <w:rPr>
          <w:sz w:val="20"/>
          <w:szCs w:val="20"/>
        </w:rPr>
        <w:t>600 practices. In addition, we served approximately 150 clients who were not medical practices, but are service organizations who serve the healthcare community. The foregoing numbers include clients leveraging any of our products or services and are based</w:t>
      </w:r>
      <w:r>
        <w:rPr>
          <w:sz w:val="20"/>
          <w:szCs w:val="20"/>
        </w:rPr>
        <w:t xml:space="preserve"> in part upon estimates in cases where the precise number of practices or providers is unknown.</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i/>
          <w:iCs/>
          <w:sz w:val="20"/>
          <w:szCs w:val="20"/>
        </w:rPr>
        <w:t xml:space="preserve">Customer Renewal Rate: </w:t>
      </w:r>
      <w:r>
        <w:rPr>
          <w:sz w:val="20"/>
          <w:szCs w:val="20"/>
        </w:rPr>
        <w:t>Our customer renewal rate measures the percentage of our RCM clients who utilize our technology platform who were a party to a services</w:t>
      </w:r>
      <w:r>
        <w:rPr>
          <w:sz w:val="20"/>
          <w:szCs w:val="20"/>
        </w:rPr>
        <w:t xml:space="preserve"> agreement with us on January 1 of a particular year and continued to operate and be a client on December 31 of the same year. It also includes acquired accounts, if they are a party to a services agreement with the company we acquired and are generating r</w:t>
      </w:r>
      <w:r>
        <w:rPr>
          <w:sz w:val="20"/>
          <w:szCs w:val="20"/>
        </w:rPr>
        <w:t>evenue for us, so long as the risk of client loss under the respective purchase agreement has fully shifted to us by January 1 of the particular year. Our renewal rates for 2022 and 2021 were 98% and 91% of the practices, respectively. These renewal percen</w:t>
      </w:r>
      <w:r>
        <w:rPr>
          <w:sz w:val="20"/>
          <w:szCs w:val="20"/>
        </w:rPr>
        <w:t>tages are not indicative of the loss of revenue due to non-renewal.</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sz w:val="20"/>
          <w:szCs w:val="20"/>
        </w:rPr>
        <w:t>Sources of Revenue</w:t>
      </w:r>
    </w:p>
    <w:p w:rsidR="00000000" w:rsidRDefault="003A6737">
      <w:pPr>
        <w:pStyle w:val="a3"/>
        <w:shd w:val="clear" w:color="auto" w:fill="FFFFFF"/>
        <w:spacing w:before="0" w:beforeAutospacing="0" w:after="0" w:afterAutospacing="0"/>
        <w:jc w:val="both"/>
        <w:rPr>
          <w:sz w:val="20"/>
          <w:szCs w:val="20"/>
        </w:rPr>
      </w:pPr>
      <w:r>
        <w:rPr>
          <w:i/>
          <w:iCs/>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 xml:space="preserve">Revenue: </w:t>
      </w:r>
      <w:r>
        <w:rPr>
          <w:sz w:val="20"/>
          <w:szCs w:val="20"/>
        </w:rPr>
        <w:t>We primarily derive our on-going revenues from technology-enabled business solutions, reported in our Healthcare IT segment, which typically includes revenu</w:t>
      </w:r>
      <w:r>
        <w:rPr>
          <w:sz w:val="20"/>
          <w:szCs w:val="20"/>
        </w:rPr>
        <w:t>e cycle management and is billed as a percentage of payments collected by our customers. This fee includes the ability to use our EHR, practice management systems and other software as part of the bundled fee. These solutions accounted for approximately 63</w:t>
      </w:r>
      <w:r>
        <w:rPr>
          <w:sz w:val="20"/>
          <w:szCs w:val="20"/>
        </w:rPr>
        <w:t>% and 76% of our revenues during the years ended December 31, 2022 and 2021, respectively. This includes customers utilizing our proprietary product suites, as well as customers from acquisitions of RCM companies which we are servicing utilizing third-part</w:t>
      </w:r>
      <w:r>
        <w:rPr>
          <w:sz w:val="20"/>
          <w:szCs w:val="20"/>
        </w:rPr>
        <w:t>y software. Key drivers of our revenue include growth in the number of providers we are servicing, the number of patients served by those providers, and collections by those providers. It also includes Software-as-a-Service (“SaaS”) fees, for clients not u</w:t>
      </w:r>
      <w:r>
        <w:rPr>
          <w:sz w:val="20"/>
          <w:szCs w:val="20"/>
        </w:rPr>
        <w:t>tilizing revenue cycle management services. When clients utilize our revenue cycle management services, basic SaaS services are included at no additional charge. Revenue is also generated from coding, credentialing, indexing, transcription and other ancill</w:t>
      </w:r>
      <w:r>
        <w:rPr>
          <w:sz w:val="20"/>
          <w:szCs w:val="20"/>
        </w:rPr>
        <w:t>ary services.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Our professional services include an extensive set of services including EHR vendor-agnostic optimization and activation, project management, IT transformation, consulting, process improvement, training, education and staffing for large hea</w:t>
      </w:r>
      <w:r>
        <w:rPr>
          <w:sz w:val="20"/>
          <w:szCs w:val="20"/>
        </w:rPr>
        <w:t>lthcare organizations including health systems and hospitals. Revenue is recorded monthly on either a time and materials or a fixed rate basis for each contract.</w:t>
      </w:r>
    </w:p>
    <w:p w:rsidR="00000000" w:rsidRDefault="003A673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73442122"/>
        </w:trPr>
        <w:tc>
          <w:tcPr>
            <w:tcW w:w="5000" w:type="pct"/>
            <w:hideMark/>
          </w:tcPr>
          <w:p w:rsidR="00000000" w:rsidRDefault="003A6737">
            <w:pPr>
              <w:jc w:val="center"/>
              <w:rPr>
                <w:rFonts w:eastAsia="Times New Roman"/>
                <w:sz w:val="20"/>
                <w:szCs w:val="20"/>
              </w:rPr>
            </w:pPr>
            <w:r>
              <w:rPr>
                <w:rFonts w:eastAsia="Times New Roman"/>
                <w:sz w:val="20"/>
                <w:szCs w:val="20"/>
              </w:rPr>
              <w:t>4</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also generate revenue from our printing and mailing, group purchasing services and medical practice management services.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We earned approximately 1% of our revenue from group purchasing services during both the years ended December 31, 2022 and 2021. We e</w:t>
      </w:r>
      <w:r>
        <w:rPr>
          <w:sz w:val="20"/>
          <w:szCs w:val="20"/>
        </w:rPr>
        <w:t>arned approximately 10% and 8% of our revenue from medical practice management services during the years ended December 31, 2022 and 2021, respectively. This revenue represents fees based on our actual costs plus a percentage of the operating profit and is</w:t>
      </w:r>
      <w:r>
        <w:rPr>
          <w:sz w:val="20"/>
          <w:szCs w:val="20"/>
        </w:rPr>
        <w:t xml:space="preserve"> reported in our Medical Practice Management segment.</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sz w:val="20"/>
          <w:szCs w:val="20"/>
        </w:rPr>
        <w:t>Operating Expenses</w:t>
      </w:r>
    </w:p>
    <w:p w:rsidR="00000000" w:rsidRDefault="003A6737">
      <w:pPr>
        <w:pStyle w:val="a3"/>
        <w:spacing w:before="0" w:beforeAutospacing="0" w:after="0" w:afterAutospacing="0"/>
        <w:jc w:val="both"/>
        <w:rPr>
          <w:sz w:val="20"/>
          <w:szCs w:val="20"/>
        </w:rPr>
      </w:pPr>
      <w:r>
        <w:rPr>
          <w:i/>
          <w:iCs/>
          <w:sz w:val="20"/>
          <w:szCs w:val="20"/>
        </w:rPr>
        <w:t> </w:t>
      </w:r>
    </w:p>
    <w:p w:rsidR="00000000" w:rsidRDefault="003A6737">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costs consist primarily of salaries and benefits related to personnel who provide services to our customers, claims processing costs, cost</w:t>
      </w:r>
      <w:r>
        <w:rPr>
          <w:sz w:val="20"/>
          <w:szCs w:val="20"/>
        </w:rPr>
        <w:t>s to operate the three managed practices, including facility lease costs, supplies, insurance and other direct costs related to our services. Costs associated with the implementation of new customers are expensed as incurred. The reported amounts of direct</w:t>
      </w:r>
      <w:r>
        <w:rPr>
          <w:sz w:val="20"/>
          <w:szCs w:val="20"/>
        </w:rPr>
        <w:t xml:space="preserve"> operating costs do not include depreciation and amortization, which are broken out separately in the consolidated statements of operations. Operations in our Offshore Offices together accounted for approximately 11% and 13% of direct operating costs for t</w:t>
      </w:r>
      <w:r>
        <w:rPr>
          <w:sz w:val="20"/>
          <w:szCs w:val="20"/>
        </w:rPr>
        <w:t xml:space="preserve">he years ended December 31, 2022 and 2021, respectively. As we grow, we expect to achieve further economies of scale and to see our direct operating costs decrease as a percentage of revenue. </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 xml:space="preserve">Selling and marketing expense </w:t>
      </w:r>
      <w:r>
        <w:rPr>
          <w:sz w:val="20"/>
          <w:szCs w:val="20"/>
        </w:rPr>
        <w:t>consists primarily of compensation and benefits, commissions, travel and advertising expenses, which includes onshore and offshore personnel.</w:t>
      </w:r>
    </w:p>
    <w:p w:rsidR="00000000" w:rsidRDefault="003A6737">
      <w:pPr>
        <w:pStyle w:val="a3"/>
        <w:shd w:val="clear" w:color="auto" w:fill="FFFFFF"/>
        <w:spacing w:before="0" w:beforeAutospacing="0" w:after="0" w:afterAutospacing="0"/>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consists primarily of personnel-related e</w:t>
      </w:r>
      <w:r>
        <w:rPr>
          <w:sz w:val="20"/>
          <w:szCs w:val="20"/>
        </w:rPr>
        <w:t>xpense for administrative employees, including compensation, benefits, travel, facility lease costs and insurance, software license fees and outside professional fees. Our Offshore Offices accounted for approximately 23% and 18% of general and administrati</w:t>
      </w:r>
      <w:r>
        <w:rPr>
          <w:sz w:val="20"/>
          <w:szCs w:val="20"/>
        </w:rPr>
        <w:t>ve expenses for the years ended December 31, 2022 and 2021, respectively.</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 xml:space="preserve">Research and Development Expense. </w:t>
      </w:r>
      <w:r>
        <w:rPr>
          <w:sz w:val="20"/>
          <w:szCs w:val="20"/>
        </w:rPr>
        <w:t>Research and development expense consists primarily of personnel-related costs, software expense and third-party contractor costs.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Change in Con</w:t>
      </w:r>
      <w:r>
        <w:rPr>
          <w:i/>
          <w:iCs/>
          <w:sz w:val="20"/>
          <w:szCs w:val="20"/>
        </w:rPr>
        <w:t xml:space="preserve">tingent Consideration. </w:t>
      </w:r>
      <w:r>
        <w:rPr>
          <w:sz w:val="20"/>
          <w:szCs w:val="20"/>
        </w:rPr>
        <w:t>Contingent consideration represents the portion of consideration payable to the sellers of some of our acquisitions, the amount of which is based on the achievement of defined performance measures contained in the purchase agreements</w:t>
      </w:r>
      <w:r>
        <w:rPr>
          <w:sz w:val="20"/>
          <w:szCs w:val="20"/>
        </w:rPr>
        <w:t>. Contingent consideration is adjusted to fair value at the end of each reporting period.</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 xml:space="preserve">Depreciation and Amortization Expense. </w:t>
      </w:r>
      <w:r>
        <w:rPr>
          <w:sz w:val="20"/>
          <w:szCs w:val="20"/>
        </w:rPr>
        <w:t>Depreciation expense is charged using the straight-line method over the estimated lives of the assets ranging from three to five years. Amortization expense is charged on either an accelerated or on a straight-line basis over a period of three or four year</w:t>
      </w:r>
      <w:r>
        <w:rPr>
          <w:sz w:val="20"/>
          <w:szCs w:val="20"/>
        </w:rPr>
        <w:t>s for most intangible assets acquired in connection with acquisitions including those intangibles related to the group purchasing services. Amortization expense related to the value of our medical practice management clients is amortized on a straight-line</w:t>
      </w:r>
      <w:r>
        <w:rPr>
          <w:sz w:val="20"/>
          <w:szCs w:val="20"/>
        </w:rPr>
        <w:t xml:space="preserve"> basis over a period of twelve years.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 xml:space="preserve">Net Loss on Lease Termination, Impairment and Unoccupied Lease Charges. </w:t>
      </w:r>
      <w:r>
        <w:rPr>
          <w:sz w:val="20"/>
          <w:szCs w:val="20"/>
        </w:rPr>
        <w:t>Net loss on lease termination represents the write-off of leasehold improvements and gains or losses as the result of lease terminations. Impair</w:t>
      </w:r>
      <w:r>
        <w:rPr>
          <w:sz w:val="20"/>
          <w:szCs w:val="20"/>
        </w:rPr>
        <w:t>ment charges represent charges recorded for a leased facility no longer being used by the Company and a non-cancellable vendor contract where the services are no longer being used. Unoccupied lease charges represent the portion of lease and related costs f</w:t>
      </w:r>
      <w:r>
        <w:rPr>
          <w:sz w:val="20"/>
          <w:szCs w:val="20"/>
        </w:rPr>
        <w:t>or vacant space not being utilized by the Company. The Company was able to turn back to the landlord one of the unused facilities effective January 1, 2022.</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Interest and Other Income (Expense).</w:t>
      </w:r>
      <w:r>
        <w:rPr>
          <w:sz w:val="20"/>
          <w:szCs w:val="20"/>
        </w:rPr>
        <w:t xml:space="preserve"> Interest expense consists primarily of interest costs relate</w:t>
      </w:r>
      <w:r>
        <w:rPr>
          <w:sz w:val="20"/>
          <w:szCs w:val="20"/>
        </w:rPr>
        <w:t>d to our line of credit, term loans and amounts due in connection with acquisitions, offset by interest income. Other income (expense) results primarily from foreign currency transaction gains (losses) and income earned from temporary cash investments.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I</w:t>
      </w:r>
      <w:r>
        <w:rPr>
          <w:i/>
          <w:iCs/>
          <w:sz w:val="20"/>
          <w:szCs w:val="20"/>
        </w:rPr>
        <w:t>ncome Taxes.</w:t>
      </w:r>
      <w:r>
        <w:rPr>
          <w:sz w:val="20"/>
          <w:szCs w:val="20"/>
        </w:rPr>
        <w:t xml:space="preserve"> In preparing our consolidated financial statements, we estimate income taxes in each of the jurisdictions in which we operate. This process involves estimating actual current tax exposure together with assessing temporary differences resulting</w:t>
      </w:r>
      <w:r>
        <w:rPr>
          <w:sz w:val="20"/>
          <w:szCs w:val="20"/>
        </w:rPr>
        <w:t xml:space="preserve"> from differing treatment of items for tax and financial reporting purposes. These differences result in deferred income tax assets and liabilities. Although the Company reported GAAP earnings in 2022, it incurred losses historically and there is uncertain</w:t>
      </w:r>
      <w:r>
        <w:rPr>
          <w:sz w:val="20"/>
          <w:szCs w:val="20"/>
        </w:rPr>
        <w:t>ty regarding future U.S. taxable income, which make realization of a deferred tax asset difficult to support in accordance with ASC 740. Accordingly, a valuation allowance has been recorded against all deferred tax assets as of December 31, 2022 and Decemb</w:t>
      </w:r>
      <w:r>
        <w:rPr>
          <w:sz w:val="20"/>
          <w:szCs w:val="20"/>
        </w:rPr>
        <w:t>er 31, 2021. Effective January 1, 2018, there is a global intangible low-taxed income (“GILTI”) tax. Companies can either account for the GILTI inclusion in the period in which they are incurred or establish deferred tax liabilities for the expected future</w:t>
      </w:r>
      <w:r>
        <w:rPr>
          <w:sz w:val="20"/>
          <w:szCs w:val="20"/>
        </w:rPr>
        <w:t xml:space="preserve"> taxes associated with GILTI. The Company elected to record the GILTI provisions as they are incurred each period.</w:t>
      </w:r>
    </w:p>
    <w:p w:rsidR="00000000" w:rsidRDefault="003A673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43465575"/>
        </w:trPr>
        <w:tc>
          <w:tcPr>
            <w:tcW w:w="5000" w:type="pct"/>
            <w:hideMark/>
          </w:tcPr>
          <w:p w:rsidR="00000000" w:rsidRDefault="003A6737">
            <w:pPr>
              <w:jc w:val="center"/>
              <w:rPr>
                <w:rFonts w:eastAsia="Times New Roman"/>
                <w:sz w:val="20"/>
                <w:szCs w:val="20"/>
              </w:rPr>
            </w:pPr>
            <w:r>
              <w:rPr>
                <w:rFonts w:eastAsia="Times New Roman"/>
                <w:sz w:val="20"/>
                <w:szCs w:val="20"/>
              </w:rPr>
              <w:t>4</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sz w:val="20"/>
          <w:szCs w:val="20"/>
        </w:rPr>
        <w:t>Critical Accounting Policies and Estimates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We prepare our consolidated financial statements in accordance with GAAP. The prepar</w:t>
      </w:r>
      <w:r>
        <w:rPr>
          <w:sz w:val="20"/>
          <w:szCs w:val="20"/>
        </w:rPr>
        <w:t>ation of these financial statements requires us to make estimates and assumptions about future events, and apply judgments that affect the reported amounts of assets, liabilities, revenue, expense and related disclosures. We base our estimates, assumptions</w:t>
      </w:r>
      <w:r>
        <w:rPr>
          <w:sz w:val="20"/>
          <w:szCs w:val="20"/>
        </w:rPr>
        <w:t xml:space="preserve"> and judgments on historical experience, current trends and various other factors that we believe to be reasonable under the circumstances. The accounting estimates used in the preparation of our consolidated financial statements will change as new events </w:t>
      </w:r>
      <w:r>
        <w:rPr>
          <w:sz w:val="20"/>
          <w:szCs w:val="20"/>
        </w:rPr>
        <w:t>occur, as more experience is acquired, as additional information is obtained and as our operating environment changes. On a regular basis, we review our accounting policies, estimates, assumptions and judgments to ensure that our financial statements are p</w:t>
      </w:r>
      <w:r>
        <w:rPr>
          <w:sz w:val="20"/>
          <w:szCs w:val="20"/>
        </w:rPr>
        <w:t>resented fairly and in accordance with GAAP. However, because future events and their effects cannot be determined with certainty, actual results could differ from our assumptions and estimates, and such differences could be material. The methods, estimate</w:t>
      </w:r>
      <w:r>
        <w:rPr>
          <w:sz w:val="20"/>
          <w:szCs w:val="20"/>
        </w:rPr>
        <w:t>s and judgments that we use in applying our accounting policies have a significant impact on our results of operations.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Critical accounting policies are those policies used in the preparation of our consolidated financial statements that require manageme</w:t>
      </w:r>
      <w:r>
        <w:rPr>
          <w:sz w:val="20"/>
          <w:szCs w:val="20"/>
        </w:rPr>
        <w:t>nt to make difficult, subjective, or complex adjustments, and to make estimates about the effect of matters that are inherently uncertain.</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u w:val="single"/>
        </w:rPr>
        <w:t>Revenue from Contracts with Customers</w:t>
      </w:r>
      <w:r>
        <w:rPr>
          <w:sz w:val="20"/>
          <w:szCs w:val="20"/>
        </w:rPr>
        <w:t>:</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 xml:space="preserve">account for revenue in accordance with ASC 606, </w:t>
      </w:r>
      <w:r>
        <w:rPr>
          <w:i/>
          <w:iCs/>
          <w:sz w:val="20"/>
          <w:szCs w:val="20"/>
        </w:rPr>
        <w:t>Revenue from Contracts with Customers</w:t>
      </w:r>
      <w:r>
        <w:rPr>
          <w:sz w:val="20"/>
          <w:szCs w:val="20"/>
        </w:rPr>
        <w:t>. Our revenue recognition policies require us to make significant judgments and estimates, particularly as it relates to revenue cycle management. Under ASC 606, certain s</w:t>
      </w:r>
      <w:r>
        <w:rPr>
          <w:sz w:val="20"/>
          <w:szCs w:val="20"/>
        </w:rPr>
        <w:t>ignificant accounting estimates, such as payment-to-charge ratios, effective billing rates and the estimated contractual payment periods are required to measure the revenue cycle management revenue. We analyze various factors including, but not limited to,</w:t>
      </w:r>
      <w:r>
        <w:rPr>
          <w:sz w:val="20"/>
          <w:szCs w:val="20"/>
        </w:rPr>
        <w:t xml:space="preserve"> contractual terms and conditions, the credit-worthiness of our customers and our pricing policies. Changes in judgment on any of the above factors could materially impact the timing and amount of revenue recognized in a given period.</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Revenue is recogniz</w:t>
      </w:r>
      <w:r>
        <w:rPr>
          <w:sz w:val="20"/>
          <w:szCs w:val="20"/>
        </w:rPr>
        <w:t>ed as the performance obligations are satisfied. We derive revenue from five primary sources: technology-enabled business solutions, professional services, printing and mailing services, group purchasing services and medical practice management services. A</w:t>
      </w:r>
      <w:r>
        <w:rPr>
          <w:sz w:val="20"/>
          <w:szCs w:val="20"/>
        </w:rPr>
        <w:t xml:space="preserve">ll of our revenue arrangements are based on contracts with customers. Most of our contracts with customers contain a single performance obligation. For contracts where we provide multiple services such as where we perform multiple ancillary services, each </w:t>
      </w:r>
      <w:r>
        <w:rPr>
          <w:sz w:val="20"/>
          <w:szCs w:val="20"/>
        </w:rPr>
        <w:t>service represents its own performance obligation. Selling or transaction prices are based on the contractual price for the service, which is consistent with the stand-alone selling price.</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Technology-enabled business solutions:</w:t>
      </w:r>
    </w:p>
    <w:p w:rsidR="00000000" w:rsidRDefault="003A6737">
      <w:pPr>
        <w:pStyle w:val="a3"/>
        <w:shd w:val="clear" w:color="auto" w:fill="FFFFFF"/>
        <w:spacing w:before="0" w:beforeAutospacing="0" w:after="0" w:afterAutospacing="0"/>
        <w:jc w:val="both"/>
        <w:rPr>
          <w:sz w:val="20"/>
          <w:szCs w:val="20"/>
        </w:rPr>
      </w:pPr>
      <w:r>
        <w:rPr>
          <w:sz w:val="20"/>
          <w:szCs w:val="20"/>
        </w:rPr>
        <w:t>Our technology-enabled bus</w:t>
      </w:r>
      <w:r>
        <w:rPr>
          <w:sz w:val="20"/>
          <w:szCs w:val="20"/>
        </w:rPr>
        <w:t>iness solutions include our revenue cycle management and SaaS services. Revenue cycle management services are the recurring process of submitting and following up on claims with health insurance companies in order for the healthcare providers to receive pa</w:t>
      </w:r>
      <w:r>
        <w:rPr>
          <w:sz w:val="20"/>
          <w:szCs w:val="20"/>
        </w:rPr>
        <w:t>yment for the services they rendered, assisted by our proprietary technology. CareCloud typically invoices customers on a monthly basis based on the actual collections received by its customers and the agreed-upon rate in the sales contract. The services i</w:t>
      </w:r>
      <w:r>
        <w:rPr>
          <w:sz w:val="20"/>
          <w:szCs w:val="20"/>
        </w:rPr>
        <w:t>nclude use of practice management software and related tools (on a software-as-a-service (“SaaS”) basis), electronic health records (on a SaaS basis), medical billing services and use of mobile health solutions. We consider the services to be one performan</w:t>
      </w:r>
      <w:r>
        <w:rPr>
          <w:sz w:val="20"/>
          <w:szCs w:val="20"/>
        </w:rPr>
        <w:t>ce obligation since the promises are not distinct in the context of the contract. The performance obligation consists of a series of distinct services that are substantially the same and have the same periodic pattern of transfer to our customers.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In man</w:t>
      </w:r>
      <w:r>
        <w:rPr>
          <w:sz w:val="20"/>
          <w:szCs w:val="20"/>
        </w:rPr>
        <w:t>y cases, our clients may terminate their agreements with 90 days’ notice without cause, thereby limiting the term in which we have enforceable rights and obligations, although this time period can vary between clients. Our payment terms are normally net 30</w:t>
      </w:r>
      <w:r>
        <w:rPr>
          <w:sz w:val="20"/>
          <w:szCs w:val="20"/>
        </w:rPr>
        <w:t xml:space="preserve"> days. Although our contracts typically have stated terms of one or more years, under ASC 606 our contracts are considered month-to-month and accordingly, there is no financing component.</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32520277"/>
        </w:trPr>
        <w:tc>
          <w:tcPr>
            <w:tcW w:w="5000" w:type="pct"/>
            <w:hideMark/>
          </w:tcPr>
          <w:p w:rsidR="00000000" w:rsidRDefault="003A6737">
            <w:pPr>
              <w:jc w:val="center"/>
              <w:rPr>
                <w:rFonts w:eastAsia="Times New Roman"/>
                <w:sz w:val="20"/>
                <w:szCs w:val="20"/>
              </w:rPr>
            </w:pPr>
            <w:r>
              <w:rPr>
                <w:rFonts w:eastAsia="Times New Roman"/>
                <w:sz w:val="20"/>
                <w:szCs w:val="20"/>
              </w:rPr>
              <w:t>4</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For the majority of our contracts which include revenue </w:t>
      </w:r>
      <w:r>
        <w:rPr>
          <w:sz w:val="20"/>
          <w:szCs w:val="20"/>
        </w:rPr>
        <w:t>cycle management services, the total transaction price is variable because our obligation is to process an unknown quantity of claims, as and when requested by our customers over the contract period. When a contract includes variable consideration, we eval</w:t>
      </w:r>
      <w:r>
        <w:rPr>
          <w:sz w:val="20"/>
          <w:szCs w:val="20"/>
        </w:rPr>
        <w:t>uate the estimate of the variable consideration to determine whether the estimate needs to be constrained; therefore, we include variable consideration in the transaction price only to the extent that it is probable that a significant reversal of the amoun</w:t>
      </w:r>
      <w:r>
        <w:rPr>
          <w:sz w:val="20"/>
          <w:szCs w:val="20"/>
        </w:rPr>
        <w:t>t of cumulative revenue recognized will not occur when the uncertainty associated with variable consideration is subsequently resolved. Estimates to determine variable consideration such as payment to charge ratios, effective billing rates, and the estimat</w:t>
      </w:r>
      <w:r>
        <w:rPr>
          <w:sz w:val="20"/>
          <w:szCs w:val="20"/>
        </w:rPr>
        <w:t>ed contractual payment periods are updated at each reporting date. Revenue is recognized over the performance period using the input method.</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Professional services:</w:t>
      </w:r>
    </w:p>
    <w:p w:rsidR="00000000" w:rsidRDefault="003A6737">
      <w:pPr>
        <w:pStyle w:val="a3"/>
        <w:shd w:val="clear" w:color="auto" w:fill="FFFFFF"/>
        <w:spacing w:before="0" w:beforeAutospacing="0" w:after="0" w:afterAutospacing="0"/>
        <w:jc w:val="both"/>
        <w:rPr>
          <w:sz w:val="20"/>
          <w:szCs w:val="20"/>
        </w:rPr>
      </w:pPr>
      <w:r>
        <w:rPr>
          <w:sz w:val="20"/>
          <w:szCs w:val="20"/>
        </w:rPr>
        <w:t>Revenues from professional services are recorded as the services are provided as the perfo</w:t>
      </w:r>
      <w:r>
        <w:rPr>
          <w:sz w:val="20"/>
          <w:szCs w:val="20"/>
        </w:rPr>
        <w:t>rmance obligations are satisfied over time. Revenue is recorded based on the number of hours incurred and the agreed-upon hourly rate. Invoicing is primarily performed as of the end of each month.</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Practice management services:</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estimate the amount that will be collected on claims submitted to insurance carriers which is used to determine the compensation to be paid to the owners of the managed practices. These compensation amounts reduce the revenue that the Company recognizes si</w:t>
      </w:r>
      <w:r>
        <w:rPr>
          <w:sz w:val="20"/>
          <w:szCs w:val="20"/>
        </w:rPr>
        <w:t>nce they are deducted from gross billings. The estimate of the amounts to be received from the insurance claims are updated at each reporting period.</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Although we believe that our approach to estimates and judgments is reasonable, actual results could dif</w:t>
      </w:r>
      <w:r>
        <w:rPr>
          <w:sz w:val="20"/>
          <w:szCs w:val="20"/>
        </w:rPr>
        <w:t xml:space="preserve">fer, and we may be exposed to increases or decreases in revenue that could be material. Our estimates of variable consideration may prove to be inaccurate, in which case we may have understated or overstated the revenue recognized in an accounting period. </w:t>
      </w:r>
      <w:r>
        <w:rPr>
          <w:sz w:val="20"/>
          <w:szCs w:val="20"/>
        </w:rPr>
        <w:t>The amount of variable consideration recognized to date that remains subject to estimation is included within the contract asset in the consolidated balance sheets.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u w:val="single"/>
        </w:rPr>
        <w:t>Contingent Consideration:</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If a business combination provides for contingent considerati</w:t>
      </w:r>
      <w:r>
        <w:rPr>
          <w:sz w:val="20"/>
          <w:szCs w:val="20"/>
        </w:rPr>
        <w:t>on, the Company records the contingent consideration at fair value at the acquisition date. The Company adjusts the contingent consideration liability at the end of each reporting period based on fair value inputs representing changes in forecasted revenue</w:t>
      </w:r>
      <w:r>
        <w:rPr>
          <w:sz w:val="20"/>
          <w:szCs w:val="20"/>
        </w:rPr>
        <w:t xml:space="preserve"> of the acquired entities and the probability of an adjustment to the purchase price. Critical estimates include determining the forecasted revenue for certain acquisitions, probability and timing of cash collections and an appropriate discount rate. Chang</w:t>
      </w:r>
      <w:r>
        <w:rPr>
          <w:sz w:val="20"/>
          <w:szCs w:val="20"/>
        </w:rPr>
        <w:t>es in the fair value of the contingent consideration after the acquisition date are included in earnings if the contingent consideration is recorded as a liability.</w:t>
      </w:r>
    </w:p>
    <w:p w:rsidR="00000000" w:rsidRDefault="003A6737">
      <w:pPr>
        <w:pStyle w:val="a3"/>
        <w:shd w:val="clear" w:color="auto" w:fill="FFFFFF"/>
        <w:spacing w:before="0" w:beforeAutospacing="0" w:after="0" w:afterAutospacing="0"/>
        <w:jc w:val="both"/>
        <w:rPr>
          <w:sz w:val="20"/>
          <w:szCs w:val="20"/>
        </w:rPr>
      </w:pPr>
      <w:r>
        <w:rPr>
          <w:i/>
          <w:iCs/>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u w:val="single"/>
        </w:rPr>
        <w:t>Goodwill Impairment:</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Goodwill is evaluated for impairment annually as of October 31</w:t>
      </w:r>
      <w:r>
        <w:rPr>
          <w:sz w:val="20"/>
          <w:szCs w:val="20"/>
          <w:vertAlign w:val="superscript"/>
        </w:rPr>
        <w:t>st</w:t>
      </w:r>
      <w:r>
        <w:rPr>
          <w:sz w:val="20"/>
          <w:szCs w:val="20"/>
        </w:rPr>
        <w:t xml:space="preserve">, </w:t>
      </w:r>
      <w:r>
        <w:rPr>
          <w:sz w:val="20"/>
          <w:szCs w:val="20"/>
        </w:rPr>
        <w:t>referred to as the annual test date. The Company will also test for impairment between annual test dates if an event occurs or circumstances change that would indicate the carrying amount may be impaired. Impairment testing for goodwill is performed at the</w:t>
      </w:r>
      <w:r>
        <w:rPr>
          <w:sz w:val="20"/>
          <w:szCs w:val="20"/>
        </w:rPr>
        <w:t xml:space="preserve"> reporting-unit level. The Company has determined that its business consists of two operating segments and two reporting units (Healthcare IT and Medical Practice Management). Application of the goodwill impairment test requires judgment including the use </w:t>
      </w:r>
      <w:r>
        <w:rPr>
          <w:sz w:val="20"/>
          <w:szCs w:val="20"/>
        </w:rPr>
        <w:t>of a discounted cash flow and market approach methodology. These analyses require significant assumptions and judgments. These assumptions and judgments include estimation of future cash flows, which is dependent on internal forecasts, estimation of the lo</w:t>
      </w:r>
      <w:r>
        <w:rPr>
          <w:sz w:val="20"/>
          <w:szCs w:val="20"/>
        </w:rPr>
        <w:t>ng-term rate of growth for our business, estimation of the useful life over which cash flows will occur, determination of our weighted average cost of capital and the selection of comparable companies and the interpretation of their data. Future business a</w:t>
      </w:r>
      <w:r>
        <w:rPr>
          <w:sz w:val="20"/>
          <w:szCs w:val="20"/>
        </w:rPr>
        <w:t>nd economic conditions, as well as differences in actual financial results related to any of the assumptions, could materially impact the consolidated financial statements through impairment of goodwill or intangible assets and acceleration of the amortiza</w:t>
      </w:r>
      <w:r>
        <w:rPr>
          <w:sz w:val="20"/>
          <w:szCs w:val="20"/>
        </w:rPr>
        <w:t>tion period of the purchased intangible assets which are finite-lived assets. No impairment charges were recorded during the years ended December 31, 2022 or 2021.</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sz w:val="20"/>
          <w:szCs w:val="20"/>
        </w:rPr>
      </w:pPr>
      <w:r>
        <w:rPr>
          <w:sz w:val="20"/>
          <w:szCs w:val="20"/>
          <w:u w:val="single"/>
        </w:rPr>
        <w:t>Business Combinations: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Company accounts for business combinations under the provisio</w:t>
      </w:r>
      <w:r>
        <w:rPr>
          <w:sz w:val="20"/>
          <w:szCs w:val="20"/>
        </w:rPr>
        <w:t xml:space="preserve">ns of ASC 805, </w:t>
      </w:r>
      <w:r>
        <w:rPr>
          <w:i/>
          <w:iCs/>
          <w:sz w:val="20"/>
          <w:szCs w:val="20"/>
        </w:rPr>
        <w:t>Business Combinations</w:t>
      </w:r>
      <w:r>
        <w:rPr>
          <w:sz w:val="20"/>
          <w:szCs w:val="20"/>
        </w:rPr>
        <w:t xml:space="preserve">, which requires that the acquisition method of accounting be used for all business combinations. Assets acquired and liabilities assumed are recorded at the date of acquisition at their respective fair values. The fair </w:t>
      </w:r>
      <w:r>
        <w:rPr>
          <w:sz w:val="20"/>
          <w:szCs w:val="20"/>
        </w:rPr>
        <w:t>value amount assigned to intangible assets is based on an exit price from a market participant’s viewpoint, and utilizes data such as discounted cash flow analysis and replacement cost models. Critical estimates in valuing certain intangible assets include</w:t>
      </w:r>
      <w:r>
        <w:rPr>
          <w:sz w:val="20"/>
          <w:szCs w:val="20"/>
        </w:rPr>
        <w:t xml:space="preserve">, but are not limited to, historical and projected client retention rates, expected future cash inflows and outflows, discount rates, and estimated useful lives of those intangible assets. ASC 805 also specifies criteria that intangible assets acquired in </w:t>
      </w:r>
      <w:r>
        <w:rPr>
          <w:sz w:val="20"/>
          <w:szCs w:val="20"/>
        </w:rPr>
        <w:t>a business combination must meet to be recognized and reported apart from goodwill. Goodwill represents the excess purchase price over the fair value of the tangible net assets and intangible assets acquired in a business combination. Acquisition-related e</w:t>
      </w:r>
      <w:r>
        <w:rPr>
          <w:sz w:val="20"/>
          <w:szCs w:val="20"/>
        </w:rPr>
        <w:t>xpenses are recognized separately from the business combinations and are expensed as incurred.</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63190893"/>
        </w:trPr>
        <w:tc>
          <w:tcPr>
            <w:tcW w:w="5000" w:type="pct"/>
            <w:hideMark/>
          </w:tcPr>
          <w:p w:rsidR="00000000" w:rsidRDefault="003A6737">
            <w:pPr>
              <w:jc w:val="center"/>
              <w:rPr>
                <w:rFonts w:eastAsia="Times New Roman"/>
                <w:sz w:val="20"/>
                <w:szCs w:val="20"/>
              </w:rPr>
            </w:pPr>
            <w:r>
              <w:rPr>
                <w:rFonts w:eastAsia="Times New Roman"/>
                <w:sz w:val="20"/>
                <w:szCs w:val="20"/>
              </w:rPr>
              <w:t>4</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sz w:val="20"/>
          <w:szCs w:val="20"/>
        </w:rPr>
        <w:t>Results of Operations</w:t>
      </w:r>
    </w:p>
    <w:p w:rsidR="00000000" w:rsidRDefault="003A6737">
      <w:pPr>
        <w:pStyle w:val="a3"/>
        <w:shd w:val="clear" w:color="auto" w:fill="FFFFFF"/>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following table sets forth our consolidated results of operations as a percentage of total revenue for the years shown.</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08"/>
        <w:gridCol w:w="123"/>
        <w:gridCol w:w="50"/>
        <w:gridCol w:w="1442"/>
        <w:gridCol w:w="234"/>
        <w:gridCol w:w="123"/>
        <w:gridCol w:w="50"/>
        <w:gridCol w:w="1442"/>
        <w:gridCol w:w="234"/>
      </w:tblGrid>
      <w:tr w:rsidR="00000000">
        <w:tc>
          <w:tcPr>
            <w:tcW w:w="0" w:type="auto"/>
            <w:vAlign w:val="bottom"/>
            <w:hideMark/>
          </w:tcPr>
          <w:p w:rsidR="00000000" w:rsidRDefault="003A6737">
            <w:pPr>
              <w:rPr>
                <w:rFonts w:eastAsia="Times New Roman"/>
                <w:color w:val="FF0000"/>
                <w:sz w:val="20"/>
                <w:szCs w:val="20"/>
              </w:rPr>
            </w:pPr>
            <w:r>
              <w:rPr>
                <w:rFonts w:eastAsia="Times New Roman"/>
                <w:color w:val="FF0000"/>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2800" w:type="pct"/>
            <w:shd w:val="clear" w:color="auto" w:fill="CCEEFF"/>
            <w:vAlign w:val="bottom"/>
            <w:hideMark/>
          </w:tcPr>
          <w:p w:rsidR="00000000" w:rsidRDefault="003A6737">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60.8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62.3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7.0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17.2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17.4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0.8</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1.4</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95.2</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97.5</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Operating income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0.3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0.3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Other expense - net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(0.5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(0.1</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Income before provision for income taxes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Income tax provision</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0.1</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0.1</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income</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3.9</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2.0</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bl>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rPr>
          <w:sz w:val="20"/>
          <w:szCs w:val="20"/>
        </w:rPr>
      </w:pPr>
      <w:r>
        <w:rPr>
          <w:b/>
          <w:bCs/>
          <w:i/>
          <w:iCs/>
          <w:sz w:val="20"/>
          <w:szCs w:val="20"/>
        </w:rPr>
        <w:t>Comparison of 2022 and 2021</w:t>
      </w:r>
    </w:p>
    <w:p w:rsidR="00000000" w:rsidRDefault="003A6737">
      <w:pPr>
        <w:pStyle w:val="a3"/>
        <w:shd w:val="clear" w:color="auto" w:fill="FFFFFF"/>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1479"/>
        <w:gridCol w:w="50"/>
        <w:gridCol w:w="100"/>
        <w:gridCol w:w="650"/>
        <w:gridCol w:w="50"/>
        <w:gridCol w:w="50"/>
        <w:gridCol w:w="100"/>
        <w:gridCol w:w="650"/>
        <w:gridCol w:w="50"/>
        <w:gridCol w:w="50"/>
        <w:gridCol w:w="101"/>
        <w:gridCol w:w="647"/>
        <w:gridCol w:w="67"/>
        <w:gridCol w:w="50"/>
        <w:gridCol w:w="51"/>
        <w:gridCol w:w="605"/>
        <w:gridCol w:w="234"/>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 xml:space="preserve">Year Ended </w:t>
            </w:r>
            <w:r>
              <w:rPr>
                <w:rFonts w:eastAsia="Times New Roman"/>
                <w:b/>
                <w:bCs/>
                <w:sz w:val="20"/>
                <w:szCs w:val="20"/>
              </w:rPr>
              <w:br/>
              <w:t>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14"/>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3A6737">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138,826</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139,599</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(773</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i/>
          <w:iCs/>
          <w:sz w:val="20"/>
          <w:szCs w:val="20"/>
        </w:rPr>
        <w:t xml:space="preserve">Net revenue. </w:t>
      </w:r>
      <w:r>
        <w:rPr>
          <w:sz w:val="20"/>
          <w:szCs w:val="20"/>
        </w:rPr>
        <w:t>Net revenue of $138.8 million for the year ended December 31, 2022 decreased by $773,000 or 1% from revenue of $139.6 million for the year ended December 31, 2021. Total revenue for the year ended December 31, 2022 included approximately $29.7 million as a</w:t>
      </w:r>
      <w:r>
        <w:rPr>
          <w:sz w:val="20"/>
          <w:szCs w:val="20"/>
        </w:rPr>
        <w:t xml:space="preserve"> result of the medSR acquisition compared to $15.9 million in 2021. Revenue was negatively impacted by two large accounts from a 2020 acquisition that were winding down at the time of the acquisition. Revenue from these two customers for the years ended De</w:t>
      </w:r>
      <w:r>
        <w:rPr>
          <w:sz w:val="20"/>
          <w:szCs w:val="20"/>
        </w:rPr>
        <w:t>cember 31, 2022 and 2021 was $12.1 million and $21.5 million, respectively, and is expected to be between $1 million and $2 million for the year 2023.</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73357603"/>
        </w:trPr>
        <w:tc>
          <w:tcPr>
            <w:tcW w:w="5000" w:type="pct"/>
            <w:hideMark/>
          </w:tcPr>
          <w:p w:rsidR="00000000" w:rsidRDefault="003A6737">
            <w:pPr>
              <w:jc w:val="center"/>
              <w:rPr>
                <w:rFonts w:eastAsia="Times New Roman"/>
                <w:sz w:val="20"/>
                <w:szCs w:val="20"/>
              </w:rPr>
            </w:pPr>
            <w:r>
              <w:rPr>
                <w:rFonts w:eastAsia="Times New Roman"/>
                <w:sz w:val="20"/>
                <w:szCs w:val="20"/>
              </w:rPr>
              <w:t>4</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tbl>
      <w:tblPr>
        <w:tblW w:w="0" w:type="auto"/>
        <w:tblCellMar>
          <w:left w:w="0" w:type="dxa"/>
          <w:right w:w="0" w:type="dxa"/>
        </w:tblCellMar>
        <w:tblLook w:val="04A0" w:firstRow="1" w:lastRow="0" w:firstColumn="1" w:lastColumn="0" w:noHBand="0" w:noVBand="1"/>
      </w:tblPr>
      <w:tblGrid>
        <w:gridCol w:w="2891"/>
        <w:gridCol w:w="150"/>
        <w:gridCol w:w="100"/>
        <w:gridCol w:w="981"/>
        <w:gridCol w:w="67"/>
        <w:gridCol w:w="150"/>
        <w:gridCol w:w="100"/>
        <w:gridCol w:w="981"/>
        <w:gridCol w:w="67"/>
        <w:gridCol w:w="150"/>
        <w:gridCol w:w="101"/>
        <w:gridCol w:w="982"/>
        <w:gridCol w:w="68"/>
        <w:gridCol w:w="234"/>
        <w:gridCol w:w="68"/>
        <w:gridCol w:w="982"/>
        <w:gridCol w:w="234"/>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14"/>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3A6737">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84,434</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86,918</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(2,484</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9,788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8,786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1,002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23,820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24,273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(453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4,401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4,408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(3,090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(2,515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(575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1,952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1,927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9,773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10,268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(495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1,138</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2,005</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(867</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(43</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132,216</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136,070</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(3,854</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 xml:space="preserve">Direct </w:t>
      </w:r>
      <w:r>
        <w:rPr>
          <w:i/>
          <w:iCs/>
          <w:sz w:val="20"/>
          <w:szCs w:val="20"/>
        </w:rPr>
        <w:t xml:space="preserve">Operating Costs. </w:t>
      </w:r>
      <w:r>
        <w:rPr>
          <w:sz w:val="20"/>
          <w:szCs w:val="20"/>
        </w:rPr>
        <w:t>Direct operating costs of $84.4 million for the year ended December 31, 2022 decreased by $2.5 million or 3% from direct operating costs of $86.9 million for the year ended December 31, 2021. Salary costs decreased by $4.7 million due to t</w:t>
      </w:r>
      <w:r>
        <w:rPr>
          <w:sz w:val="20"/>
          <w:szCs w:val="20"/>
        </w:rPr>
        <w:t>he decrease in the Pakistan exchange rate, a decrease in the U.S. headcount and the redeployment of employees performing functions that were classified as direct operating costs to functions classified as research and development expense. Outsourcing and o</w:t>
      </w:r>
      <w:r>
        <w:rPr>
          <w:sz w:val="20"/>
          <w:szCs w:val="20"/>
        </w:rPr>
        <w:t>ther customer processing costs increased by $1.9 million and an increase in the cost of vaccines by $514,000.</w:t>
      </w:r>
    </w:p>
    <w:p w:rsidR="00000000" w:rsidRDefault="003A6737">
      <w:pPr>
        <w:pStyle w:val="a3"/>
        <w:shd w:val="clear" w:color="auto" w:fill="FFFFFF"/>
        <w:spacing w:before="0" w:beforeAutospacing="0" w:after="0" w:afterAutospacing="0"/>
        <w:jc w:val="both"/>
        <w:rPr>
          <w:sz w:val="20"/>
          <w:szCs w:val="20"/>
        </w:rPr>
      </w:pPr>
      <w:r>
        <w:rPr>
          <w:i/>
          <w:iCs/>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of $9.8 million for the year ended December 31, 2022 increased by $1.0 million or 11% from selling and marketing expense of $8.8 million for the year ended December 31, 2021. The increase was primarily related to additional em</w:t>
      </w:r>
      <w:r>
        <w:rPr>
          <w:sz w:val="20"/>
          <w:szCs w:val="20"/>
        </w:rPr>
        <w:t>phasis on sales and marketing activities.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of $23.8 million for the year ended December 31, 2022 decreased by $453,000 or 2% from general and administrative expense of $24.3 million fo</w:t>
      </w:r>
      <w:r>
        <w:rPr>
          <w:sz w:val="20"/>
          <w:szCs w:val="20"/>
        </w:rPr>
        <w:t>r the year ended December 31, 2021. Salary costs decreased by $1.1 million due to the decrease in the Pakistan exchange rate which was offset by the Company’s contributions to community based projects and to a new academic institution in the Bagh area, a c</w:t>
      </w:r>
      <w:r>
        <w:rPr>
          <w:sz w:val="20"/>
          <w:szCs w:val="20"/>
        </w:rPr>
        <w:t>ommunity where the Company has a large employee base.</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Research and Development Expense.</w:t>
      </w:r>
      <w:r>
        <w:rPr>
          <w:sz w:val="20"/>
          <w:szCs w:val="20"/>
        </w:rPr>
        <w:t xml:space="preserve"> Research and development expense of $4.4 million remained consistent for the years ended December 31, 2022 and 2021. During the years ended December 31, 2022 and 2021</w:t>
      </w:r>
      <w:r>
        <w:rPr>
          <w:sz w:val="20"/>
          <w:szCs w:val="20"/>
        </w:rPr>
        <w:t>, the Company capitalized approximately $9.2 million and $7.6 million of development costs in connection with its internal-use software, respectively.</w:t>
      </w:r>
    </w:p>
    <w:p w:rsidR="00000000" w:rsidRDefault="003A6737">
      <w:pPr>
        <w:pStyle w:val="a3"/>
        <w:shd w:val="clear" w:color="auto" w:fill="FFFFFF"/>
        <w:spacing w:before="0" w:beforeAutospacing="0" w:after="0" w:afterAutospacing="0"/>
        <w:jc w:val="both"/>
        <w:rPr>
          <w:sz w:val="20"/>
          <w:szCs w:val="20"/>
        </w:rPr>
      </w:pPr>
      <w:r>
        <w:rPr>
          <w:i/>
          <w:iCs/>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 xml:space="preserve">Change in Contingent Consideration. </w:t>
      </w:r>
      <w:r>
        <w:rPr>
          <w:sz w:val="20"/>
          <w:szCs w:val="20"/>
        </w:rPr>
        <w:t>The change of $3.1 million and $2.5 million for the years ended Dec</w:t>
      </w:r>
      <w:r>
        <w:rPr>
          <w:sz w:val="20"/>
          <w:szCs w:val="20"/>
        </w:rPr>
        <w:t>ember 31, 2022 and 2021, respectively, relates to changes in the fair value of the contingent consideration.</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 xml:space="preserve">Depreciation. </w:t>
      </w:r>
      <w:r>
        <w:rPr>
          <w:sz w:val="20"/>
          <w:szCs w:val="20"/>
        </w:rPr>
        <w:t xml:space="preserve">Depreciation of $2.0 million for the year ended December 31, 2022 increased by $25,000 or 1% from depreciation of $1.9 million for </w:t>
      </w:r>
      <w:r>
        <w:rPr>
          <w:sz w:val="20"/>
          <w:szCs w:val="20"/>
        </w:rPr>
        <w:t>the year ended December 31, 2021, primarily as a result of additional property and equipment purchases and the property and equipment obtained from the medSR acquisition.</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 xml:space="preserve">Amortization Expense. </w:t>
      </w:r>
      <w:r>
        <w:rPr>
          <w:sz w:val="20"/>
          <w:szCs w:val="20"/>
        </w:rPr>
        <w:t>Amortization expense of $9.8 million for the year ended Decem</w:t>
      </w:r>
      <w:r>
        <w:rPr>
          <w:sz w:val="20"/>
          <w:szCs w:val="20"/>
        </w:rPr>
        <w:t>ber 31, 2022 decreased by $495,000 or 5% from amortization expense of $10.3 million for the year ended December 31, 2021. The decrease in amortization expense was due to intangibles which were previously capitalized becoming fully amortized.</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 xml:space="preserve">Net Loss on </w:t>
      </w:r>
      <w:r>
        <w:rPr>
          <w:i/>
          <w:iCs/>
          <w:sz w:val="20"/>
          <w:szCs w:val="20"/>
        </w:rPr>
        <w:t xml:space="preserve">Lease Termination, Impairment and Unoccupied Lease Charges. </w:t>
      </w:r>
      <w:r>
        <w:rPr>
          <w:sz w:val="20"/>
          <w:szCs w:val="20"/>
        </w:rPr>
        <w:t>Net loss on lease termination represents the write-off of leasehold improvements and gains or losses as the result of lease terminations. Impairment charges represent charges recorded for a leased</w:t>
      </w:r>
      <w:r>
        <w:rPr>
          <w:sz w:val="20"/>
          <w:szCs w:val="20"/>
        </w:rPr>
        <w:t xml:space="preserve"> facility no longer being used by the Company and a non-cancellable vendor contract where the services are no longer being used. Unoccupied lease charges represent the portion of lease and related costs for that portion of the space that is vacant and not </w:t>
      </w:r>
      <w:r>
        <w:rPr>
          <w:sz w:val="20"/>
          <w:szCs w:val="20"/>
        </w:rPr>
        <w:t>being utilized by the Company. The Company was able to turn back to the landlord one of the unused facilities effective January 1, 2022. The change was primarily due to $842,000 of impairments being recorded in 2021, whereas in 2022, there were no impairme</w:t>
      </w:r>
      <w:r>
        <w:rPr>
          <w:sz w:val="20"/>
          <w:szCs w:val="20"/>
        </w:rPr>
        <w:t>nts.</w:t>
      </w:r>
    </w:p>
    <w:p w:rsidR="00000000" w:rsidRDefault="003A673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23163187"/>
        </w:trPr>
        <w:tc>
          <w:tcPr>
            <w:tcW w:w="5000" w:type="pct"/>
            <w:hideMark/>
          </w:tcPr>
          <w:p w:rsidR="00000000" w:rsidRDefault="003A6737">
            <w:pPr>
              <w:jc w:val="center"/>
              <w:rPr>
                <w:rFonts w:eastAsia="Times New Roman"/>
                <w:sz w:val="20"/>
                <w:szCs w:val="20"/>
              </w:rPr>
            </w:pPr>
            <w:r>
              <w:rPr>
                <w:rFonts w:eastAsia="Times New Roman"/>
                <w:sz w:val="20"/>
                <w:szCs w:val="20"/>
              </w:rPr>
              <w:t>4</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74"/>
        <w:gridCol w:w="150"/>
        <w:gridCol w:w="100"/>
        <w:gridCol w:w="981"/>
        <w:gridCol w:w="67"/>
        <w:gridCol w:w="150"/>
        <w:gridCol w:w="100"/>
        <w:gridCol w:w="981"/>
        <w:gridCol w:w="67"/>
        <w:gridCol w:w="150"/>
        <w:gridCol w:w="101"/>
        <w:gridCol w:w="982"/>
        <w:gridCol w:w="68"/>
        <w:gridCol w:w="151"/>
        <w:gridCol w:w="68"/>
        <w:gridCol w:w="982"/>
        <w:gridCol w:w="234"/>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14"/>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1800" w:type="pct"/>
            <w:shd w:val="clear" w:color="auto" w:fill="CCEEFF"/>
            <w:vAlign w:val="bottom"/>
            <w:hideMark/>
          </w:tcPr>
          <w:p w:rsidR="00000000" w:rsidRDefault="003A6737">
            <w:pPr>
              <w:rPr>
                <w:rFonts w:eastAsia="Times New Roman"/>
                <w:sz w:val="20"/>
                <w:szCs w:val="20"/>
              </w:rPr>
            </w:pPr>
            <w:r>
              <w:rPr>
                <w:rFonts w:eastAsia="Times New Roman"/>
                <w:sz w:val="20"/>
                <w:szCs w:val="20"/>
              </w:rPr>
              <w:t>Interest income</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41</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15</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173</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(405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(455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Other expense - net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(637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(96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(541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(564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Income tax provision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177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157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bl>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 xml:space="preserve">Interest Income. </w:t>
      </w:r>
      <w:r>
        <w:rPr>
          <w:sz w:val="20"/>
          <w:szCs w:val="20"/>
        </w:rPr>
        <w:t>Interest income of $41,000 for the year ended December 31, 2022 increased by $26,000 or 173% from interest income of $15,000 for the year ended December 31, 2021. Interest income primarily represents interest earned on temporary cash investments and late f</w:t>
      </w:r>
      <w:r>
        <w:rPr>
          <w:sz w:val="20"/>
          <w:szCs w:val="20"/>
        </w:rPr>
        <w:t>ees from customers.</w:t>
      </w:r>
    </w:p>
    <w:p w:rsidR="00000000" w:rsidRDefault="003A6737">
      <w:pPr>
        <w:pStyle w:val="a3"/>
        <w:shd w:val="clear" w:color="auto" w:fill="FFFFFF"/>
        <w:spacing w:before="0" w:beforeAutospacing="0" w:after="0" w:afterAutospacing="0"/>
        <w:jc w:val="both"/>
        <w:rPr>
          <w:sz w:val="20"/>
          <w:szCs w:val="20"/>
        </w:rPr>
      </w:pPr>
      <w:r>
        <w:rPr>
          <w:i/>
          <w:iCs/>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 xml:space="preserve">Interest Expense. </w:t>
      </w:r>
      <w:r>
        <w:rPr>
          <w:sz w:val="20"/>
          <w:szCs w:val="20"/>
        </w:rPr>
        <w:t>Interest expense of $405,000 for the year ended December 31, 2022 decreased by $50,000 or 11% from interest expense of $455,000 for the year ended December 31, 2021. Interest expense includes the amortization of deferred financing costs which was approxima</w:t>
      </w:r>
      <w:r>
        <w:rPr>
          <w:sz w:val="20"/>
          <w:szCs w:val="20"/>
        </w:rPr>
        <w:t>tely $124,000 and $200,000 during the years ended December 31, 2022 and 2021, respectively.</w:t>
      </w:r>
    </w:p>
    <w:p w:rsidR="00000000" w:rsidRDefault="003A6737">
      <w:pPr>
        <w:pStyle w:val="a3"/>
        <w:shd w:val="clear" w:color="auto" w:fill="FFFFFF"/>
        <w:spacing w:before="0" w:beforeAutospacing="0" w:after="0" w:afterAutospacing="0"/>
        <w:jc w:val="both"/>
        <w:rPr>
          <w:sz w:val="20"/>
          <w:szCs w:val="20"/>
        </w:rPr>
      </w:pPr>
      <w:r>
        <w:rPr>
          <w:b/>
          <w:bCs/>
          <w:i/>
          <w:iCs/>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 xml:space="preserve">Other Expense - net. </w:t>
      </w:r>
      <w:r>
        <w:rPr>
          <w:sz w:val="20"/>
          <w:szCs w:val="20"/>
        </w:rPr>
        <w:t xml:space="preserve">Other expense - net was $637,000 for the year ended December 31, 2022 compared to other expense - net of $96,000 for the year ended December </w:t>
      </w:r>
      <w:r>
        <w:rPr>
          <w:sz w:val="20"/>
          <w:szCs w:val="20"/>
        </w:rPr>
        <w:t>31, 2021. Other expense primarily represents foreign currency transaction gains and losses. There were foreign exchange losses of $610,000 and gains of $16,000 for the years ended December 31, 2022 and 2021, respectively. These transaction gains and losses</w:t>
      </w:r>
      <w:r>
        <w:rPr>
          <w:sz w:val="20"/>
          <w:szCs w:val="20"/>
        </w:rPr>
        <w:t xml:space="preserve"> result from revaluing intercompany accounts which are denominated in U.S. dollars that represent amounts receivable/payable between the entities. Whenever the exchange rate varies, the gains and losses are recorded in the consolidated statements of operat</w:t>
      </w:r>
      <w:r>
        <w:rPr>
          <w:sz w:val="20"/>
          <w:szCs w:val="20"/>
        </w:rPr>
        <w:t>ions.</w:t>
      </w:r>
    </w:p>
    <w:p w:rsidR="00000000" w:rsidRDefault="003A6737">
      <w:pPr>
        <w:pStyle w:val="a3"/>
        <w:shd w:val="clear" w:color="auto" w:fill="FFFFFF"/>
        <w:spacing w:before="0" w:beforeAutospacing="0" w:after="0" w:afterAutospacing="0"/>
        <w:ind w:firstLine="540"/>
        <w:jc w:val="both"/>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i/>
          <w:iCs/>
          <w:sz w:val="20"/>
          <w:szCs w:val="20"/>
        </w:rPr>
        <w:t xml:space="preserve">Income Tax Provision. </w:t>
      </w:r>
      <w:r>
        <w:rPr>
          <w:sz w:val="20"/>
          <w:szCs w:val="20"/>
        </w:rPr>
        <w:t>There was a $177,000 provision for income taxes for the year ended December 31, 2022, compared to the provision for income taxes of $157,000 for the year ended December 31, 2021.</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current income tax expense for the year e</w:t>
      </w:r>
      <w:r>
        <w:rPr>
          <w:sz w:val="20"/>
          <w:szCs w:val="20"/>
        </w:rPr>
        <w:t xml:space="preserve">nded December 31, 2022 was approximately $101,000 compared to an income tax benefit of $132,000 for the year ended December 31, 2021. In 2021, there was a net operating loss carryback of $285,000 recorded as a result of pre-acquisition losses of Meridian. </w:t>
      </w:r>
      <w:r>
        <w:rPr>
          <w:sz w:val="20"/>
          <w:szCs w:val="20"/>
        </w:rPr>
        <w:t>The provision for 2022 and the balance for 2021 primarily relates to state and foreign income taxes. The pre-tax income was $5.6 million and $3.0 million for the years ended December 31, 2022 and 2021, respectively. The Company has incurred losses historic</w:t>
      </w:r>
      <w:r>
        <w:rPr>
          <w:sz w:val="20"/>
          <w:szCs w:val="20"/>
        </w:rPr>
        <w:t xml:space="preserve">ally and there is uncertainty regarding future U.S. taxable income, which make realization of a deferred tax asset difficult to support in accordance with ASC 740. Accordingly, a valuation allowance was recorded against all deferred tax assets at December </w:t>
      </w:r>
      <w:r>
        <w:rPr>
          <w:sz w:val="20"/>
          <w:szCs w:val="20"/>
        </w:rPr>
        <w:t>31, 2022 and 2021.</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Company has recorded goodwill as a result of its acquisitions. Goodwill is generally not amortized for financial reporting purposes. However, goodwill from asset acquisitions is tax deductible and amortized over 15 years for tax pu</w:t>
      </w:r>
      <w:r>
        <w:rPr>
          <w:sz w:val="20"/>
          <w:szCs w:val="20"/>
        </w:rPr>
        <w:t xml:space="preserve">rposes. As such, deferred income tax expense and a deferred tax liability arise as a result of the tax-deductibility of this indefinitely lived asset. The resulting deferred tax liability, which is expected to continue to be recorded over the amortization </w:t>
      </w:r>
      <w:r>
        <w:rPr>
          <w:sz w:val="20"/>
          <w:szCs w:val="20"/>
        </w:rPr>
        <w:t>period, will have an indefinite life. As a result of the Company incurring tax losses for 2022 and 2021 which have an indefinite life under the recent tax reform legislation, the federal deferred tax liability resulting from the amortization of goodwill wa</w:t>
      </w:r>
      <w:r>
        <w:rPr>
          <w:sz w:val="20"/>
          <w:szCs w:val="20"/>
        </w:rPr>
        <w:t>s offset against these indefinite federal operating net loss deferred tax assets to the extent allowable. The remaining deferred tax liability could remain on the Company’s consolidated balance sheet indefinitely unless there is an impairment of goodwill (</w:t>
      </w:r>
      <w:r>
        <w:rPr>
          <w:sz w:val="20"/>
          <w:szCs w:val="20"/>
        </w:rPr>
        <w:t>for financial reporting purposes) or a portion of the related business is sold.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Company will maintain a full valuation allowance on deferred tax assets until there is sufficient evidence to support the reversal of all or some portion of these allowan</w:t>
      </w:r>
      <w:r>
        <w:rPr>
          <w:sz w:val="20"/>
          <w:szCs w:val="20"/>
        </w:rPr>
        <w:t>ces. While the Company had GAAP earnings in 2022 and plans to be profitable in the future and begin utilizing these deferred tax assets, the Company currently lacks sufficient evidence to allow it to release the valuation allowance in 2022 and 2021. Releas</w:t>
      </w:r>
      <w:r>
        <w:rPr>
          <w:sz w:val="20"/>
          <w:szCs w:val="20"/>
        </w:rPr>
        <w:t>e of the valuation allowance would result in the recognition of certain deferred tax assets and an income tax benefit in the period of release.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As of December 31, 2022, the Company has a total federal NOL carry forward of approximately $273 million of wh</w:t>
      </w:r>
      <w:r>
        <w:rPr>
          <w:sz w:val="20"/>
          <w:szCs w:val="20"/>
        </w:rPr>
        <w:t>ich approximately $199 million will expire between 2034 and 2037, and the balance of approximately $74 million has an indefinite life. Out of the total federal NOL carry forward, approximately $238 million is from the CareCloud and Meridian acquisitions an</w:t>
      </w:r>
      <w:r>
        <w:rPr>
          <w:sz w:val="20"/>
          <w:szCs w:val="20"/>
        </w:rPr>
        <w:t>d is subject to the federal Section 382 NOL annual usage limitations. The Company has state NOL carry forwards of approximately $211 million, of which $86 million relates to the State of New Jersey. These NOLs expire between 2034 and 2041.</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54195724"/>
        </w:trPr>
        <w:tc>
          <w:tcPr>
            <w:tcW w:w="5000" w:type="pct"/>
            <w:hideMark/>
          </w:tcPr>
          <w:p w:rsidR="00000000" w:rsidRDefault="003A6737">
            <w:pPr>
              <w:jc w:val="center"/>
              <w:rPr>
                <w:rFonts w:eastAsia="Times New Roman"/>
                <w:sz w:val="20"/>
                <w:szCs w:val="20"/>
              </w:rPr>
            </w:pPr>
            <w:r>
              <w:rPr>
                <w:rFonts w:eastAsia="Times New Roman"/>
                <w:sz w:val="20"/>
                <w:szCs w:val="20"/>
              </w:rPr>
              <w:t>4</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hd w:val="clear" w:color="auto" w:fill="FFFFFF"/>
        <w:spacing w:before="0" w:beforeAutospacing="0" w:after="0" w:afterAutospacing="0"/>
        <w:rPr>
          <w:sz w:val="20"/>
          <w:szCs w:val="20"/>
        </w:rPr>
      </w:pPr>
      <w:r>
        <w:rPr>
          <w:b/>
          <w:bCs/>
          <w:sz w:val="20"/>
          <w:szCs w:val="20"/>
        </w:rPr>
        <w:t>Liquidity and Capital Resources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During the year ended December 31, 2022, there was positive cash flow from operations of $21.2 million and at year-end, the Company had $12.3 million in cash and positive working capital of $12.3 million. During the year e</w:t>
      </w:r>
      <w:r>
        <w:rPr>
          <w:sz w:val="20"/>
          <w:szCs w:val="20"/>
        </w:rPr>
        <w:t xml:space="preserve">nded December 31, 2021, there was </w:t>
      </w:r>
      <w:r>
        <w:rPr>
          <w:color w:val="000000"/>
          <w:sz w:val="20"/>
          <w:szCs w:val="20"/>
        </w:rPr>
        <w:t xml:space="preserve">positive cash flow from operations of </w:t>
      </w:r>
      <w:r>
        <w:rPr>
          <w:sz w:val="20"/>
          <w:szCs w:val="20"/>
        </w:rPr>
        <w:t xml:space="preserve">$13.3 million </w:t>
      </w:r>
      <w:r>
        <w:rPr>
          <w:color w:val="000000"/>
          <w:sz w:val="20"/>
          <w:szCs w:val="20"/>
        </w:rPr>
        <w:t xml:space="preserve">and at </w:t>
      </w:r>
      <w:r>
        <w:rPr>
          <w:sz w:val="20"/>
          <w:szCs w:val="20"/>
        </w:rPr>
        <w:t xml:space="preserve">year-end, </w:t>
      </w:r>
      <w:r>
        <w:rPr>
          <w:color w:val="000000"/>
          <w:sz w:val="20"/>
          <w:szCs w:val="20"/>
        </w:rPr>
        <w:t xml:space="preserve">the Company </w:t>
      </w:r>
      <w:r>
        <w:rPr>
          <w:sz w:val="20"/>
          <w:szCs w:val="20"/>
        </w:rPr>
        <w:t xml:space="preserve">had $10.3 million </w:t>
      </w:r>
      <w:r>
        <w:rPr>
          <w:color w:val="000000"/>
          <w:sz w:val="20"/>
          <w:szCs w:val="20"/>
        </w:rPr>
        <w:t xml:space="preserve">in cash and restricted cash and positive working capital </w:t>
      </w:r>
      <w:r>
        <w:rPr>
          <w:sz w:val="20"/>
          <w:szCs w:val="20"/>
        </w:rPr>
        <w:t>of $6.0 million. The Company has a revolving line of credit with S</w:t>
      </w:r>
      <w:r>
        <w:rPr>
          <w:sz w:val="20"/>
          <w:szCs w:val="20"/>
        </w:rPr>
        <w:t xml:space="preserve">VB, and as of December 31, 2022, there was $8 million outstanding. This was repaid in early January 2023. </w:t>
      </w:r>
      <w:r>
        <w:rPr>
          <w:color w:val="000000"/>
          <w:sz w:val="20"/>
          <w:szCs w:val="20"/>
        </w:rPr>
        <w:t>During the year ended December 31, 2022, the Company sold</w:t>
      </w:r>
      <w:r>
        <w:rPr>
          <w:sz w:val="20"/>
          <w:szCs w:val="20"/>
        </w:rPr>
        <w:t xml:space="preserve"> 1,324,858 </w:t>
      </w:r>
      <w:r>
        <w:rPr>
          <w:color w:val="000000"/>
          <w:sz w:val="20"/>
          <w:szCs w:val="20"/>
        </w:rPr>
        <w:t xml:space="preserve">shares of Series B Preferred Stock and raised </w:t>
      </w:r>
      <w:r>
        <w:rPr>
          <w:sz w:val="20"/>
          <w:szCs w:val="20"/>
        </w:rPr>
        <w:t xml:space="preserve">$30.9 million </w:t>
      </w:r>
      <w:r>
        <w:rPr>
          <w:color w:val="000000"/>
          <w:sz w:val="20"/>
          <w:szCs w:val="20"/>
        </w:rPr>
        <w:t xml:space="preserve">in net proceeds after </w:t>
      </w:r>
      <w:r>
        <w:rPr>
          <w:color w:val="000000"/>
          <w:sz w:val="20"/>
          <w:szCs w:val="20"/>
        </w:rPr>
        <w:t xml:space="preserve">fees and expenses. During the year ended December 31, 2021, the Company sold 346,389 shares of common stock and raised $2.7 million in net proceeds after fees and expenses. The exercise of 858,000 warrants resulted in net proceeds of $6.4 million. </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rPr>
          <w:sz w:val="20"/>
          <w:szCs w:val="20"/>
        </w:rPr>
      </w:pPr>
      <w:r>
        <w:rPr>
          <w:sz w:val="20"/>
          <w:szCs w:val="20"/>
        </w:rPr>
        <w:t>The f</w:t>
      </w:r>
      <w:r>
        <w:rPr>
          <w:sz w:val="20"/>
          <w:szCs w:val="20"/>
        </w:rPr>
        <w:t>ollowing table summarizes our cash flows for the years presented.</w:t>
      </w:r>
    </w:p>
    <w:p w:rsidR="00000000" w:rsidRDefault="003A6737">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74"/>
        <w:gridCol w:w="150"/>
        <w:gridCol w:w="100"/>
        <w:gridCol w:w="981"/>
        <w:gridCol w:w="67"/>
        <w:gridCol w:w="150"/>
        <w:gridCol w:w="100"/>
        <w:gridCol w:w="981"/>
        <w:gridCol w:w="67"/>
        <w:gridCol w:w="150"/>
        <w:gridCol w:w="101"/>
        <w:gridCol w:w="982"/>
        <w:gridCol w:w="68"/>
        <w:gridCol w:w="151"/>
        <w:gridCol w:w="68"/>
        <w:gridCol w:w="982"/>
        <w:gridCol w:w="234"/>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10"/>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1800" w:type="pct"/>
            <w:shd w:val="clear" w:color="auto" w:fill="CCEEFF"/>
            <w:vAlign w:val="bottom"/>
            <w:hideMark/>
          </w:tcPr>
          <w:p w:rsidR="00000000" w:rsidRDefault="003A6737">
            <w:pPr>
              <w:rPr>
                <w:rFonts w:eastAsia="Times New Roman"/>
                <w:sz w:val="20"/>
                <w:szCs w:val="20"/>
              </w:rPr>
            </w:pPr>
            <w:r>
              <w:rPr>
                <w:rFonts w:eastAsia="Times New Roman"/>
                <w:sz w:val="20"/>
                <w:szCs w:val="20"/>
              </w:rPr>
              <w:t>Net cash provided by operating activities</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21,151</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13,334</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7,817</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59</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Net cash used in investing activities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(11,767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(23,146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11,379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Net cash used in financing activities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(7,650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(519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(7,131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(1,374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225</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(254</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479</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189</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increase (decrease) in cash and restricted cash</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1,959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(10,585</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12,544</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119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income before income taxes was $5.6 million for the year ended December 31, 2022, of which $11.7 million was non-cash depreciation and amortization. The income before income taxes for the year ended December 31, 2021 was $3.0 million, of which $12.2 millio</w:t>
      </w:r>
      <w:r>
        <w:rPr>
          <w:sz w:val="20"/>
          <w:szCs w:val="20"/>
        </w:rPr>
        <w:t>n was non-cash depreciation and amortization.</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Management continues to focus on the Company’</w:t>
      </w:r>
      <w:r>
        <w:rPr>
          <w:sz w:val="20"/>
          <w:szCs w:val="20"/>
        </w:rPr>
        <w:t xml:space="preserve">s overall profitability, including growing revenue and managing expenses, and expects that these efforts will continue to enhance our liquidity and financial position. Based on management’s forecasts, the Company will have sufficient liquidity to meet its </w:t>
      </w:r>
      <w:r>
        <w:rPr>
          <w:sz w:val="20"/>
          <w:szCs w:val="20"/>
        </w:rPr>
        <w:t>obligations as they become due for the next twelve months from the date of financial statements issuance.</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We have not been adversely affected by inflation as typically we receive a percentage of the fees our clients collect from our revenue cycle managem</w:t>
      </w:r>
      <w:r>
        <w:rPr>
          <w:sz w:val="20"/>
          <w:szCs w:val="20"/>
        </w:rPr>
        <w:t>ent services. Additionally, our medical practice management contracts are based on our costs plus a percentage of the medical practice’s operating income. We continue to monitor the impact of inflation in order to minimize its effects through pricing strat</w:t>
      </w:r>
      <w:r>
        <w:rPr>
          <w:sz w:val="20"/>
          <w:szCs w:val="20"/>
        </w:rPr>
        <w:t>egies, productivity improvements and cost reductions. In the event of inflation, we believe that we will be able to pass on any price increases for fixed rate contracts to our customers, as the prices that we charge are not governed by long-term contracts.</w:t>
      </w:r>
      <w:r>
        <w:rPr>
          <w:sz w:val="20"/>
          <w:szCs w:val="20"/>
        </w:rPr>
        <w:t xml:space="preserve"> Additionally, we have not been significantly impacted by the increase in worldwide interest rates as most of our financing has been through preferred stock, which carries a fixed interest rate, and we have not maintained significant balances outstanding o</w:t>
      </w:r>
      <w:r>
        <w:rPr>
          <w:sz w:val="20"/>
          <w:szCs w:val="20"/>
        </w:rPr>
        <w:t>n our line of credit.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Company did not have any significant employee terminations or furloughs as a result of COVID-19. Patient volumes are at or near normal levels.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b/>
          <w:bCs/>
          <w:i/>
          <w:iCs/>
          <w:sz w:val="20"/>
          <w:szCs w:val="20"/>
        </w:rPr>
        <w:t>Operating Activities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Cash provided by operating activities was $21.2 million and </w:t>
      </w:r>
      <w:r>
        <w:rPr>
          <w:sz w:val="20"/>
          <w:szCs w:val="20"/>
        </w:rPr>
        <w:t>$13.3 million during the years ended December 31, 2022 and 2021, respectively. The increase in the net income of $2.6 million included the following changes in non-cash items: decrease in depreciation and amortization of $358,000, a decrease in stock-based</w:t>
      </w:r>
      <w:r>
        <w:rPr>
          <w:sz w:val="20"/>
          <w:szCs w:val="20"/>
        </w:rPr>
        <w:t xml:space="preserve"> compensation of $482,000, and an increase in the change in contingent consideration of $575,000. Revenue decreased by $773,000 for the year ended December 31, 2022 compared to the year ended December 31, 2021, and operating expenses decreased by $3.9 mill</w:t>
      </w:r>
      <w:r>
        <w:rPr>
          <w:sz w:val="20"/>
          <w:szCs w:val="20"/>
        </w:rPr>
        <w:t>ion for the same period primarily due to a decrease in salary costs.</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69971612"/>
        </w:trPr>
        <w:tc>
          <w:tcPr>
            <w:tcW w:w="5000" w:type="pct"/>
            <w:hideMark/>
          </w:tcPr>
          <w:p w:rsidR="00000000" w:rsidRDefault="003A6737">
            <w:pPr>
              <w:jc w:val="center"/>
              <w:rPr>
                <w:rFonts w:eastAsia="Times New Roman"/>
                <w:sz w:val="20"/>
                <w:szCs w:val="20"/>
              </w:rPr>
            </w:pPr>
            <w:r>
              <w:rPr>
                <w:rFonts w:eastAsia="Times New Roman"/>
                <w:sz w:val="20"/>
                <w:szCs w:val="20"/>
              </w:rPr>
              <w:t>5</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Accounts receivable decreased by $1.5 million and increased by $620,000 for the years ended December 31, 2022 and 2021, respectively. This excludes the acquired accounts recei</w:t>
      </w:r>
      <w:r>
        <w:rPr>
          <w:sz w:val="20"/>
          <w:szCs w:val="20"/>
        </w:rPr>
        <w:t>vable as part of the medSR acquisition. Accounts payable, accrued compensation and accrued expenses increased by $6.6 million during the year ended December 31, 2022, compared with an increase of $10.4 million for the year ended December 31, 2021. While th</w:t>
      </w:r>
      <w:r>
        <w:rPr>
          <w:sz w:val="20"/>
          <w:szCs w:val="20"/>
        </w:rPr>
        <w:t>e cash used to pay pre-acquisition accounts payable, accrued compensation and accrued expenses was anticipated at the time of the medSR acquisition in 2021, and was considered as part of the purchase price of this transaction, it is shown as cash used by o</w:t>
      </w:r>
      <w:r>
        <w:rPr>
          <w:sz w:val="20"/>
          <w:szCs w:val="20"/>
        </w:rPr>
        <w:t>perations to conform with GAAP.</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Investing Activities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Cash used in investing activities during the year ended December 31, 2022 was $11.8 million, a decrease of $11.4 million compared to $23.1 million </w:t>
      </w:r>
      <w:r>
        <w:rPr>
          <w:sz w:val="20"/>
          <w:szCs w:val="20"/>
        </w:rPr>
        <w:t>during the year ended December 31, 2021. The change is due to the Company acquiring medSR for a cash consideration of $12.6 million during 2021. Capitalized software was $9.2 million and $7.6 million during the years ended December 31, 2022 and 2021, respe</w:t>
      </w:r>
      <w:r>
        <w:rPr>
          <w:sz w:val="20"/>
          <w:szCs w:val="20"/>
        </w:rPr>
        <w:t>ctively.</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rPr>
          <w:sz w:val="20"/>
          <w:szCs w:val="20"/>
        </w:rPr>
      </w:pPr>
      <w:r>
        <w:rPr>
          <w:b/>
          <w:bCs/>
          <w:i/>
          <w:iCs/>
          <w:sz w:val="20"/>
          <w:szCs w:val="20"/>
        </w:rPr>
        <w:t>Financing Activities</w:t>
      </w:r>
    </w:p>
    <w:p w:rsidR="00000000" w:rsidRDefault="003A6737">
      <w:pPr>
        <w:pStyle w:val="a3"/>
        <w:shd w:val="clear" w:color="auto" w:fill="FFFFFF"/>
        <w:spacing w:before="0" w:beforeAutospacing="0" w:after="0" w:afterAutospacing="0"/>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Cash used by financing activities during the year ended December 31, 2022 was $7.7 million, compared to $519,000 of cash used for the year ended December 31, 2021. Cash provided by financing activities during 2022 includes</w:t>
      </w:r>
      <w:r>
        <w:rPr>
          <w:sz w:val="20"/>
          <w:szCs w:val="20"/>
        </w:rPr>
        <w:t xml:space="preserve"> $30.9 million of net proceeds from issuing 1,324,858 shares of Series B Preferred Stock of which $20.0 million was used to redeem 800,000 shares of Series A Preferred Stock, offset by $1.0 million of repayments for debt obligations, and $15.3 million of p</w:t>
      </w:r>
      <w:r>
        <w:rPr>
          <w:sz w:val="20"/>
          <w:szCs w:val="20"/>
        </w:rPr>
        <w:t>referred stock dividends. Cash provided by financing activities during 2021 includes $6.4 million of net proceeds from issuing 858,000 shares from the exercise of common stock warrants and $2.7 million of net proceeds after fees and expenses from issuing 3</w:t>
      </w:r>
      <w:r>
        <w:rPr>
          <w:sz w:val="20"/>
          <w:szCs w:val="20"/>
        </w:rPr>
        <w:t>46,389 shares of common stock via an “at-the-market” offering, offset by $1.0 million of repayments for debt obligations, and $14.4 million of preferred stock dividends. There was also $1.2 million of payments to settle the tax withholding obligations in 2</w:t>
      </w:r>
      <w:r>
        <w:rPr>
          <w:sz w:val="20"/>
          <w:szCs w:val="20"/>
        </w:rPr>
        <w:t>022 compared to $2.1 million in 2021. The net proceeds from the line of credit were $8.0 million during the year ended December 31, 2021. There were no net proceeds from the line of credit during the year ended December 31, 2022.</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hd w:val="clear" w:color="auto" w:fill="FFFFFF"/>
        <w:spacing w:before="0" w:beforeAutospacing="0" w:after="0" w:afterAutospacing="0"/>
        <w:rPr>
          <w:sz w:val="20"/>
          <w:szCs w:val="20"/>
        </w:rPr>
      </w:pPr>
      <w:r>
        <w:rPr>
          <w:b/>
          <w:bCs/>
          <w:sz w:val="20"/>
          <w:szCs w:val="20"/>
        </w:rPr>
        <w:t xml:space="preserve">Contractual Obligations </w:t>
      </w:r>
      <w:r>
        <w:rPr>
          <w:b/>
          <w:bCs/>
          <w:sz w:val="20"/>
          <w:szCs w:val="20"/>
        </w:rPr>
        <w:t>and Commitments</w:t>
      </w:r>
    </w:p>
    <w:p w:rsidR="00000000" w:rsidRDefault="003A6737">
      <w:pPr>
        <w:pStyle w:val="a3"/>
        <w:shd w:val="clear" w:color="auto" w:fill="FFFFFF"/>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We have contractual obligations under our line of credit. We also maintain operating leases for property and certain office equipment. We were in compliance with all SVB covenants in 2022.</w:t>
      </w:r>
    </w:p>
    <w:p w:rsidR="00000000" w:rsidRDefault="003A6737">
      <w:pPr>
        <w:pStyle w:val="a3"/>
        <w:shd w:val="clear" w:color="auto" w:fill="FFFFFF"/>
        <w:spacing w:before="0" w:beforeAutospacing="0" w:after="0" w:afterAutospacing="0"/>
        <w:jc w:val="both"/>
        <w:rPr>
          <w:sz w:val="20"/>
          <w:szCs w:val="20"/>
        </w:rPr>
      </w:pPr>
      <w:r>
        <w:rPr>
          <w:b/>
          <w:bCs/>
          <w:sz w:val="20"/>
          <w:szCs w:val="20"/>
        </w:rPr>
        <w:t> </w:t>
      </w:r>
    </w:p>
    <w:p w:rsidR="00000000" w:rsidRDefault="003A6737">
      <w:pPr>
        <w:pStyle w:val="a3"/>
        <w:shd w:val="clear" w:color="auto" w:fill="FFFFFF"/>
        <w:spacing w:before="0" w:beforeAutospacing="0" w:after="0" w:afterAutospacing="0"/>
        <w:jc w:val="both"/>
        <w:rPr>
          <w:sz w:val="20"/>
          <w:szCs w:val="20"/>
        </w:rPr>
      </w:pPr>
      <w:r>
        <w:rPr>
          <w:b/>
          <w:bCs/>
          <w:sz w:val="20"/>
          <w:szCs w:val="20"/>
        </w:rPr>
        <w:t>Off-Balance Sheet Arrangements</w:t>
      </w:r>
    </w:p>
    <w:p w:rsidR="00000000" w:rsidRDefault="003A6737">
      <w:pPr>
        <w:pStyle w:val="a3"/>
        <w:shd w:val="clear" w:color="auto" w:fill="FFFFFF"/>
        <w:spacing w:before="0" w:beforeAutospacing="0" w:after="0" w:afterAutospacing="0"/>
        <w:ind w:firstLine="54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As of December</w:t>
      </w:r>
      <w:r>
        <w:rPr>
          <w:sz w:val="20"/>
          <w:szCs w:val="20"/>
        </w:rPr>
        <w:t xml:space="preserve"> 31, 2022, and 2021, we did not have any relationships with unconsolidated entities or financial partnerships, such as entities often referred to as structured finance or special-purpose entities, which would have been established for the purpose of facili</w:t>
      </w:r>
      <w:r>
        <w:rPr>
          <w:sz w:val="20"/>
          <w:szCs w:val="20"/>
        </w:rPr>
        <w:t>tating off-balance sheet arrangements or other contractually narrow or limited purposes. During the first quarter of 2020, a New Jersey corporation, talkMD Clinicians, PA (“talkMD”), was formed by the wife of the Executive Chairman, who is a licensed physi</w:t>
      </w:r>
      <w:r>
        <w:rPr>
          <w:sz w:val="20"/>
          <w:szCs w:val="20"/>
        </w:rPr>
        <w:t>cian, to provide telehealth services. talkMD was determined to be a variable interest entity (“VIE”) for financial reporting purposes because the entity will be controlled by the Company. As of December 31, 2022, talkMD had not yet commenced operations. Th</w:t>
      </w:r>
      <w:r>
        <w:rPr>
          <w:sz w:val="20"/>
          <w:szCs w:val="20"/>
        </w:rPr>
        <w:t>e Company has made arrangements to have the income tax returns prepared for talkMD and will advance the funds for the required taxes. Cumulatively, the Company has paid approximately $4,000 on behalf of talkMD for income taxes. We do not engage in off-bala</w:t>
      </w:r>
      <w:r>
        <w:rPr>
          <w:sz w:val="20"/>
          <w:szCs w:val="20"/>
        </w:rPr>
        <w:t>nce sheet financing arrangements.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Item 7A. Quantitative and Qualitative Disclosures about Market Risk</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We </w:t>
      </w:r>
      <w:r>
        <w:rPr>
          <w:sz w:val="20"/>
          <w:szCs w:val="20"/>
        </w:rPr>
        <w:t>are a smaller reporting company as defined by 17 C.F.R. 229.10(f)(1) and are not required to provide information under this item, pursuant to Item 305(e) of Regulation S-K.</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Item 8. Financial Statements and Supplementary Data</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sz w:val="20"/>
          <w:szCs w:val="20"/>
        </w:rPr>
      </w:pPr>
      <w:r>
        <w:rPr>
          <w:sz w:val="20"/>
          <w:szCs w:val="20"/>
        </w:rPr>
        <w:t>See “</w:t>
      </w:r>
      <w:r>
        <w:rPr>
          <w:sz w:val="20"/>
          <w:szCs w:val="20"/>
        </w:rPr>
        <w:t>Index to Consolidated Financial Statements” which appears on page F-1 of this Annual Report on Form 10-K.</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b/>
          <w:bCs/>
          <w:sz w:val="20"/>
          <w:szCs w:val="20"/>
        </w:rPr>
      </w:pPr>
      <w:r>
        <w:rPr>
          <w:b/>
          <w:bCs/>
          <w:sz w:val="20"/>
          <w:szCs w:val="20"/>
        </w:rPr>
        <w:t>Item 9. Changes in and Disagreements with Accountants on Accounting and Financial Disclosure</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sz w:val="20"/>
          <w:szCs w:val="20"/>
        </w:rPr>
      </w:pPr>
      <w:r>
        <w:rPr>
          <w:sz w:val="20"/>
          <w:szCs w:val="20"/>
        </w:rPr>
        <w:t>None.</w:t>
      </w:r>
    </w:p>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18102173"/>
        </w:trPr>
        <w:tc>
          <w:tcPr>
            <w:tcW w:w="5000" w:type="pct"/>
            <w:hideMark/>
          </w:tcPr>
          <w:p w:rsidR="00000000" w:rsidRDefault="003A6737">
            <w:pPr>
              <w:jc w:val="center"/>
              <w:rPr>
                <w:rFonts w:eastAsia="Times New Roman"/>
                <w:sz w:val="20"/>
                <w:szCs w:val="20"/>
              </w:rPr>
            </w:pPr>
            <w:r>
              <w:rPr>
                <w:rFonts w:eastAsia="Times New Roman"/>
                <w:sz w:val="20"/>
                <w:szCs w:val="20"/>
              </w:rPr>
              <w:t>5</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Item 9A. Controls and Procedures</w:t>
      </w:r>
    </w:p>
    <w:p w:rsidR="00000000" w:rsidRDefault="003A6737">
      <w:pPr>
        <w:pStyle w:val="a3"/>
        <w:spacing w:before="0" w:beforeAutospacing="0" w:after="0" w:afterAutospacing="0"/>
        <w:rPr>
          <w:sz w:val="20"/>
          <w:szCs w:val="20"/>
        </w:rPr>
      </w:pPr>
      <w:r>
        <w:rPr>
          <w:b/>
          <w:bCs/>
          <w:i/>
          <w:iCs/>
          <w:sz w:val="20"/>
          <w:szCs w:val="20"/>
        </w:rPr>
        <w:t> </w:t>
      </w:r>
    </w:p>
    <w:p w:rsidR="00000000" w:rsidRDefault="003A6737">
      <w:pPr>
        <w:pStyle w:val="a3"/>
        <w:spacing w:before="0" w:beforeAutospacing="0" w:after="0" w:afterAutospacing="0"/>
        <w:rPr>
          <w:sz w:val="20"/>
          <w:szCs w:val="20"/>
        </w:rPr>
      </w:pPr>
      <w:r>
        <w:rPr>
          <w:b/>
          <w:bCs/>
          <w:i/>
          <w:iCs/>
          <w:sz w:val="20"/>
          <w:szCs w:val="20"/>
        </w:rPr>
        <w:t>Evaluation of Disclosure Controls and Procedures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Our management, with the participation of our Chief Executive Officer and Chief Financial Officer, based on the Internal Control-Integrated Framework (2013 framework) issued by the Committee of Sponsoring </w:t>
      </w:r>
      <w:r>
        <w:rPr>
          <w:sz w:val="20"/>
          <w:szCs w:val="20"/>
        </w:rPr>
        <w:t>Organizations of the Treadway Commission (“COSO”), evaluated the effectiveness of our disclosure controls and procedures as of December 31, 2022 as required by Rules 13a-15(b) and 15d-15(b) of the Exchange Act. The term “disclosure controls and procedures,</w:t>
      </w:r>
      <w:r>
        <w:rPr>
          <w:sz w:val="20"/>
          <w:szCs w:val="20"/>
        </w:rPr>
        <w:t>” as defined in Rules 13a-15(e) and 15d-15(e) under the Exchange Act, means controls and other procedures of a company that are designed to ensure that information required to be disclosed by a company in the reports that it files or submits under the Exch</w:t>
      </w:r>
      <w:r>
        <w:rPr>
          <w:sz w:val="20"/>
          <w:szCs w:val="20"/>
        </w:rPr>
        <w:t>ange Act is recorded, processed, summarized and reported, within the time periods specified in the SEC’s rules and forms.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Disclosure controls and procedures include, without limitation, controls and procedures designed to ensure that information required</w:t>
      </w:r>
      <w:r>
        <w:rPr>
          <w:sz w:val="20"/>
          <w:szCs w:val="20"/>
        </w:rPr>
        <w:t xml:space="preserve"> to be disclosed by a company in the reports that it files or submits under the Exchange Act is accumulated and communicated to the Company’s management, including its principal executive and principal financial officers, to allow timely decisions regardin</w:t>
      </w:r>
      <w:r>
        <w:rPr>
          <w:sz w:val="20"/>
          <w:szCs w:val="20"/>
        </w:rPr>
        <w:t>g required disclosure. Management recognizes that any controls and procedures, no matter how well designed and operated, can provide only reasonable assurance of achieving their objectives and management necessarily applies its judgment in evaluating the c</w:t>
      </w:r>
      <w:r>
        <w:rPr>
          <w:sz w:val="20"/>
          <w:szCs w:val="20"/>
        </w:rPr>
        <w:t>ost-benefit relationship of possible controls and procedures.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Based </w:t>
      </w:r>
      <w:r>
        <w:rPr>
          <w:sz w:val="20"/>
          <w:szCs w:val="20"/>
        </w:rPr>
        <w:t xml:space="preserve">on the evaluation of our disclosure controls and procedures, as of December 31, 2022, our Chief Executive Officer and Chief Financial Officer concluded that, as of such date, our disclosure controls and procedures were effective. Our management, including </w:t>
      </w:r>
      <w:r>
        <w:rPr>
          <w:sz w:val="20"/>
          <w:szCs w:val="20"/>
        </w:rPr>
        <w:t>our Chief Executive Officer and Chief Financial Officer, has concluded that the consolidated financial statements in this Annual Report on Form 10-K fairly present, in all material respects, our consolidated financial condition, results of operations and c</w:t>
      </w:r>
      <w:r>
        <w:rPr>
          <w:sz w:val="20"/>
          <w:szCs w:val="20"/>
        </w:rPr>
        <w:t>ash flows for the periods presented in accordance with U.S. generally accepted accounting principles.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Management’s Report on Internal Control over Financial Reporting</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management is responsible for establishing and maintaining adequate internal cont</w:t>
      </w:r>
      <w:r>
        <w:rPr>
          <w:sz w:val="20"/>
          <w:szCs w:val="20"/>
        </w:rPr>
        <w:t xml:space="preserve">rol over financial reporting, as such term is defined in Rule 13a-15(f) and 15d-15(f) of the Exchange Act. Internal control over financial reporting is a process designed to provide reasonable assurance regarding the reliability of financial reporting and </w:t>
      </w:r>
      <w:r>
        <w:rPr>
          <w:sz w:val="20"/>
          <w:szCs w:val="20"/>
        </w:rPr>
        <w:t>the preparation of financial statements for external reporting purposes in accordance with generally accepted accounting principles. Internal control over financial reporting includes those policies and procedures that (1) pertain to the maintenance of rec</w:t>
      </w:r>
      <w:r>
        <w:rPr>
          <w:sz w:val="20"/>
          <w:szCs w:val="20"/>
        </w:rPr>
        <w:t>ords that, in reasonable detail, accurately and fairly reflect the transactions and dispositions of our assets; (2) provide reasonable assurance that transactions are recorded as necessary to permit preparation of financial statements in accordance with ge</w:t>
      </w:r>
      <w:r>
        <w:rPr>
          <w:sz w:val="20"/>
          <w:szCs w:val="20"/>
        </w:rPr>
        <w:t>nerally accepted accounting principles, and that our receipts and expenditures are being made only in accordance with authorizations of our management; and (3) provide reasonable assurance regarding prevention or timely detection of unauthorized acquisitio</w:t>
      </w:r>
      <w:r>
        <w:rPr>
          <w:sz w:val="20"/>
          <w:szCs w:val="20"/>
        </w:rPr>
        <w:t>n, use, or disposition of our assets that could have a material effect on the financial statements.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Management is required to base its assessment on the effectiveness of our internal control over financial reporting on a suitable, recognized control fram</w:t>
      </w:r>
      <w:r>
        <w:rPr>
          <w:sz w:val="20"/>
          <w:szCs w:val="20"/>
        </w:rPr>
        <w:t xml:space="preserve">ework. Management has utilized the criteria established in COSO to evaluate the effectiveness of internal control over financial reporting. A material weakness is a deficiency, or a combination of deficiencies, in internal control over financial reporting </w:t>
      </w:r>
      <w:r>
        <w:rPr>
          <w:sz w:val="20"/>
          <w:szCs w:val="20"/>
        </w:rPr>
        <w:t>such that there is a reasonable possibility that a material misstatement of the Company’s annual or interim financial statements will not be prevented or detected on a timely basis.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Our management has performed its assessment according to the guidelines </w:t>
      </w:r>
      <w:r>
        <w:rPr>
          <w:sz w:val="20"/>
          <w:szCs w:val="20"/>
        </w:rPr>
        <w:t>established by COSO. Our management concluded that as of December 31, 2022, the Company’s internal control over financial reporting was effective.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Management has performed analysis and procedures in preparing our consolidated financial statements. We hav</w:t>
      </w:r>
      <w:r>
        <w:rPr>
          <w:sz w:val="20"/>
          <w:szCs w:val="20"/>
        </w:rPr>
        <w:t>e concluded that our consolidated financial statements fairly present, in all material respects, our financial condition, results of operations and cash flows at and for the periods presented.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Because of its inherent limitations, our internal controls ov</w:t>
      </w:r>
      <w:r>
        <w:rPr>
          <w:sz w:val="20"/>
          <w:szCs w:val="20"/>
        </w:rPr>
        <w:t>er financial reporting provide reasonable, not absolute, assurance that the financial statements and notes thereto are free of material error. In addition, no internal control structure can provide absolute assurance that all instances of fraud have been d</w:t>
      </w:r>
      <w:r>
        <w:rPr>
          <w:sz w:val="20"/>
          <w:szCs w:val="20"/>
        </w:rPr>
        <w:t>etected. Also, projections of any evaluation of effectiveness to future periods are subject to the risk that controls may become inadequate because of changes in conditions, or that the degree of compliance with the policies and procedures may deteriorate.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This Annual Report does not include an attestation report of the Company’s registered public accounting firm regarding internal control over financial reporting. Management’s report was not subject to attestation by the Company’s registered public accou</w:t>
      </w:r>
      <w:r>
        <w:rPr>
          <w:sz w:val="20"/>
          <w:szCs w:val="20"/>
        </w:rPr>
        <w:t>nting firm pursuant to the rules of the SEC that permit the Company to provide only management’s report in this Annual Report on Form 10-K.</w:t>
      </w:r>
    </w:p>
    <w:p w:rsidR="00000000" w:rsidRDefault="003A6737">
      <w:pPr>
        <w:pStyle w:val="a3"/>
        <w:spacing w:before="0" w:beforeAutospacing="0" w:after="0" w:afterAutospacing="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1141635"/>
        </w:trPr>
        <w:tc>
          <w:tcPr>
            <w:tcW w:w="5000" w:type="pct"/>
            <w:hideMark/>
          </w:tcPr>
          <w:p w:rsidR="00000000" w:rsidRDefault="003A6737">
            <w:pPr>
              <w:jc w:val="center"/>
              <w:rPr>
                <w:rFonts w:eastAsia="Times New Roman"/>
                <w:sz w:val="20"/>
                <w:szCs w:val="20"/>
              </w:rPr>
            </w:pPr>
            <w:r>
              <w:rPr>
                <w:rFonts w:eastAsia="Times New Roman"/>
                <w:sz w:val="20"/>
                <w:szCs w:val="20"/>
              </w:rPr>
              <w:t>5</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b/>
          <w:bCs/>
          <w:i/>
          <w:iCs/>
          <w:sz w:val="20"/>
          <w:szCs w:val="20"/>
        </w:rPr>
        <w:t>Changes in Internal Control over Financial Reporting</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During </w:t>
      </w:r>
      <w:r>
        <w:rPr>
          <w:sz w:val="20"/>
          <w:szCs w:val="20"/>
        </w:rPr>
        <w:t>the period January 1, 2022 through December 31, 2022, we implemented and tested changes to our internal control over financial reporting related to our remediation efforts described below. During the fourth quarter of 2022, there were no changes in our int</w:t>
      </w:r>
      <w:r>
        <w:rPr>
          <w:sz w:val="20"/>
          <w:szCs w:val="20"/>
        </w:rPr>
        <w:t>ernal control over financial reporting (as defined in Rule 13a-15(f) of the Exchange Act) that have materially affected, or are reasonably likely to materially affect, our internal control over financial reporting.</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i/>
          <w:iCs/>
          <w:sz w:val="20"/>
          <w:szCs w:val="20"/>
        </w:rPr>
        <w:t>Remediation of a Material Weakness in I</w:t>
      </w:r>
      <w:r>
        <w:rPr>
          <w:b/>
          <w:bCs/>
          <w:i/>
          <w:iCs/>
          <w:sz w:val="20"/>
          <w:szCs w:val="20"/>
        </w:rPr>
        <w:t>nternal Control Over Financial Reporting</w:t>
      </w:r>
    </w:p>
    <w:p w:rsidR="00000000" w:rsidRDefault="003A6737">
      <w:pPr>
        <w:pStyle w:val="a3"/>
        <w:spacing w:before="0" w:beforeAutospacing="0" w:after="0" w:afterAutospacing="0"/>
        <w:jc w:val="both"/>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sz w:val="20"/>
          <w:szCs w:val="20"/>
        </w:rPr>
        <w:t>During the year ended December 31, 2021, we concluded that we had a material weakness in internal control over financial reporting, specifically related to the completeness and accuracy of key inputs related to no</w:t>
      </w:r>
      <w:r>
        <w:rPr>
          <w:sz w:val="20"/>
          <w:szCs w:val="20"/>
        </w:rPr>
        <w:t>n-routine transactions as described in Item 9A of our Annual Report on Form 10-K for the fiscal year ended December 31, 2021. To address the material weakness, during the year ended December 31, 2022, we designed and implemented enhancements to our process</w:t>
      </w:r>
      <w:r>
        <w:rPr>
          <w:sz w:val="20"/>
          <w:szCs w:val="20"/>
        </w:rPr>
        <w:t>es and controls to verify the completeness and accuracy of key inputs related to non-routine transactions by requiring more detailed reviews by experienced staff and increased communication among our personnel and third party professionals with whom we con</w:t>
      </w:r>
      <w:r>
        <w:rPr>
          <w:sz w:val="20"/>
          <w:szCs w:val="20"/>
        </w:rPr>
        <w:t>sult regarding such transactions. Based on the cumulative changes implemented, as well as management’s evaluation of the design and operating effectiveness of the new controls, management has concluded that the material weakness, related to the completenes</w:t>
      </w:r>
      <w:r>
        <w:rPr>
          <w:sz w:val="20"/>
          <w:szCs w:val="20"/>
        </w:rPr>
        <w:t>s and accuracy of key inputs related to non-routine transactions has been remediated as of December 31, 2022.</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Item 9B. Other Information</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None.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Item 9C. Disclosure Regarding Foreign Jurisdictions that Prevent Inspection</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Not applicable.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PART III</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Item 10. Directors, Executive Officers and Corporate Governance</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Information required by this item will be included in our definitive Proxy Statement for the 2023 Meeting of Shareholders which will be filed within 120 days of the end of our fiscal year en</w:t>
      </w:r>
      <w:r>
        <w:rPr>
          <w:sz w:val="20"/>
          <w:szCs w:val="20"/>
        </w:rPr>
        <w:t>ded December 31, 2022 (“2023 Proxy Statement”) and is incorporated herein by reference.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Item 11. Executive Compensation</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Information required by this item will be included in the 2023 Proxy Statement and is incorporated herein by reference.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Item 12. S</w:t>
      </w:r>
      <w:r>
        <w:rPr>
          <w:b/>
          <w:bCs/>
          <w:sz w:val="20"/>
          <w:szCs w:val="20"/>
        </w:rPr>
        <w:t>ecurity Ownership of Certain Beneficial Owners and Management and Related Stockholder Matters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Information </w:t>
      </w:r>
      <w:r>
        <w:rPr>
          <w:sz w:val="20"/>
          <w:szCs w:val="20"/>
        </w:rPr>
        <w:t>required by this item will be included in the 2023 Proxy Statement and is incorporated herein by reference.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Item 13. Certain Relationships and Related Transactions, and Director Independence</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Information required by this item will be included in the 202</w:t>
      </w:r>
      <w:r>
        <w:rPr>
          <w:sz w:val="20"/>
          <w:szCs w:val="20"/>
        </w:rPr>
        <w:t>3 Proxy Statement and is incorporated herein by reference.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Item 14. Principal Accountant Fees and Services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Information required by this item will be included in the 2023 Proxy Statement and is incorporated herein by reference.</w:t>
      </w:r>
    </w:p>
    <w:tbl>
      <w:tblPr>
        <w:tblW w:w="5000" w:type="pct"/>
        <w:tblCellMar>
          <w:left w:w="0" w:type="dxa"/>
          <w:right w:w="0" w:type="dxa"/>
        </w:tblCellMar>
        <w:tblLook w:val="04A0" w:firstRow="1" w:lastRow="0" w:firstColumn="1" w:lastColumn="0" w:noHBand="0" w:noVBand="1"/>
      </w:tblPr>
      <w:tblGrid>
        <w:gridCol w:w="8306"/>
      </w:tblGrid>
      <w:tr w:rsidR="00000000">
        <w:trPr>
          <w:divId w:val="1083064918"/>
        </w:trPr>
        <w:tc>
          <w:tcPr>
            <w:tcW w:w="5000" w:type="pct"/>
            <w:hideMark/>
          </w:tcPr>
          <w:p w:rsidR="00000000" w:rsidRDefault="003A6737">
            <w:pPr>
              <w:jc w:val="center"/>
              <w:rPr>
                <w:rFonts w:eastAsia="Times New Roman"/>
                <w:sz w:val="20"/>
                <w:szCs w:val="20"/>
              </w:rPr>
            </w:pPr>
            <w:r>
              <w:rPr>
                <w:rFonts w:eastAsia="Times New Roman"/>
                <w:sz w:val="20"/>
                <w:szCs w:val="20"/>
              </w:rPr>
              <w:t>5</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b/>
          <w:bCs/>
          <w:sz w:val="20"/>
          <w:szCs w:val="20"/>
        </w:rPr>
      </w:pPr>
      <w:r>
        <w:rPr>
          <w:b/>
          <w:bCs/>
          <w:sz w:val="20"/>
          <w:szCs w:val="20"/>
        </w:rPr>
        <w:t> </w:t>
      </w:r>
    </w:p>
    <w:p w:rsidR="00000000" w:rsidRDefault="003A6737">
      <w:pPr>
        <w:pStyle w:val="a3"/>
        <w:spacing w:before="0" w:beforeAutospacing="0" w:after="0" w:afterAutospacing="0"/>
        <w:rPr>
          <w:b/>
          <w:bCs/>
          <w:sz w:val="20"/>
          <w:szCs w:val="20"/>
        </w:rPr>
      </w:pPr>
      <w:r>
        <w:rPr>
          <w:b/>
          <w:bCs/>
          <w:sz w:val="20"/>
          <w:szCs w:val="20"/>
        </w:rPr>
        <w:t>PART IV</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b/>
          <w:bCs/>
          <w:sz w:val="20"/>
          <w:szCs w:val="20"/>
        </w:rPr>
      </w:pPr>
      <w:r>
        <w:rPr>
          <w:b/>
          <w:bCs/>
          <w:sz w:val="20"/>
          <w:szCs w:val="20"/>
        </w:rPr>
        <w:t xml:space="preserve">Item </w:t>
      </w:r>
      <w:r>
        <w:rPr>
          <w:b/>
          <w:bCs/>
          <w:sz w:val="20"/>
          <w:szCs w:val="20"/>
        </w:rPr>
        <w:t>15. Exhibits and Financial Statement Schedules</w:t>
      </w:r>
    </w:p>
    <w:p w:rsidR="00000000" w:rsidRDefault="003A673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A6737">
            <w:pPr>
              <w:rPr>
                <w:sz w:val="20"/>
                <w:szCs w:val="20"/>
              </w:rPr>
            </w:pPr>
          </w:p>
        </w:tc>
        <w:tc>
          <w:tcPr>
            <w:tcW w:w="360" w:type="dxa"/>
            <w:hideMark/>
          </w:tcPr>
          <w:p w:rsidR="00000000" w:rsidRDefault="003A6737">
            <w:pPr>
              <w:rPr>
                <w:rFonts w:eastAsia="Times New Roman"/>
                <w:sz w:val="20"/>
                <w:szCs w:val="20"/>
              </w:rPr>
            </w:pPr>
            <w:r>
              <w:rPr>
                <w:rFonts w:eastAsia="Times New Roman"/>
                <w:b/>
                <w:bCs/>
                <w:sz w:val="20"/>
                <w:szCs w:val="20"/>
              </w:rPr>
              <w:t>(a)</w:t>
            </w:r>
          </w:p>
        </w:tc>
        <w:tc>
          <w:tcPr>
            <w:tcW w:w="0" w:type="auto"/>
            <w:hideMark/>
          </w:tcPr>
          <w:p w:rsidR="00000000" w:rsidRDefault="003A6737">
            <w:pPr>
              <w:rPr>
                <w:rFonts w:eastAsia="Times New Roman"/>
                <w:sz w:val="20"/>
                <w:szCs w:val="20"/>
              </w:rPr>
            </w:pPr>
            <w:r>
              <w:rPr>
                <w:rFonts w:eastAsia="Times New Roman"/>
                <w:b/>
                <w:bCs/>
                <w:sz w:val="20"/>
                <w:szCs w:val="20"/>
              </w:rPr>
              <w:t>The following documents are filed as part of this Annual Report on Form 10-K:</w:t>
            </w:r>
          </w:p>
        </w:tc>
      </w:tr>
    </w:tbl>
    <w:p w:rsidR="00000000" w:rsidRDefault="003A6737">
      <w:pPr>
        <w:pStyle w:val="a3"/>
        <w:spacing w:before="0" w:beforeAutospacing="0" w:after="0" w:afterAutospacing="0"/>
        <w:ind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3A6737">
            <w:pPr>
              <w:rPr>
                <w:sz w:val="20"/>
                <w:szCs w:val="20"/>
              </w:rPr>
            </w:pPr>
          </w:p>
        </w:tc>
        <w:tc>
          <w:tcPr>
            <w:tcW w:w="720" w:type="dxa"/>
            <w:hideMark/>
          </w:tcPr>
          <w:p w:rsidR="00000000" w:rsidRDefault="003A6737">
            <w:pPr>
              <w:rPr>
                <w:rFonts w:eastAsia="Times New Roman"/>
                <w:sz w:val="20"/>
                <w:szCs w:val="20"/>
              </w:rPr>
            </w:pPr>
            <w:r>
              <w:rPr>
                <w:rFonts w:eastAsia="Times New Roman"/>
                <w:sz w:val="20"/>
                <w:szCs w:val="20"/>
              </w:rPr>
              <w:t>(1)</w:t>
            </w:r>
          </w:p>
        </w:tc>
        <w:tc>
          <w:tcPr>
            <w:tcW w:w="0" w:type="auto"/>
            <w:hideMark/>
          </w:tcPr>
          <w:p w:rsidR="00000000" w:rsidRDefault="003A6737">
            <w:pPr>
              <w:rPr>
                <w:rFonts w:eastAsia="Times New Roman"/>
                <w:sz w:val="20"/>
                <w:szCs w:val="20"/>
              </w:rPr>
            </w:pPr>
            <w:r>
              <w:rPr>
                <w:rFonts w:eastAsia="Times New Roman"/>
                <w:sz w:val="20"/>
                <w:szCs w:val="20"/>
              </w:rPr>
              <w:t>Financial Statements</w:t>
            </w:r>
          </w:p>
        </w:tc>
      </w:tr>
    </w:tbl>
    <w:p w:rsidR="00000000" w:rsidRDefault="003A6737">
      <w:pPr>
        <w:pStyle w:val="a3"/>
        <w:spacing w:before="0" w:beforeAutospacing="0" w:after="0" w:afterAutospacing="0"/>
        <w:ind w:left="144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40"/>
        <w:gridCol w:w="720"/>
        <w:gridCol w:w="6146"/>
      </w:tblGrid>
      <w:tr w:rsidR="00000000">
        <w:trPr>
          <w:tblCellSpacing w:w="0" w:type="dxa"/>
        </w:trPr>
        <w:tc>
          <w:tcPr>
            <w:tcW w:w="1440" w:type="dxa"/>
            <w:hideMark/>
          </w:tcPr>
          <w:p w:rsidR="00000000" w:rsidRDefault="003A6737">
            <w:pPr>
              <w:rPr>
                <w:sz w:val="20"/>
                <w:szCs w:val="20"/>
              </w:rPr>
            </w:pPr>
          </w:p>
        </w:tc>
        <w:tc>
          <w:tcPr>
            <w:tcW w:w="720" w:type="dxa"/>
            <w:hideMark/>
          </w:tcPr>
          <w:p w:rsidR="00000000" w:rsidRDefault="003A6737">
            <w:pPr>
              <w:rPr>
                <w:rFonts w:eastAsia="Times New Roman"/>
                <w:sz w:val="20"/>
                <w:szCs w:val="20"/>
              </w:rPr>
            </w:pPr>
            <w:r>
              <w:rPr>
                <w:rFonts w:eastAsia="Times New Roman"/>
                <w:sz w:val="20"/>
                <w:szCs w:val="20"/>
              </w:rPr>
              <w:t>(i)</w:t>
            </w:r>
          </w:p>
        </w:tc>
        <w:tc>
          <w:tcPr>
            <w:tcW w:w="0" w:type="auto"/>
            <w:hideMark/>
          </w:tcPr>
          <w:p w:rsidR="00000000" w:rsidRDefault="003A6737">
            <w:pPr>
              <w:rPr>
                <w:rFonts w:eastAsia="Times New Roman"/>
                <w:sz w:val="20"/>
                <w:szCs w:val="20"/>
              </w:rPr>
            </w:pPr>
            <w:r>
              <w:rPr>
                <w:rFonts w:eastAsia="Times New Roman"/>
                <w:sz w:val="20"/>
                <w:szCs w:val="20"/>
              </w:rPr>
              <w:t xml:space="preserve">Consolidated </w:t>
            </w:r>
            <w:r>
              <w:rPr>
                <w:rFonts w:eastAsia="Times New Roman"/>
                <w:sz w:val="20"/>
                <w:szCs w:val="20"/>
              </w:rPr>
              <w:t>Balance Sheets as of December 31, 2022 and 2021</w:t>
            </w:r>
          </w:p>
        </w:tc>
      </w:tr>
      <w:tr w:rsidR="00000000">
        <w:trPr>
          <w:tblCellSpacing w:w="0" w:type="dxa"/>
        </w:trPr>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(ii)</w:t>
            </w:r>
          </w:p>
        </w:tc>
        <w:tc>
          <w:tcPr>
            <w:tcW w:w="0" w:type="auto"/>
            <w:hideMark/>
          </w:tcPr>
          <w:p w:rsidR="00000000" w:rsidRDefault="003A6737">
            <w:pPr>
              <w:rPr>
                <w:rFonts w:eastAsia="Times New Roman"/>
                <w:sz w:val="20"/>
                <w:szCs w:val="20"/>
              </w:rPr>
            </w:pPr>
            <w:r>
              <w:rPr>
                <w:rFonts w:eastAsia="Times New Roman"/>
                <w:sz w:val="20"/>
                <w:szCs w:val="20"/>
              </w:rPr>
              <w:t>Consolidated Statements of Operations for the years ended December 31, 2022 and 2021</w:t>
            </w:r>
          </w:p>
        </w:tc>
      </w:tr>
      <w:tr w:rsidR="00000000">
        <w:trPr>
          <w:tblCellSpacing w:w="0" w:type="dxa"/>
        </w:trPr>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(iii)</w:t>
            </w:r>
          </w:p>
        </w:tc>
        <w:tc>
          <w:tcPr>
            <w:tcW w:w="0" w:type="auto"/>
            <w:hideMark/>
          </w:tcPr>
          <w:p w:rsidR="00000000" w:rsidRDefault="003A6737">
            <w:pPr>
              <w:rPr>
                <w:rFonts w:eastAsia="Times New Roman"/>
                <w:sz w:val="20"/>
                <w:szCs w:val="20"/>
              </w:rPr>
            </w:pPr>
            <w:r>
              <w:rPr>
                <w:rFonts w:eastAsia="Times New Roman"/>
                <w:sz w:val="20"/>
                <w:szCs w:val="20"/>
              </w:rPr>
              <w:t xml:space="preserve">Consolidated </w:t>
            </w:r>
            <w:r>
              <w:rPr>
                <w:rFonts w:eastAsia="Times New Roman"/>
                <w:sz w:val="20"/>
                <w:szCs w:val="20"/>
              </w:rPr>
              <w:t>Statements of Comprehensive Income for the years ended December 31, 2022 and 2021</w:t>
            </w:r>
          </w:p>
        </w:tc>
      </w:tr>
      <w:tr w:rsidR="00000000">
        <w:trPr>
          <w:tblCellSpacing w:w="0" w:type="dxa"/>
        </w:trPr>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(iv)</w:t>
            </w:r>
          </w:p>
        </w:tc>
        <w:tc>
          <w:tcPr>
            <w:tcW w:w="0" w:type="auto"/>
            <w:hideMark/>
          </w:tcPr>
          <w:p w:rsidR="00000000" w:rsidRDefault="003A6737">
            <w:pPr>
              <w:rPr>
                <w:rFonts w:eastAsia="Times New Roman"/>
                <w:sz w:val="20"/>
                <w:szCs w:val="20"/>
              </w:rPr>
            </w:pPr>
            <w:r>
              <w:rPr>
                <w:rFonts w:eastAsia="Times New Roman"/>
                <w:sz w:val="20"/>
                <w:szCs w:val="20"/>
              </w:rPr>
              <w:t>Consolidated Statements of Shareholders’ Equity for the years ended December 31, 2022 and 2021</w:t>
            </w:r>
          </w:p>
        </w:tc>
      </w:tr>
      <w:tr w:rsidR="00000000">
        <w:trPr>
          <w:tblCellSpacing w:w="0" w:type="dxa"/>
        </w:trPr>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(v)</w:t>
            </w:r>
          </w:p>
        </w:tc>
        <w:tc>
          <w:tcPr>
            <w:tcW w:w="0" w:type="auto"/>
            <w:hideMark/>
          </w:tcPr>
          <w:p w:rsidR="00000000" w:rsidRDefault="003A6737">
            <w:pPr>
              <w:rPr>
                <w:rFonts w:eastAsia="Times New Roman"/>
                <w:sz w:val="20"/>
                <w:szCs w:val="20"/>
              </w:rPr>
            </w:pPr>
            <w:r>
              <w:rPr>
                <w:rFonts w:eastAsia="Times New Roman"/>
                <w:sz w:val="20"/>
                <w:szCs w:val="20"/>
              </w:rPr>
              <w:t>Consolidated Statements of Cash Flows for the years ended Decemb</w:t>
            </w:r>
            <w:r>
              <w:rPr>
                <w:rFonts w:eastAsia="Times New Roman"/>
                <w:sz w:val="20"/>
                <w:szCs w:val="20"/>
              </w:rPr>
              <w:t>er 31, 2022 and 2021</w:t>
            </w:r>
          </w:p>
        </w:tc>
      </w:tr>
      <w:tr w:rsidR="00000000">
        <w:trPr>
          <w:tblCellSpacing w:w="0" w:type="dxa"/>
        </w:trPr>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(vi)</w:t>
            </w:r>
          </w:p>
        </w:tc>
        <w:tc>
          <w:tcPr>
            <w:tcW w:w="0" w:type="auto"/>
            <w:hideMark/>
          </w:tcPr>
          <w:p w:rsidR="00000000" w:rsidRDefault="003A6737">
            <w:pPr>
              <w:rPr>
                <w:rFonts w:eastAsia="Times New Roman"/>
                <w:sz w:val="20"/>
                <w:szCs w:val="20"/>
              </w:rPr>
            </w:pPr>
            <w:r>
              <w:rPr>
                <w:rFonts w:eastAsia="Times New Roman"/>
                <w:sz w:val="20"/>
                <w:szCs w:val="20"/>
              </w:rPr>
              <w:t>Notes to Consolidated Financial Statements</w:t>
            </w:r>
          </w:p>
        </w:tc>
      </w:tr>
    </w:tbl>
    <w:p w:rsidR="00000000" w:rsidRDefault="003A673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3A6737">
            <w:pPr>
              <w:rPr>
                <w:sz w:val="20"/>
                <w:szCs w:val="20"/>
              </w:rPr>
            </w:pPr>
          </w:p>
        </w:tc>
        <w:tc>
          <w:tcPr>
            <w:tcW w:w="720" w:type="dxa"/>
            <w:hideMark/>
          </w:tcPr>
          <w:p w:rsidR="00000000" w:rsidRDefault="003A6737">
            <w:pPr>
              <w:rPr>
                <w:rFonts w:eastAsia="Times New Roman"/>
                <w:sz w:val="20"/>
                <w:szCs w:val="20"/>
              </w:rPr>
            </w:pPr>
            <w:r>
              <w:rPr>
                <w:rFonts w:eastAsia="Times New Roman"/>
                <w:sz w:val="20"/>
                <w:szCs w:val="20"/>
              </w:rPr>
              <w:t>(2)</w:t>
            </w:r>
          </w:p>
        </w:tc>
        <w:tc>
          <w:tcPr>
            <w:tcW w:w="0" w:type="auto"/>
            <w:hideMark/>
          </w:tcPr>
          <w:p w:rsidR="00000000" w:rsidRDefault="003A6737">
            <w:pPr>
              <w:rPr>
                <w:rFonts w:eastAsia="Times New Roman"/>
                <w:sz w:val="20"/>
                <w:szCs w:val="20"/>
              </w:rPr>
            </w:pPr>
            <w:r>
              <w:rPr>
                <w:rFonts w:eastAsia="Times New Roman"/>
                <w:sz w:val="20"/>
                <w:szCs w:val="20"/>
              </w:rPr>
              <w:t>Financial Statement Schedules</w:t>
            </w:r>
          </w:p>
        </w:tc>
      </w:tr>
    </w:tbl>
    <w:p w:rsidR="00000000" w:rsidRDefault="003A6737">
      <w:pPr>
        <w:pStyle w:val="a3"/>
        <w:spacing w:before="0" w:beforeAutospacing="0" w:after="0" w:afterAutospacing="0"/>
        <w:ind w:left="1440"/>
        <w:rPr>
          <w:sz w:val="20"/>
          <w:szCs w:val="20"/>
        </w:rPr>
      </w:pPr>
      <w:r>
        <w:rPr>
          <w:sz w:val="20"/>
          <w:szCs w:val="20"/>
        </w:rPr>
        <w:t> </w:t>
      </w:r>
    </w:p>
    <w:p w:rsidR="00000000" w:rsidRDefault="003A6737">
      <w:pPr>
        <w:pStyle w:val="a3"/>
        <w:spacing w:before="0" w:beforeAutospacing="0" w:after="0" w:afterAutospacing="0"/>
        <w:ind w:left="1440"/>
        <w:jc w:val="both"/>
        <w:rPr>
          <w:sz w:val="20"/>
          <w:szCs w:val="20"/>
        </w:rPr>
      </w:pPr>
      <w:r>
        <w:rPr>
          <w:sz w:val="20"/>
          <w:szCs w:val="20"/>
        </w:rPr>
        <w:t xml:space="preserve">There </w:t>
      </w:r>
      <w:r>
        <w:rPr>
          <w:sz w:val="20"/>
          <w:szCs w:val="20"/>
        </w:rPr>
        <w:t>are no Financial Statement Schedules filed as part of this Annual Report on Form 10-K, as the required information is not applicable or is included in the Notes to Consolidated Financial Statements.</w:t>
      </w:r>
    </w:p>
    <w:p w:rsidR="00000000" w:rsidRDefault="003A6737">
      <w:pPr>
        <w:pStyle w:val="a3"/>
        <w:spacing w:before="0" w:beforeAutospacing="0" w:after="0" w:afterAutospacing="0"/>
        <w:ind w:left="144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A6737">
            <w:pPr>
              <w:rPr>
                <w:sz w:val="20"/>
                <w:szCs w:val="20"/>
              </w:rPr>
            </w:pPr>
          </w:p>
        </w:tc>
        <w:tc>
          <w:tcPr>
            <w:tcW w:w="360" w:type="dxa"/>
            <w:hideMark/>
          </w:tcPr>
          <w:p w:rsidR="00000000" w:rsidRDefault="003A6737">
            <w:pPr>
              <w:rPr>
                <w:rFonts w:eastAsia="Times New Roman"/>
                <w:sz w:val="20"/>
                <w:szCs w:val="20"/>
              </w:rPr>
            </w:pPr>
            <w:r>
              <w:rPr>
                <w:rFonts w:eastAsia="Times New Roman"/>
                <w:b/>
                <w:bCs/>
                <w:sz w:val="20"/>
                <w:szCs w:val="20"/>
              </w:rPr>
              <w:t>(b)</w:t>
            </w:r>
          </w:p>
        </w:tc>
        <w:tc>
          <w:tcPr>
            <w:tcW w:w="0" w:type="auto"/>
            <w:hideMark/>
          </w:tcPr>
          <w:p w:rsidR="00000000" w:rsidRDefault="003A6737">
            <w:pPr>
              <w:rPr>
                <w:rFonts w:eastAsia="Times New Roman"/>
                <w:sz w:val="20"/>
                <w:szCs w:val="20"/>
              </w:rPr>
            </w:pPr>
            <w:r>
              <w:rPr>
                <w:rFonts w:eastAsia="Times New Roman"/>
                <w:b/>
                <w:bCs/>
                <w:sz w:val="20"/>
                <w:szCs w:val="20"/>
              </w:rPr>
              <w:t>Exhibit Index:</w:t>
            </w:r>
          </w:p>
        </w:tc>
      </w:tr>
    </w:tbl>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tcBorders>
              <w:bottom w:val="single" w:sz="12" w:space="0" w:color="000000"/>
            </w:tcBorders>
            <w:hideMark/>
          </w:tcPr>
          <w:p w:rsidR="00000000" w:rsidRDefault="003A6737">
            <w:pPr>
              <w:pStyle w:val="a3"/>
              <w:spacing w:before="0" w:beforeAutospacing="0" w:after="0" w:afterAutospacing="0"/>
              <w:rPr>
                <w:sz w:val="20"/>
                <w:szCs w:val="20"/>
              </w:rPr>
            </w:pPr>
            <w:r>
              <w:rPr>
                <w:b/>
                <w:bCs/>
                <w:sz w:val="20"/>
                <w:szCs w:val="20"/>
              </w:rPr>
              <w:t>Exhibit</w:t>
            </w:r>
          </w:p>
          <w:p w:rsidR="00000000" w:rsidRDefault="003A6737">
            <w:pPr>
              <w:pStyle w:val="a3"/>
              <w:spacing w:before="0" w:beforeAutospacing="0" w:after="0" w:afterAutospacing="0"/>
              <w:rPr>
                <w:sz w:val="20"/>
                <w:szCs w:val="20"/>
              </w:rPr>
            </w:pPr>
            <w:r>
              <w:rPr>
                <w:b/>
                <w:bCs/>
                <w:sz w:val="20"/>
                <w:szCs w:val="20"/>
              </w:rPr>
              <w:t>Number</w:t>
            </w:r>
          </w:p>
        </w:tc>
        <w:tc>
          <w:tcPr>
            <w:tcW w:w="144" w:type="dxa"/>
            <w:tcMar>
              <w:top w:w="0" w:type="dxa"/>
              <w:left w:w="0" w:type="dxa"/>
              <w:bottom w:w="30" w:type="dxa"/>
              <w:right w:w="0" w:type="dxa"/>
            </w:tcMar>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A6737">
            <w:pPr>
              <w:jc w:val="center"/>
              <w:rPr>
                <w:rFonts w:eastAsia="Times New Roman"/>
                <w:sz w:val="20"/>
                <w:szCs w:val="20"/>
              </w:rPr>
            </w:pPr>
            <w:r>
              <w:rPr>
                <w:rFonts w:eastAsia="Times New Roman"/>
                <w:b/>
                <w:bCs/>
                <w:sz w:val="20"/>
                <w:szCs w:val="20"/>
              </w:rPr>
              <w:t>Description</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2.1</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9" w:history="1">
              <w:r>
                <w:rPr>
                  <w:rStyle w:val="a4"/>
                  <w:rFonts w:eastAsia="Times New Roman"/>
                  <w:sz w:val="20"/>
                  <w:szCs w:val="20"/>
                </w:rPr>
                <w:t>Assignment Agreement dated October 3, 2016, by and between the Company, The Prudential Insurance Company of America, and Prudential Retirement Insurance and Annuity Company (filed as Exhibit 10.1 to the Company’s Form 8-K filed on October 5, 2016, and inco</w:t>
              </w:r>
              <w:r>
                <w:rPr>
                  <w:rStyle w:val="a4"/>
                  <w:rFonts w:eastAsia="Times New Roman"/>
                  <w:sz w:val="20"/>
                  <w:szCs w:val="20"/>
                </w:rPr>
                <w:t>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2.2</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10" w:history="1">
              <w:r>
                <w:rPr>
                  <w:rStyle w:val="a4"/>
                  <w:rFonts w:eastAsia="Times New Roman"/>
                  <w:sz w:val="20"/>
                  <w:szCs w:val="20"/>
                </w:rPr>
                <w:t>Strict Foreclosure Agreement dated October 3, 2016, by and between MTBC Acquisition, Corp., MediGain, LLC and Millenn</w:t>
              </w:r>
              <w:r>
                <w:rPr>
                  <w:rStyle w:val="a4"/>
                  <w:rFonts w:eastAsia="Times New Roman"/>
                  <w:sz w:val="20"/>
                  <w:szCs w:val="20"/>
                </w:rPr>
                <w:t>ium Practice Management Associates, LLC (filed as Exhibit 10.2 to the Company’s Form 8-K filed on October 5, 2016,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2.3</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11" w:history="1">
              <w:r>
                <w:rPr>
                  <w:rStyle w:val="a4"/>
                  <w:rFonts w:eastAsia="Times New Roman"/>
                  <w:sz w:val="20"/>
                  <w:szCs w:val="20"/>
                </w:rPr>
                <w:t xml:space="preserve">Transition Services Agreement dated October 3, 2016, by and between MTBC Acquisition, Corp., MediGain, LLC and Millennium Practice Management Associates, LLC (filed as Exhibit 10.3 to the Company’s Form 8-K filed on October 5, 2016, and incorporated </w:t>
              </w:r>
              <w:r>
                <w:rPr>
                  <w:rStyle w:val="a4"/>
                  <w:rFonts w:eastAsia="Times New Roman"/>
                  <w:sz w:val="20"/>
                  <w:szCs w:val="20"/>
                </w:rPr>
                <w:t>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2.4</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12" w:history="1">
              <w:r>
                <w:rPr>
                  <w:rStyle w:val="a4"/>
                  <w:rFonts w:eastAsia="Times New Roman"/>
                  <w:sz w:val="20"/>
                  <w:szCs w:val="20"/>
                </w:rPr>
                <w:t>First Amendment to Assignment Agreement dated January 3, 2017, by and between the Company, The Prudential Insurance Company of America, and Prudential Retirement Insurance and Annuity Company (filed as Exhibit 2.1 to the Company’s Form 8-K filed on January</w:t>
              </w:r>
              <w:r>
                <w:rPr>
                  <w:rStyle w:val="a4"/>
                  <w:rFonts w:eastAsia="Times New Roman"/>
                  <w:sz w:val="20"/>
                  <w:szCs w:val="20"/>
                </w:rPr>
                <w:t xml:space="preserve"> 6, 2017,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2.5</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13" w:history="1">
              <w:r>
                <w:rPr>
                  <w:rStyle w:val="a4"/>
                  <w:rFonts w:eastAsia="Times New Roman"/>
                  <w:sz w:val="20"/>
                  <w:szCs w:val="20"/>
                </w:rPr>
                <w:t>Second Amendment to Assignment Agreement dated January 23, 2017, by and between the Company, The Pru</w:t>
              </w:r>
              <w:r>
                <w:rPr>
                  <w:rStyle w:val="a4"/>
                  <w:rFonts w:eastAsia="Times New Roman"/>
                  <w:sz w:val="20"/>
                  <w:szCs w:val="20"/>
                </w:rPr>
                <w:t>dential Insurance Company of America, and Prudential Retirement Insurance and Annuity Company (filed as Exhibit 2.1 to the Company’s Form 8-K filed on January 24, 2017,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2.6</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14" w:history="1">
              <w:r>
                <w:rPr>
                  <w:rStyle w:val="a4"/>
                  <w:rFonts w:eastAsia="Times New Roman"/>
                  <w:sz w:val="20"/>
                  <w:szCs w:val="20"/>
                </w:rPr>
                <w:t>Asset Purchase Agreement dated June 25, 2018, by and between MTBC, and Orion Healthcorp, Inc. (filed as Exhibit 10.1 to the Company’s Form 8-K filed on July 2, 2018, and incorporated herein by ref</w:t>
              </w:r>
              <w:r>
                <w:rPr>
                  <w:rStyle w:val="a4"/>
                  <w:rFonts w:eastAsia="Times New Roman"/>
                  <w:sz w:val="20"/>
                  <w:szCs w:val="20"/>
                </w:rPr>
                <w:t>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2.7</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15" w:history="1">
              <w:r>
                <w:rPr>
                  <w:rStyle w:val="a4"/>
                  <w:rFonts w:eastAsia="Times New Roman"/>
                  <w:sz w:val="20"/>
                  <w:szCs w:val="20"/>
                </w:rPr>
                <w:t>Transition Services Agreement dated June 25, 2018, by and between MTBC, and Orion Healthcorp, Inc. (filed as Exhibit 2.29 to the Company’s Form S-1 filed on September 25, 2018,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2.8</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16" w:history="1">
              <w:r>
                <w:rPr>
                  <w:rStyle w:val="a4"/>
                  <w:rFonts w:eastAsia="Times New Roman"/>
                  <w:sz w:val="20"/>
                  <w:szCs w:val="20"/>
                </w:rPr>
                <w:t xml:space="preserve">Asset Purchase Agreement dated March 27, 2019, by and between MTBC-Med, Inc., and Etransmedia Technology, Inc., et. al. (filed as Exhibit 10.1 to the Company’s Form 8-K filed on March 28, </w:t>
              </w:r>
              <w:r>
                <w:rPr>
                  <w:rStyle w:val="a4"/>
                  <w:rFonts w:eastAsia="Times New Roman"/>
                  <w:sz w:val="20"/>
                  <w:szCs w:val="20"/>
                </w:rPr>
                <w:t>2019, and incorporated herein by reference).</w:t>
              </w:r>
            </w:hyperlink>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58640754"/>
        </w:trPr>
        <w:tc>
          <w:tcPr>
            <w:tcW w:w="5000" w:type="pct"/>
            <w:hideMark/>
          </w:tcPr>
          <w:p w:rsidR="00000000" w:rsidRDefault="003A6737">
            <w:pPr>
              <w:jc w:val="center"/>
              <w:rPr>
                <w:rFonts w:eastAsia="Times New Roman"/>
                <w:sz w:val="20"/>
                <w:szCs w:val="20"/>
              </w:rPr>
            </w:pPr>
            <w:r>
              <w:rPr>
                <w:rFonts w:eastAsia="Times New Roman"/>
                <w:sz w:val="20"/>
                <w:szCs w:val="20"/>
              </w:rPr>
              <w:t>5</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hideMark/>
          </w:tcPr>
          <w:p w:rsidR="00000000" w:rsidRDefault="003A6737">
            <w:pPr>
              <w:rPr>
                <w:rFonts w:eastAsia="Times New Roman"/>
                <w:sz w:val="20"/>
                <w:szCs w:val="20"/>
              </w:rPr>
            </w:pPr>
            <w:r>
              <w:rPr>
                <w:rFonts w:eastAsia="Times New Roman"/>
                <w:sz w:val="20"/>
                <w:szCs w:val="20"/>
              </w:rPr>
              <w:t>2.9</w:t>
            </w:r>
          </w:p>
        </w:tc>
        <w:tc>
          <w:tcPr>
            <w:tcW w:w="144" w:type="dxa"/>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17" w:history="1">
              <w:r>
                <w:rPr>
                  <w:rStyle w:val="a4"/>
                  <w:rFonts w:eastAsia="Times New Roman"/>
                  <w:sz w:val="20"/>
                  <w:szCs w:val="20"/>
                </w:rPr>
                <w:t>Amended and Restated Asset Purchase Agreement dated April 3, 2019, by and between MTBC-Med, Inc., and Etransmedia Technology, Inc., et. al. (filed as Exhibit 10.1 to the Company’s Form 8-K filed on April 4, 2019,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2.10</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18" w:history="1">
              <w:r>
                <w:rPr>
                  <w:rStyle w:val="a4"/>
                  <w:rFonts w:eastAsia="Times New Roman"/>
                  <w:sz w:val="20"/>
                  <w:szCs w:val="20"/>
                </w:rPr>
                <w:t>Agreement and Plan of Merger by and among MTBC, Inc., MTBC Merger Sub, Inc., CareCloud Corporation and Runway Growth Credit Fund Inc., as the Seller’s r</w:t>
              </w:r>
              <w:r>
                <w:rPr>
                  <w:rStyle w:val="a4"/>
                  <w:rFonts w:eastAsia="Times New Roman"/>
                  <w:sz w:val="20"/>
                  <w:szCs w:val="20"/>
                </w:rPr>
                <w:t>epresentative dated January 8, 2020 (filed as Exhibit 2.1 to the Company’s Form 8-K filed on January 8, 2020,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2.11</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19" w:history="1">
              <w:r>
                <w:rPr>
                  <w:rStyle w:val="a4"/>
                  <w:rFonts w:eastAsia="Times New Roman"/>
                  <w:sz w:val="20"/>
                  <w:szCs w:val="20"/>
                </w:rPr>
                <w:t>Escrow Agreement dated January 8, 2020 by and among MTBC, Inc., Runway Growth Credit Fund., Inc. and TD Bank (filed as Exhibit 10.17 to the Company’s Form 10-K filed on February 28, 2020,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2.12</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20" w:history="1">
              <w:r>
                <w:rPr>
                  <w:rStyle w:val="a4"/>
                  <w:rFonts w:eastAsia="Times New Roman"/>
                  <w:sz w:val="20"/>
                  <w:szCs w:val="20"/>
                </w:rPr>
                <w:t>Stock Purchase Agreement dated June 16, 2020 by and among MTBC, Inc., Origin Holdings, Inc., Meridian Billing Management Co., Origin Holdings, Inc., and GMM II Hol</w:t>
              </w:r>
              <w:r>
                <w:rPr>
                  <w:rStyle w:val="a4"/>
                  <w:rFonts w:eastAsia="Times New Roman"/>
                  <w:sz w:val="20"/>
                  <w:szCs w:val="20"/>
                </w:rPr>
                <w:t>dings, LLC, (filed as Exhibit 2.1 to the Company’s Form 8-K on June 17, 2020,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2.13</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21" w:history="1">
              <w:r>
                <w:rPr>
                  <w:rStyle w:val="a4"/>
                  <w:rFonts w:eastAsia="Times New Roman"/>
                  <w:sz w:val="20"/>
                  <w:szCs w:val="20"/>
                </w:rPr>
                <w:t>Asset and Stock Purchase Agreem</w:t>
              </w:r>
              <w:r>
                <w:rPr>
                  <w:rStyle w:val="a4"/>
                  <w:rFonts w:eastAsia="Times New Roman"/>
                  <w:sz w:val="20"/>
                  <w:szCs w:val="20"/>
                </w:rPr>
                <w:t>ent by and among CareCloud Acquisition. Corp., MedMatica Consulting Associates, Inc., and Jerold Howell dated June 1, 2021 (filed as Exhibit 2.1 to the Company’s Form 8-K filed on June 2, 2021,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2.14</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22" w:history="1">
              <w:r>
                <w:rPr>
                  <w:rStyle w:val="a4"/>
                  <w:rFonts w:eastAsia="Times New Roman"/>
                  <w:sz w:val="20"/>
                  <w:szCs w:val="20"/>
                </w:rPr>
                <w:t>Non-Competition and Non-Solicitation Agreement by and among Santa Rosa Consulting, Inc., SureTest Holdings, LLC, Laura O’Toole, Mark Scruggs, Raleigh Brewer, Thomas Watfor</w:t>
              </w:r>
              <w:r>
                <w:rPr>
                  <w:rStyle w:val="a4"/>
                  <w:rFonts w:eastAsia="Times New Roman"/>
                  <w:sz w:val="20"/>
                  <w:szCs w:val="20"/>
                </w:rPr>
                <w:t>d, and CareCloud Acquisition, Corp., dated June 1, 2021 (filed as Exhibit 2.2 to the Company’s Form 8-K filed on June 2, 2021,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2.15</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23" w:history="1">
              <w:r>
                <w:rPr>
                  <w:rStyle w:val="a4"/>
                  <w:rFonts w:eastAsia="Times New Roman"/>
                  <w:sz w:val="20"/>
                  <w:szCs w:val="20"/>
                </w:rPr>
                <w:t>Transition Services Agreement by and among CareCloud Acquisition, Corp., MedMatica Consulting Associates, Inc., and Jerold Howell, dated June 1, 2021 (filed as Exh</w:t>
              </w:r>
              <w:r>
                <w:rPr>
                  <w:rStyle w:val="a4"/>
                  <w:rFonts w:eastAsia="Times New Roman"/>
                  <w:sz w:val="20"/>
                  <w:szCs w:val="20"/>
                </w:rPr>
                <w:t>ibit 2.3 to the Company’s Form 8-K filed on June 2, 2021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3.1</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24" w:history="1">
              <w:r>
                <w:rPr>
                  <w:rStyle w:val="a4"/>
                  <w:rFonts w:eastAsia="Times New Roman"/>
                  <w:sz w:val="20"/>
                  <w:szCs w:val="20"/>
                </w:rPr>
                <w:t xml:space="preserve">Amended and Restated Certificate of Incorporation of </w:t>
              </w:r>
              <w:r>
                <w:rPr>
                  <w:rStyle w:val="a4"/>
                  <w:rFonts w:eastAsia="Times New Roman"/>
                  <w:sz w:val="20"/>
                  <w:szCs w:val="20"/>
                </w:rPr>
                <w:t>the Company dated April 4, 2014 (filed as Exhibit 3.1 to the Company’s Form S-1 filed on September 25, 2018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3.2</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pStyle w:val="a3"/>
              <w:spacing w:before="0" w:beforeAutospacing="0" w:after="0" w:afterAutospacing="0"/>
              <w:jc w:val="both"/>
              <w:rPr>
                <w:sz w:val="20"/>
                <w:szCs w:val="20"/>
              </w:rPr>
            </w:pPr>
            <w:hyperlink r:id="rId25" w:history="1">
              <w:r>
                <w:rPr>
                  <w:rStyle w:val="a4"/>
                  <w:sz w:val="20"/>
                  <w:szCs w:val="20"/>
                </w:rPr>
                <w:t>Certificate of Amendment of Certificate of Incorporation of the Company dated June 28, 2016 (filed as Exhibit 3.2 to the Company’s Form S-1 filed on September 25, 2018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3.3</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26" w:history="1">
              <w:r>
                <w:rPr>
                  <w:rStyle w:val="a4"/>
                  <w:rFonts w:eastAsia="Times New Roman"/>
                  <w:sz w:val="20"/>
                  <w:szCs w:val="20"/>
                </w:rPr>
                <w:t>Certificate of Amendment of Amended and Restated Certificate of Incorporation of the Company dated June 18, 2018 (filed as Exhibit 3.6 to the Company’s Form S-1 fi</w:t>
              </w:r>
              <w:r>
                <w:rPr>
                  <w:rStyle w:val="a4"/>
                  <w:rFonts w:eastAsia="Times New Roman"/>
                  <w:sz w:val="20"/>
                  <w:szCs w:val="20"/>
                </w:rPr>
                <w:t>led on September 25, 2018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3.4</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pStyle w:val="a3"/>
              <w:spacing w:before="0" w:beforeAutospacing="0" w:after="0" w:afterAutospacing="0"/>
              <w:jc w:val="both"/>
              <w:rPr>
                <w:sz w:val="20"/>
                <w:szCs w:val="20"/>
              </w:rPr>
            </w:pPr>
            <w:hyperlink r:id="rId27" w:history="1">
              <w:r>
                <w:rPr>
                  <w:rStyle w:val="a4"/>
                  <w:sz w:val="20"/>
                  <w:szCs w:val="20"/>
                </w:rPr>
                <w:t>Certificate of Amendment of Amended and Restated Certificate of Incorporation of the</w:t>
              </w:r>
              <w:r>
                <w:rPr>
                  <w:rStyle w:val="a4"/>
                  <w:sz w:val="20"/>
                  <w:szCs w:val="20"/>
                </w:rPr>
                <w:t xml:space="preserve"> Company dated February 6, 2019 (filed as Exhibit 3.1 to the Company’s Form 8-K filed on February 7, 2019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3.5</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pStyle w:val="a3"/>
              <w:spacing w:before="0" w:beforeAutospacing="0" w:after="0" w:afterAutospacing="0"/>
              <w:jc w:val="both"/>
              <w:rPr>
                <w:sz w:val="20"/>
                <w:szCs w:val="20"/>
              </w:rPr>
            </w:pPr>
            <w:hyperlink r:id="rId28" w:history="1">
              <w:r>
                <w:rPr>
                  <w:rStyle w:val="a4"/>
                  <w:sz w:val="20"/>
                  <w:szCs w:val="20"/>
                </w:rPr>
                <w:t>Cert</w:t>
              </w:r>
              <w:r>
                <w:rPr>
                  <w:rStyle w:val="a4"/>
                  <w:sz w:val="20"/>
                  <w:szCs w:val="20"/>
                </w:rPr>
                <w:t>ificate of Amendment of Amended and Restated Certificate of Incorporation of the Company dated June 25, 2019 (filed as Exhibit 3.1 to the Company’s Form 8-K filed on June 25, 2019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3.6</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pStyle w:val="a3"/>
              <w:spacing w:before="0" w:beforeAutospacing="0" w:after="0" w:afterAutospacing="0"/>
              <w:jc w:val="both"/>
              <w:rPr>
                <w:sz w:val="20"/>
                <w:szCs w:val="20"/>
              </w:rPr>
            </w:pPr>
            <w:hyperlink r:id="rId29" w:history="1">
              <w:r>
                <w:rPr>
                  <w:rStyle w:val="a4"/>
                  <w:sz w:val="20"/>
                  <w:szCs w:val="20"/>
                </w:rPr>
                <w:t>Certificate of Amendment of Amended and Restated Certificate of Incorporation of the Company dated February 26, 2021 (filed as Exhibit 3.1 to the Company’s Form 8-</w:t>
              </w:r>
              <w:r>
                <w:rPr>
                  <w:rStyle w:val="a4"/>
                  <w:sz w:val="20"/>
                  <w:szCs w:val="20"/>
                </w:rPr>
                <w:t>K filed on March 29, 2021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3.7</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pStyle w:val="a3"/>
              <w:spacing w:before="0" w:beforeAutospacing="0" w:after="0" w:afterAutospacing="0"/>
              <w:jc w:val="both"/>
              <w:rPr>
                <w:sz w:val="20"/>
                <w:szCs w:val="20"/>
              </w:rPr>
            </w:pPr>
            <w:hyperlink r:id="rId30" w:history="1">
              <w:r>
                <w:rPr>
                  <w:rStyle w:val="a4"/>
                  <w:sz w:val="20"/>
                  <w:szCs w:val="20"/>
                </w:rPr>
                <w:t>Certificate of Amendment to Amended and Restated Certificate of Incorporation of the</w:t>
              </w:r>
              <w:r>
                <w:rPr>
                  <w:rStyle w:val="a4"/>
                  <w:sz w:val="20"/>
                  <w:szCs w:val="20"/>
                </w:rPr>
                <w:t xml:space="preserve"> Company dated June 16, 2022 (filed as Exhibit 3.6 to the Company’s Form 8-K/A filed on June 17, 2022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3.8</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31" w:history="1">
              <w:r>
                <w:rPr>
                  <w:rStyle w:val="a4"/>
                  <w:rFonts w:eastAsia="Times New Roman"/>
                  <w:sz w:val="20"/>
                  <w:szCs w:val="20"/>
                </w:rPr>
                <w:t>Certific</w:t>
              </w:r>
              <w:r>
                <w:rPr>
                  <w:rStyle w:val="a4"/>
                  <w:rFonts w:eastAsia="Times New Roman"/>
                  <w:sz w:val="20"/>
                  <w:szCs w:val="20"/>
                </w:rPr>
                <w:t>ate of Correction to Certificate of Amendment to Amended and Restated Certificate of Incorporation (filed as Exhibit 3.1 to the Company’s Form 8-K/A filed June 17, 2022 and incorporated herein by reference).</w:t>
              </w:r>
            </w:hyperlink>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23260175"/>
        </w:trPr>
        <w:tc>
          <w:tcPr>
            <w:tcW w:w="5000" w:type="pct"/>
            <w:hideMark/>
          </w:tcPr>
          <w:p w:rsidR="00000000" w:rsidRDefault="003A6737">
            <w:pPr>
              <w:jc w:val="center"/>
              <w:rPr>
                <w:rFonts w:eastAsia="Times New Roman"/>
                <w:sz w:val="20"/>
                <w:szCs w:val="20"/>
              </w:rPr>
            </w:pPr>
            <w:r>
              <w:rPr>
                <w:rFonts w:eastAsia="Times New Roman"/>
                <w:sz w:val="20"/>
                <w:szCs w:val="20"/>
              </w:rPr>
              <w:t>5</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hideMark/>
          </w:tcPr>
          <w:p w:rsidR="00000000" w:rsidRDefault="003A6737">
            <w:pPr>
              <w:rPr>
                <w:rFonts w:eastAsia="Times New Roman"/>
                <w:sz w:val="20"/>
                <w:szCs w:val="20"/>
              </w:rPr>
            </w:pPr>
            <w:r>
              <w:rPr>
                <w:rFonts w:eastAsia="Times New Roman"/>
                <w:sz w:val="20"/>
                <w:szCs w:val="20"/>
              </w:rPr>
              <w:t>3.9</w:t>
            </w:r>
          </w:p>
        </w:tc>
        <w:tc>
          <w:tcPr>
            <w:tcW w:w="144" w:type="dxa"/>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32" w:history="1">
              <w:r>
                <w:rPr>
                  <w:rStyle w:val="a4"/>
                  <w:rFonts w:eastAsia="Times New Roman"/>
                  <w:sz w:val="20"/>
                  <w:szCs w:val="20"/>
                </w:rPr>
                <w:t xml:space="preserve">Amended and Restated Certificate of Designations, Preferences and Rights of 11% Series A Cumulative Redeemable Perpetual Preferred Stock dated July 6, 2016 (filed </w:t>
              </w:r>
              <w:r>
                <w:rPr>
                  <w:rStyle w:val="a4"/>
                  <w:rFonts w:eastAsia="Times New Roman"/>
                  <w:sz w:val="20"/>
                  <w:szCs w:val="20"/>
                </w:rPr>
                <w:t>as Exhibit 3.3 to the Company’s Form S-1 filed on September 25, 2018,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3.10</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33" w:history="1">
              <w:r>
                <w:rPr>
                  <w:rStyle w:val="a4"/>
                  <w:rFonts w:eastAsia="Times New Roman"/>
                  <w:sz w:val="20"/>
                  <w:szCs w:val="20"/>
                </w:rPr>
                <w:t>First Amendment to Amended and Restated</w:t>
              </w:r>
              <w:r>
                <w:rPr>
                  <w:rStyle w:val="a4"/>
                  <w:rFonts w:eastAsia="Times New Roman"/>
                  <w:sz w:val="20"/>
                  <w:szCs w:val="20"/>
                </w:rPr>
                <w:t xml:space="preserve"> Certificate of Designations, Preferences and Rights of 11% Series A Cumulative Redeemable Perpetual Preferred Stock dated September 15, 2017 (filed as Exhibit 3.4 to the Company’s Form S-1 filed on September 25, 2018, and incorporated herein by reference)</w:t>
              </w:r>
              <w:r>
                <w:rPr>
                  <w:rStyle w:val="a4"/>
                  <w:rFonts w:eastAsia="Times New Roman"/>
                  <w:sz w:val="20"/>
                  <w:szCs w:val="20"/>
                </w:rPr>
                <w:t>.</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3.11</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34" w:history="1">
              <w:r>
                <w:rPr>
                  <w:rStyle w:val="a4"/>
                  <w:rFonts w:eastAsia="Times New Roman"/>
                  <w:sz w:val="20"/>
                  <w:szCs w:val="20"/>
                </w:rPr>
                <w:t>Second Amendment to Amended and Restated Certificate of Designations, Preferences and Rights of 11% Series A Cumulative Redeemable Perpetual Preferred Stock dated March 23, 2018 (filed as Exhibit 3.5 to the Company’s Form S-1 filed on September 25, 2018, a</w:t>
              </w:r>
              <w:r>
                <w:rPr>
                  <w:rStyle w:val="a4"/>
                  <w:rFonts w:eastAsia="Times New Roman"/>
                  <w:sz w:val="20"/>
                  <w:szCs w:val="20"/>
                </w:rPr>
                <w:t>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3.12</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35" w:history="1">
              <w:r>
                <w:rPr>
                  <w:rStyle w:val="a4"/>
                  <w:rFonts w:eastAsia="Times New Roman"/>
                  <w:sz w:val="20"/>
                  <w:szCs w:val="20"/>
                </w:rPr>
                <w:t>Third Amendment to Amended and Restated Certificate of Designations, Preferences and Rights of 11% Series A Cu</w:t>
              </w:r>
              <w:r>
                <w:rPr>
                  <w:rStyle w:val="a4"/>
                  <w:rFonts w:eastAsia="Times New Roman"/>
                  <w:sz w:val="20"/>
                  <w:szCs w:val="20"/>
                </w:rPr>
                <w:t>mulative Redeemable Perpetual Preferred Stock dated September 25, 2018 (filed as Exhibit 3.7 to the Company’s Form S-1 filed on September 25, 2018,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3.13</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36" w:history="1">
              <w:r>
                <w:rPr>
                  <w:rStyle w:val="a4"/>
                  <w:rFonts w:eastAsia="Times New Roman"/>
                  <w:sz w:val="20"/>
                  <w:szCs w:val="20"/>
                </w:rPr>
                <w:t>Fourth Amendment to Amended and Restated Certificate of Designations, Preferences and Rights of 11% Series A Cumulative Redeemable Perpetual Preferred Stock dated January 9, 2020 (filed as Exhibit 3.1 to the Company’s</w:t>
              </w:r>
              <w:r>
                <w:rPr>
                  <w:rStyle w:val="a4"/>
                  <w:rFonts w:eastAsia="Times New Roman"/>
                  <w:sz w:val="20"/>
                  <w:szCs w:val="20"/>
                </w:rPr>
                <w:t xml:space="preserve"> Form 8-K filed on January 28, 2020,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3.14</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37" w:history="1">
              <w:r>
                <w:rPr>
                  <w:rStyle w:val="a4"/>
                  <w:rFonts w:eastAsia="Times New Roman"/>
                  <w:sz w:val="20"/>
                  <w:szCs w:val="20"/>
                </w:rPr>
                <w:t>Fifth Amendment to Amended and Restated Certificate of Designations, Preferences and Rights of 11% Series A Cumulative Redeemable Perpetual Preferred Stock dated May 19, 2020 (filed as Exhibit 3.2 to the Company’s Form 8-K filed on May 21, 2020, and incorp</w:t>
              </w:r>
              <w:r>
                <w:rPr>
                  <w:rStyle w:val="a4"/>
                  <w:rFonts w:eastAsia="Times New Roman"/>
                  <w:sz w:val="20"/>
                  <w:szCs w:val="20"/>
                </w:rPr>
                <w:t>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3.15</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38" w:history="1">
              <w:r>
                <w:rPr>
                  <w:rStyle w:val="a4"/>
                  <w:rFonts w:eastAsia="Times New Roman"/>
                  <w:sz w:val="20"/>
                  <w:szCs w:val="20"/>
                </w:rPr>
                <w:t xml:space="preserve">Sixth Amendment to Amended and Restated Certificate of Designations, Preferences and Rights of 11% Series A Cumulative </w:t>
              </w:r>
              <w:r>
                <w:rPr>
                  <w:rStyle w:val="a4"/>
                  <w:rFonts w:eastAsia="Times New Roman"/>
                  <w:sz w:val="20"/>
                  <w:szCs w:val="20"/>
                </w:rPr>
                <w:t>Redeemable Perpetual Preferred Stock dated July 9, 2020 (filed as Exhibit 3.1 to the Company’s Form 8-K filed on July 9, 2020,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3.16</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39" w:history="1">
              <w:r>
                <w:rPr>
                  <w:rStyle w:val="a4"/>
                  <w:rFonts w:eastAsia="Times New Roman"/>
                  <w:sz w:val="20"/>
                  <w:szCs w:val="20"/>
                </w:rPr>
                <w:t>Seventh Amendment to Amended and Restated Certificate of Designations, Preferences and Rights of 11% Series A Cumulative Redeemable Perpetual Preferred Stock (filed as exhibit 3.1 to the Company’s Form 8-K filed January 31, 2022 and incor</w:t>
              </w:r>
              <w:r>
                <w:rPr>
                  <w:rStyle w:val="a4"/>
                  <w:rFonts w:eastAsia="Times New Roman"/>
                  <w:sz w:val="20"/>
                  <w:szCs w:val="20"/>
                </w:rPr>
                <w:t>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3.17</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40" w:history="1">
              <w:r>
                <w:rPr>
                  <w:rStyle w:val="a4"/>
                  <w:rFonts w:eastAsia="Times New Roman"/>
                  <w:sz w:val="20"/>
                  <w:szCs w:val="20"/>
                </w:rPr>
                <w:t xml:space="preserve">Certificate of Correction to Eighth Amendment to Amended and Restated Certificate of Designations, Preferences and Rights of 11% Series A Cumulative Redeemable Perpetual Preferred Stock (filed as Exhibit 3.2 to the Company’s Form 8-K/A filed June 17, 2022 </w:t>
              </w:r>
              <w:r>
                <w:rPr>
                  <w:rStyle w:val="a4"/>
                  <w:rFonts w:eastAsia="Times New Roman"/>
                  <w:sz w:val="20"/>
                  <w:szCs w:val="20"/>
                </w:rPr>
                <w:t>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3.18</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41" w:history="1">
              <w:r>
                <w:rPr>
                  <w:rStyle w:val="a4"/>
                  <w:rFonts w:eastAsia="Times New Roman"/>
                  <w:sz w:val="20"/>
                  <w:szCs w:val="20"/>
                </w:rPr>
                <w:t xml:space="preserve">Eighth Amendment to Amended and Restated Certificate of Designations, Preferences and Rights of 11% Series A </w:t>
              </w:r>
              <w:r>
                <w:rPr>
                  <w:rStyle w:val="a4"/>
                  <w:rFonts w:eastAsia="Times New Roman"/>
                  <w:sz w:val="20"/>
                  <w:szCs w:val="20"/>
                </w:rPr>
                <w:t>Cumulative Redeemable Perpetual Preferred Stock dated June 15, 2022 (filed as Exhibit 3.4 to the Company’s Form 8-K/A filed June 17, 2022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3.19</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42" w:history="1">
              <w:r>
                <w:rPr>
                  <w:rStyle w:val="a4"/>
                  <w:rFonts w:eastAsia="Times New Roman"/>
                  <w:sz w:val="20"/>
                  <w:szCs w:val="20"/>
                </w:rPr>
                <w:t>Certificate of Designations, Preferences and Rights of 8.75% Series B Cumulative Redeemable Perpetual Preferred Stock (filed as exhibit 3.2 to the Company’s Form 8-K filed January 31, 2022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3.20</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43" w:history="1">
              <w:r>
                <w:rPr>
                  <w:rStyle w:val="a4"/>
                  <w:rFonts w:eastAsia="Times New Roman"/>
                  <w:sz w:val="20"/>
                  <w:szCs w:val="20"/>
                </w:rPr>
                <w:t xml:space="preserve">Certificate of Correction to </w:t>
              </w:r>
              <w:r>
                <w:rPr>
                  <w:rStyle w:val="a4"/>
                  <w:rFonts w:eastAsia="Times New Roman"/>
                  <w:sz w:val="20"/>
                  <w:szCs w:val="20"/>
                </w:rPr>
                <w:t>First Amendment to Certificate of Designations, Preferences and Rights of 8.75% Series B Cumulative Redeemable Perpetual Preferred Stock (filed as Exhibit 3.3 to the Company’s Form 8-K/A filed June 17, 2022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w:t>
            </w:r>
            <w:r>
              <w:rPr>
                <w:rFonts w:eastAsia="Times New Roman"/>
                <w:sz w:val="20"/>
                <w:szCs w:val="20"/>
              </w:rPr>
              <w:t>21</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44" w:history="1">
              <w:r>
                <w:rPr>
                  <w:rStyle w:val="a4"/>
                  <w:rFonts w:eastAsia="Times New Roman"/>
                  <w:sz w:val="20"/>
                  <w:szCs w:val="20"/>
                </w:rPr>
                <w:t>First Amendment to Certificate of Designations, Preferences and Rights of 8.75% Series B Cumulative Redeemable Perpetual Preferred Stock dated June 15, 2022 (</w:t>
              </w:r>
              <w:r>
                <w:rPr>
                  <w:rStyle w:val="a4"/>
                  <w:rFonts w:eastAsia="Times New Roman"/>
                  <w:sz w:val="20"/>
                  <w:szCs w:val="20"/>
                </w:rPr>
                <w:t>filed as Exhibit 3.5 to the Company’s Form 8-K/A filed June 17, 2022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3.22</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45" w:history="1">
              <w:r>
                <w:rPr>
                  <w:rStyle w:val="a4"/>
                  <w:rFonts w:eastAsia="Times New Roman"/>
                  <w:sz w:val="20"/>
                  <w:szCs w:val="20"/>
                </w:rPr>
                <w:t xml:space="preserve">Amended and Restated By-laws of </w:t>
              </w:r>
              <w:r>
                <w:rPr>
                  <w:rStyle w:val="a4"/>
                  <w:rFonts w:eastAsia="Times New Roman"/>
                  <w:sz w:val="20"/>
                  <w:szCs w:val="20"/>
                </w:rPr>
                <w:t>the Company (filed as Exhibit 3.2 to the Company’s Amendment No. 1 to Form S-1 filed on April 7, 2014, and incorporated herein by reference).</w:t>
              </w:r>
            </w:hyperlink>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0947920"/>
        </w:trPr>
        <w:tc>
          <w:tcPr>
            <w:tcW w:w="5000" w:type="pct"/>
            <w:hideMark/>
          </w:tcPr>
          <w:p w:rsidR="00000000" w:rsidRDefault="003A6737">
            <w:pPr>
              <w:jc w:val="center"/>
              <w:rPr>
                <w:rFonts w:eastAsia="Times New Roman"/>
                <w:sz w:val="20"/>
                <w:szCs w:val="20"/>
              </w:rPr>
            </w:pPr>
            <w:r>
              <w:rPr>
                <w:rFonts w:eastAsia="Times New Roman"/>
                <w:sz w:val="20"/>
                <w:szCs w:val="20"/>
              </w:rPr>
              <w:t>5</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hideMark/>
          </w:tcPr>
          <w:p w:rsidR="00000000" w:rsidRDefault="003A6737">
            <w:pPr>
              <w:rPr>
                <w:rFonts w:eastAsia="Times New Roman"/>
                <w:sz w:val="20"/>
                <w:szCs w:val="20"/>
              </w:rPr>
            </w:pPr>
            <w:r>
              <w:rPr>
                <w:rFonts w:eastAsia="Times New Roman"/>
                <w:sz w:val="20"/>
                <w:szCs w:val="20"/>
              </w:rPr>
              <w:t>4.1</w:t>
            </w:r>
          </w:p>
        </w:tc>
        <w:tc>
          <w:tcPr>
            <w:tcW w:w="144" w:type="dxa"/>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46" w:history="1">
              <w:r>
                <w:rPr>
                  <w:rStyle w:val="a4"/>
                  <w:rFonts w:eastAsia="Times New Roman"/>
                  <w:sz w:val="20"/>
                  <w:szCs w:val="20"/>
                </w:rPr>
                <w:t>Form of common stock certificate of the Company (filed as Exhibit 4.1 to Amendment No. 2 to the Company’s Form S-1 filed on May 7, 2014, and incorporated h</w:t>
              </w:r>
              <w:r>
                <w:rPr>
                  <w:rStyle w:val="a4"/>
                  <w:rFonts w:eastAsia="Times New Roman"/>
                  <w:sz w:val="20"/>
                  <w:szCs w:val="20"/>
                </w:rPr>
                <w:t>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4.2</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47" w:history="1">
              <w:r>
                <w:rPr>
                  <w:rStyle w:val="a4"/>
                  <w:rFonts w:eastAsia="Times New Roman"/>
                  <w:sz w:val="20"/>
                  <w:szCs w:val="20"/>
                </w:rPr>
                <w:t>Form of stock certificate of the 11% Series A Cumulative Redeemable Perpetual Preferred Stock (filed as Exhibit 4.2 to A</w:t>
              </w:r>
              <w:r>
                <w:rPr>
                  <w:rStyle w:val="a4"/>
                  <w:rFonts w:eastAsia="Times New Roman"/>
                  <w:sz w:val="20"/>
                  <w:szCs w:val="20"/>
                </w:rPr>
                <w:t>mendment No. 2 to the Company’s Form S-1 on October 19, 2015,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4.3</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48" w:history="1">
              <w:r>
                <w:rPr>
                  <w:rStyle w:val="a4"/>
                  <w:rFonts w:eastAsia="Times New Roman"/>
                  <w:sz w:val="20"/>
                  <w:szCs w:val="20"/>
                </w:rPr>
                <w:t>Form of stock certificate of the 8.75% Series B Cumulative Redeemable Perpetual Preferred Stock (filed as Exhibit 4.3 to the Company’s Form 8-A on January 31, 2022</w:t>
              </w:r>
              <w:r>
                <w:rPr>
                  <w:rStyle w:val="a4"/>
                  <w:rFonts w:eastAsia="Times New Roman"/>
                  <w:sz w:val="20"/>
                  <w:szCs w:val="20"/>
                </w:rPr>
                <w:t xml:space="preserve">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4.4</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49" w:history="1">
              <w:r>
                <w:rPr>
                  <w:rStyle w:val="a4"/>
                  <w:rFonts w:eastAsia="Times New Roman"/>
                  <w:sz w:val="20"/>
                  <w:szCs w:val="20"/>
                </w:rPr>
                <w:t>Warrant to Purchase Stock dated as of October 13, 2017 issued by the Company to Silicon Valley Bank (filed a</w:t>
              </w:r>
              <w:r>
                <w:rPr>
                  <w:rStyle w:val="a4"/>
                  <w:rFonts w:eastAsia="Times New Roman"/>
                  <w:sz w:val="20"/>
                  <w:szCs w:val="20"/>
                </w:rPr>
                <w:t>s Exhibit 10.2 to the Company’s Form 8-K filed on October 16, 2017,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4.5</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50" w:history="1">
              <w:r>
                <w:rPr>
                  <w:rStyle w:val="a4"/>
                  <w:rFonts w:eastAsia="Times New Roman"/>
                  <w:sz w:val="20"/>
                  <w:szCs w:val="20"/>
                </w:rPr>
                <w:t>Warrant to Purchase Stock issued by the C</w:t>
              </w:r>
              <w:r>
                <w:rPr>
                  <w:rStyle w:val="a4"/>
                  <w:rFonts w:eastAsia="Times New Roman"/>
                  <w:sz w:val="20"/>
                  <w:szCs w:val="20"/>
                </w:rPr>
                <w:t>ompany on September 20, 2018 to Silicon Valley Bank (filed as Exhibit 10.2 to the Company’s Form 8-K filed on September 20, 2018,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4.6</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51" w:history="1">
              <w:r>
                <w:rPr>
                  <w:rStyle w:val="a4"/>
                  <w:rFonts w:eastAsia="Times New Roman"/>
                  <w:sz w:val="20"/>
                  <w:szCs w:val="20"/>
                </w:rPr>
                <w:t>Warrant to Purchase Stock issued by the Company on January 8, 2020 to Runway Growth Credit Fund Inc. (filed as Exhibit 4.5 to the Company’s Form 10-K filed on Febr</w:t>
              </w:r>
              <w:r>
                <w:rPr>
                  <w:rStyle w:val="a4"/>
                  <w:rFonts w:eastAsia="Times New Roman"/>
                  <w:sz w:val="20"/>
                  <w:szCs w:val="20"/>
                </w:rPr>
                <w:t>uary 28, 2020,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4.7</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52" w:history="1">
              <w:r>
                <w:rPr>
                  <w:rStyle w:val="a4"/>
                  <w:rFonts w:eastAsia="Times New Roman"/>
                  <w:sz w:val="20"/>
                  <w:szCs w:val="20"/>
                </w:rPr>
                <w:t>Warrant to Purchase Stock issued by the Company on January 8, 2020 to Runway Growth Credit Fund</w:t>
              </w:r>
              <w:r>
                <w:rPr>
                  <w:rStyle w:val="a4"/>
                  <w:rFonts w:eastAsia="Times New Roman"/>
                  <w:sz w:val="20"/>
                  <w:szCs w:val="20"/>
                </w:rPr>
                <w:t xml:space="preserve"> Inc. (filed as Exhibit 4.6 to the Company’s Form 10-K filed on February 28, 2020,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4.8</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53" w:history="1">
              <w:r>
                <w:rPr>
                  <w:rStyle w:val="a4"/>
                  <w:rFonts w:eastAsia="Times New Roman"/>
                  <w:sz w:val="20"/>
                  <w:szCs w:val="20"/>
                </w:rPr>
                <w:t>Form of Warrant to Purchase Stock issued by the Company on June 16, 2020 with respect to the Meridian transaction (filed as Exhibit 4.7 to the Company’s Form S-1 filed on August 20, 2020,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4.9</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54" w:history="1">
              <w:r>
                <w:rPr>
                  <w:rStyle w:val="a4"/>
                  <w:rFonts w:eastAsia="Times New Roman"/>
                  <w:sz w:val="20"/>
                  <w:szCs w:val="20"/>
                </w:rPr>
                <w:t>Description of Securities Registered Pursuant to Section 12 of the Securities Exchange Act of 1934.</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10.1</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55" w:history="1">
              <w:r>
                <w:rPr>
                  <w:rStyle w:val="a4"/>
                  <w:rFonts w:eastAsia="Times New Roman"/>
                  <w:sz w:val="20"/>
                  <w:szCs w:val="20"/>
                </w:rPr>
                <w:t>Form of Indem</w:t>
              </w:r>
              <w:r>
                <w:rPr>
                  <w:rStyle w:val="a4"/>
                  <w:rFonts w:eastAsia="Times New Roman"/>
                  <w:sz w:val="20"/>
                  <w:szCs w:val="20"/>
                </w:rPr>
                <w:t>nification Agreement between the Company and each of its directors and executive officers (filed as Exhibit 10.1 to Amendment No. 2 to the Company’s Form S-1 filed on May 7, 2014,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10.2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56" w:history="1">
              <w:r>
                <w:rPr>
                  <w:rStyle w:val="a4"/>
                  <w:rFonts w:eastAsia="Times New Roman"/>
                  <w:sz w:val="20"/>
                  <w:szCs w:val="20"/>
                </w:rPr>
                <w:t>Amended and Restated Equity Incentive Plan of the Company (filed as Appendix B to the Company’s Proxy Statement on Schedule 14A filed on February 10, 2017, and incorporated herein by</w:t>
              </w:r>
              <w:r>
                <w:rPr>
                  <w:rStyle w:val="a4"/>
                  <w:rFonts w:eastAsia="Times New Roman"/>
                  <w:sz w:val="20"/>
                  <w:szCs w:val="20"/>
                </w:rPr>
                <w:t xml:space="preserve">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10.3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57" w:history="1">
              <w:r>
                <w:rPr>
                  <w:rStyle w:val="a4"/>
                  <w:rFonts w:eastAsia="Times New Roman"/>
                  <w:sz w:val="20"/>
                  <w:szCs w:val="20"/>
                </w:rPr>
                <w:t>First Amendment to the Amended and Restated Equity Incentive Plan of the Company (filed as Exhibit 10.16 to the Company’s Form 10-Q filed on August 8, 2018,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10.4*</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58" w:history="1">
              <w:r>
                <w:rPr>
                  <w:rStyle w:val="a4"/>
                  <w:rFonts w:eastAsia="Times New Roman"/>
                  <w:sz w:val="20"/>
                  <w:szCs w:val="20"/>
                </w:rPr>
                <w:t>Second Amendment to MTBC, Inc. Amended and Restated Equity Incentive Plan (filed as Exhibit 3.1 to the Company’s Form 8-K filed on May 21, 2020,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10.5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59" w:history="1">
              <w:r>
                <w:rPr>
                  <w:rStyle w:val="a4"/>
                  <w:rFonts w:eastAsia="Times New Roman"/>
                  <w:sz w:val="20"/>
                  <w:szCs w:val="20"/>
                </w:rPr>
                <w:t>Form of Restricted Stock Unit Agreement under Amended and Restated Equity Incentive Plan (filed as Exhibit 10.3 to Amendment No. 1 to the Company’s Form S-1 fil</w:t>
              </w:r>
              <w:r>
                <w:rPr>
                  <w:rStyle w:val="a4"/>
                  <w:rFonts w:eastAsia="Times New Roman"/>
                  <w:sz w:val="20"/>
                  <w:szCs w:val="20"/>
                </w:rPr>
                <w:t>ed on April 7, 2014,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10.6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60" w:history="1">
              <w:r>
                <w:rPr>
                  <w:rStyle w:val="a4"/>
                  <w:rFonts w:eastAsia="Times New Roman"/>
                  <w:sz w:val="20"/>
                  <w:szCs w:val="20"/>
                </w:rPr>
                <w:t>Third Amendment to Amended and Restated Equity Incentive Plan (filed as Exhibit 3.1 to the Company’s Form 8-K filed on June 9, 2022,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10.7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61" w:history="1">
              <w:r>
                <w:rPr>
                  <w:rStyle w:val="a4"/>
                  <w:rFonts w:eastAsia="Times New Roman"/>
                  <w:sz w:val="20"/>
                  <w:szCs w:val="20"/>
                </w:rPr>
                <w:t>Form of Restricted Stock Award Agreement under the Amended and Restated Equity Incentive Plan (filed as Exhibit 10.12 to the Company’s Form 10-K filed on March 24, 2016,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10.</w:t>
            </w:r>
            <w:r>
              <w:rPr>
                <w:rFonts w:eastAsia="Times New Roman"/>
                <w:sz w:val="20"/>
                <w:szCs w:val="20"/>
              </w:rPr>
              <w:t>8</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62" w:history="1">
              <w:r>
                <w:rPr>
                  <w:rStyle w:val="a4"/>
                  <w:rFonts w:eastAsia="Times New Roman"/>
                  <w:sz w:val="20"/>
                  <w:szCs w:val="20"/>
                </w:rPr>
                <w:t xml:space="preserve">Lease between Company and Mahmud Haq with respect to offices located at 7 Clyde Road, Somerset, NJ 08873 (filed as Exhibit 10.4 to the Company’s Form </w:t>
              </w:r>
              <w:r>
                <w:rPr>
                  <w:rStyle w:val="a4"/>
                  <w:rFonts w:eastAsia="Times New Roman"/>
                  <w:sz w:val="20"/>
                  <w:szCs w:val="20"/>
                </w:rPr>
                <w:t>S-1 filed on December 20, 2013, and incorporated herein by reference).</w:t>
              </w:r>
            </w:hyperlink>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10.9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63" w:history="1">
              <w:r>
                <w:rPr>
                  <w:rStyle w:val="a4"/>
                  <w:rFonts w:eastAsia="Times New Roman"/>
                  <w:sz w:val="20"/>
                  <w:szCs w:val="20"/>
                </w:rPr>
                <w:t>Employment Agreement between the Company and Mahmud Haq dated as of May 1, 2018 (filed as Exhibit 10.1 to the Company’s Form 8-K filed on May 7, 2018, and incorpo</w:t>
              </w:r>
              <w:r>
                <w:rPr>
                  <w:rStyle w:val="a4"/>
                  <w:rFonts w:eastAsia="Times New Roman"/>
                  <w:sz w:val="20"/>
                  <w:szCs w:val="20"/>
                </w:rPr>
                <w:t>rated herein by reference).</w:t>
              </w:r>
            </w:hyperlink>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68695345"/>
        </w:trPr>
        <w:tc>
          <w:tcPr>
            <w:tcW w:w="5000" w:type="pct"/>
            <w:hideMark/>
          </w:tcPr>
          <w:p w:rsidR="00000000" w:rsidRDefault="003A6737">
            <w:pPr>
              <w:jc w:val="center"/>
              <w:rPr>
                <w:rFonts w:eastAsia="Times New Roman"/>
                <w:sz w:val="20"/>
                <w:szCs w:val="20"/>
              </w:rPr>
            </w:pPr>
            <w:r>
              <w:rPr>
                <w:rFonts w:eastAsia="Times New Roman"/>
                <w:sz w:val="20"/>
                <w:szCs w:val="20"/>
              </w:rPr>
              <w:t>5</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hideMark/>
          </w:tcPr>
          <w:p w:rsidR="00000000" w:rsidRDefault="003A6737">
            <w:pPr>
              <w:jc w:val="both"/>
              <w:rPr>
                <w:rFonts w:eastAsia="Times New Roman"/>
                <w:sz w:val="20"/>
                <w:szCs w:val="20"/>
              </w:rPr>
            </w:pPr>
            <w:r>
              <w:rPr>
                <w:rFonts w:eastAsia="Times New Roman"/>
                <w:sz w:val="20"/>
                <w:szCs w:val="20"/>
              </w:rPr>
              <w:t>10.10 *</w:t>
            </w:r>
          </w:p>
        </w:tc>
        <w:tc>
          <w:tcPr>
            <w:tcW w:w="144" w:type="dxa"/>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64" w:history="1">
              <w:r>
                <w:rPr>
                  <w:rStyle w:val="a4"/>
                  <w:rFonts w:eastAsia="Times New Roman"/>
                  <w:sz w:val="20"/>
                  <w:szCs w:val="20"/>
                </w:rPr>
                <w:t>Employment Agreement between the Company and A. Hadi Chaudhry dated as of March 23, 2021 (filed as Exhibit 10.2</w:t>
              </w:r>
              <w:r>
                <w:rPr>
                  <w:rStyle w:val="a4"/>
                  <w:rFonts w:eastAsia="Times New Roman"/>
                  <w:sz w:val="20"/>
                  <w:szCs w:val="20"/>
                </w:rPr>
                <w:t xml:space="preserve"> to the Company’s Form 8-K filed on March 24, 2021, and incorporated herein by reference).</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10.11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65" w:history="1">
              <w:r>
                <w:rPr>
                  <w:rStyle w:val="a4"/>
                  <w:rFonts w:eastAsia="Times New Roman"/>
                  <w:sz w:val="20"/>
                  <w:szCs w:val="20"/>
                </w:rPr>
                <w:t>Employment Agreement between the Company and Bill Korn dated as of May 1, 2018 (filed as Exhibit 10.4 to the Company’s Form 8-K filed on May 7, 2018, and incorpor</w:t>
              </w:r>
              <w:r>
                <w:rPr>
                  <w:rStyle w:val="a4"/>
                  <w:rFonts w:eastAsia="Times New Roman"/>
                  <w:sz w:val="20"/>
                  <w:szCs w:val="20"/>
                </w:rPr>
                <w:t>ated herein by reference).</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10.12</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hyperlink r:id="rId66" w:history="1">
              <w:r>
                <w:rPr>
                  <w:rStyle w:val="a4"/>
                  <w:rFonts w:eastAsia="Times New Roman"/>
                  <w:sz w:val="20"/>
                  <w:szCs w:val="20"/>
                </w:rPr>
                <w:t>Loan and Security Agreement dated as of October 13, 2017 between Medical Transcription Billing, Corp., MTBC Acquisition</w:t>
              </w:r>
              <w:r>
                <w:rPr>
                  <w:rStyle w:val="a4"/>
                  <w:rFonts w:eastAsia="Times New Roman"/>
                  <w:sz w:val="20"/>
                  <w:szCs w:val="20"/>
                </w:rPr>
                <w:t>, Corp. and Silicon Valley Bank (filed as Exhibit 10.1 to the Company’s Form 8-K filed on October 16, 2017, and incorporated herein by reference).</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10.13</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hyperlink r:id="rId67" w:history="1">
              <w:r>
                <w:rPr>
                  <w:rStyle w:val="a4"/>
                  <w:rFonts w:eastAsia="Times New Roman"/>
                  <w:sz w:val="20"/>
                  <w:szCs w:val="20"/>
                </w:rPr>
                <w:t>Joinder and First Loan Modification Agreement dated as of September 20, 2018 between Medical Transcription Billing, Corp., MTBC Acquisition, Corp., MTBC Health, Inc. and MTBC Practice Management, Corp. and Silicon Valley Bank (filed as Exhibit 10.1 to the</w:t>
              </w:r>
              <w:r>
                <w:rPr>
                  <w:rStyle w:val="a4"/>
                  <w:rFonts w:eastAsia="Times New Roman"/>
                  <w:sz w:val="20"/>
                  <w:szCs w:val="20"/>
                </w:rPr>
                <w:t xml:space="preserve"> Company’s Form 8-K filed on September 20, 2018, and incorporated herein by reference).</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10.14</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hyperlink r:id="rId68" w:history="1">
              <w:r>
                <w:rPr>
                  <w:rStyle w:val="a4"/>
                  <w:rFonts w:eastAsia="Times New Roman"/>
                  <w:sz w:val="20"/>
                  <w:szCs w:val="20"/>
                </w:rPr>
                <w:t>Second Loan Modification Agreement dated November 15, 2019, by and between the Company and SVB (filed as Exhibit 1.1 to the Company’s Form 8-K filed on November 21</w:t>
              </w:r>
              <w:r>
                <w:rPr>
                  <w:rStyle w:val="a4"/>
                  <w:rFonts w:eastAsia="Times New Roman"/>
                  <w:sz w:val="20"/>
                  <w:szCs w:val="20"/>
                </w:rPr>
                <w:t>, 2019, and incorporated herein by reference).</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10.15</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hyperlink r:id="rId69" w:history="1">
              <w:r>
                <w:rPr>
                  <w:rStyle w:val="a4"/>
                  <w:rFonts w:eastAsia="Times New Roman"/>
                  <w:sz w:val="20"/>
                  <w:szCs w:val="20"/>
                </w:rPr>
                <w:t>Joinder and Third Loan Modification Agreement dated as of February 28, 2020 between MTBC, Inc., MTBC Acquisition Corp., MTBC Health, Inc. and MTBC Practice Management Corp., MTBC-Med, Inc., CareCloud Corporation and Silicon Valley Bank (filed as Exhibit 10</w:t>
              </w:r>
              <w:r>
                <w:rPr>
                  <w:rStyle w:val="a4"/>
                  <w:rFonts w:eastAsia="Times New Roman"/>
                  <w:sz w:val="20"/>
                  <w:szCs w:val="20"/>
                </w:rPr>
                <w:t>.16 to the Company’s Form 10-K filed on February 28, 2020, and incorporated herein by reference).</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10.16</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hyperlink r:id="rId70" w:history="1">
              <w:r>
                <w:rPr>
                  <w:rStyle w:val="a4"/>
                  <w:rFonts w:eastAsia="Times New Roman"/>
                  <w:sz w:val="20"/>
                  <w:szCs w:val="20"/>
                </w:rPr>
                <w:t>Joinder and Fourth Loan Modification Agreement da</w:t>
              </w:r>
              <w:r>
                <w:rPr>
                  <w:rStyle w:val="a4"/>
                  <w:rFonts w:eastAsia="Times New Roman"/>
                  <w:sz w:val="20"/>
                  <w:szCs w:val="20"/>
                </w:rPr>
                <w:t>ted September 21, 2020, by and between the Company and SVB (filed as Exhibit 1.1 to the Company’s Form 8-K filed on September 25, 2020, and incorporated herein by reference).</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10.17</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hyperlink r:id="rId71" w:history="1">
              <w:r>
                <w:rPr>
                  <w:rStyle w:val="a4"/>
                  <w:rFonts w:eastAsia="Times New Roman"/>
                  <w:sz w:val="20"/>
                  <w:szCs w:val="20"/>
                </w:rPr>
                <w:t xml:space="preserve">Joinder and Fifth Loan Modification Agreement dated September 21, 2021, by and between the Company and SVB (filed as Exhibit 10.1 to the Company’s Form 8-K filed </w:t>
              </w:r>
              <w:r>
                <w:rPr>
                  <w:rStyle w:val="a4"/>
                  <w:rFonts w:eastAsia="Times New Roman"/>
                  <w:sz w:val="20"/>
                  <w:szCs w:val="20"/>
                </w:rPr>
                <w:t>on September 22, 2021 and incorporated herein by reference).</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10.18</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hyperlink r:id="rId72" w:history="1">
              <w:r>
                <w:rPr>
                  <w:rStyle w:val="a4"/>
                  <w:rFonts w:eastAsia="Times New Roman"/>
                  <w:sz w:val="20"/>
                  <w:szCs w:val="20"/>
                </w:rPr>
                <w:t xml:space="preserve">Underwriting Agreement dated January 28, 2022 by and between the Company and B. Riley </w:t>
              </w:r>
              <w:r>
                <w:rPr>
                  <w:rStyle w:val="a4"/>
                  <w:rFonts w:eastAsia="Times New Roman"/>
                  <w:sz w:val="20"/>
                  <w:szCs w:val="20"/>
                </w:rPr>
                <w:t>FBR, Inc. as representative of several underwriters named therein (filed as Exhibit 1.1 to the Company’s Form 8-K filed on January 31, 2022, and incorporated herein by reference).</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10.19</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hyperlink r:id="rId73" w:history="1">
              <w:r>
                <w:rPr>
                  <w:rStyle w:val="a4"/>
                  <w:rFonts w:eastAsia="Times New Roman"/>
                  <w:sz w:val="20"/>
                  <w:szCs w:val="20"/>
                </w:rPr>
                <w:t>Sixth Loan Modification Agreement dated January 27, 2022, by and between the Company and SVB (filed as Exhibit 10.19 to the Company’s Form 10-Q filed on May 9, 2022 and incorporated herein by reference).</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10.20</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hyperlink r:id="rId74" w:history="1">
              <w:r>
                <w:rPr>
                  <w:rStyle w:val="a4"/>
                  <w:rFonts w:eastAsia="Times New Roman"/>
                  <w:sz w:val="20"/>
                  <w:szCs w:val="20"/>
                </w:rPr>
                <w:t xml:space="preserve">At Market Issuance Sales Agreement dated February 14, 2022 by and between CareCloud, Inc. and B. Riley Securities, Inc. (filed as Exhibit 1.1 to the Company’s Form </w:t>
              </w:r>
              <w:r>
                <w:rPr>
                  <w:rStyle w:val="a4"/>
                  <w:rFonts w:eastAsia="Times New Roman"/>
                  <w:sz w:val="20"/>
                  <w:szCs w:val="20"/>
                </w:rPr>
                <w:t>8-K filed on February 14, 2022 and incorporated herein by reference).</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10.21</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hyperlink r:id="rId75" w:history="1">
              <w:r>
                <w:rPr>
                  <w:rStyle w:val="a4"/>
                  <w:rFonts w:eastAsia="Times New Roman"/>
                  <w:sz w:val="20"/>
                  <w:szCs w:val="20"/>
                </w:rPr>
                <w:t>Seventh Loan Modification Agreement dated February 17, 2023, by and between the Company and SVB (filed as Exhibit 10.1 to the Company’s Form 8-K filed on February</w:t>
              </w:r>
              <w:r>
                <w:rPr>
                  <w:rStyle w:val="a4"/>
                  <w:rFonts w:eastAsia="Times New Roman"/>
                  <w:sz w:val="20"/>
                  <w:szCs w:val="20"/>
                </w:rPr>
                <w:t xml:space="preserve"> 21, 2023 and incorporated herein by reference).</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10.22</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hyperlink r:id="rId76" w:history="1">
              <w:r>
                <w:rPr>
                  <w:rStyle w:val="a4"/>
                  <w:rFonts w:eastAsia="Times New Roman"/>
                  <w:sz w:val="20"/>
                  <w:szCs w:val="20"/>
                </w:rPr>
                <w:t>Consulting Agreement dated June 3, 2022 by and between the Company and Hill City Advisors, LLC.</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10.23</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hyperlink r:id="rId77" w:history="1">
              <w:r>
                <w:rPr>
                  <w:rStyle w:val="a4"/>
                  <w:rFonts w:eastAsia="Times New Roman"/>
                  <w:sz w:val="20"/>
                  <w:szCs w:val="20"/>
                </w:rPr>
                <w:t>Amendment to Consulting</w:t>
              </w:r>
              <w:r>
                <w:rPr>
                  <w:rStyle w:val="a4"/>
                  <w:rFonts w:eastAsia="Times New Roman"/>
                  <w:sz w:val="20"/>
                  <w:szCs w:val="20"/>
                </w:rPr>
                <w:t xml:space="preserve"> Agreement dated February 16, 2023 by and between the Company and Hill City Advisors, LLC.</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21.1</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hyperlink r:id="rId78" w:history="1">
              <w:r>
                <w:rPr>
                  <w:rStyle w:val="a4"/>
                  <w:rFonts w:eastAsia="Times New Roman"/>
                  <w:sz w:val="20"/>
                  <w:szCs w:val="20"/>
                </w:rPr>
                <w:t>List of subsidiaries.</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23.1</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hyperlink r:id="rId79" w:history="1">
              <w:r>
                <w:rPr>
                  <w:rStyle w:val="a4"/>
                  <w:rFonts w:eastAsia="Times New Roman"/>
                  <w:sz w:val="20"/>
                  <w:szCs w:val="20"/>
                </w:rPr>
                <w:t>Consent of Grant Thornton LLP.</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31.1</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hyperlink r:id="rId80" w:history="1">
              <w:r>
                <w:rPr>
                  <w:rStyle w:val="a4"/>
                  <w:rFonts w:eastAsia="Times New Roman"/>
                  <w:sz w:val="20"/>
                  <w:szCs w:val="20"/>
                </w:rPr>
                <w:t>Certification of the Company’s Principal Executive Officer pursuant to Exchange Act Rules 13a-14(a)/15d-14(a), of the Securities Exchange Act of 1934, as amended.</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31.2</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hyperlink r:id="rId81" w:history="1">
              <w:r>
                <w:rPr>
                  <w:rStyle w:val="a4"/>
                  <w:rFonts w:eastAsia="Times New Roman"/>
                  <w:sz w:val="20"/>
                  <w:szCs w:val="20"/>
                </w:rPr>
                <w:t>Certification of the Company’s Principal Financial Officer pursuant to Exchange Act Rules 13a-14(a)/15d-14(a), of the Securities Exchange Act of 1934, as amended.</w:t>
              </w:r>
            </w:hyperlink>
          </w:p>
        </w:tc>
      </w:tr>
    </w:tbl>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24336173"/>
        </w:trPr>
        <w:tc>
          <w:tcPr>
            <w:tcW w:w="5000" w:type="pct"/>
            <w:hideMark/>
          </w:tcPr>
          <w:p w:rsidR="00000000" w:rsidRDefault="003A6737">
            <w:pPr>
              <w:jc w:val="center"/>
              <w:rPr>
                <w:rFonts w:eastAsia="Times New Roman"/>
                <w:sz w:val="20"/>
                <w:szCs w:val="20"/>
              </w:rPr>
            </w:pPr>
            <w:r>
              <w:rPr>
                <w:rFonts w:eastAsia="Times New Roman"/>
                <w:sz w:val="20"/>
                <w:szCs w:val="20"/>
              </w:rPr>
              <w:t>5</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hideMark/>
          </w:tcPr>
          <w:p w:rsidR="00000000" w:rsidRDefault="003A6737">
            <w:pPr>
              <w:jc w:val="both"/>
              <w:rPr>
                <w:rFonts w:eastAsia="Times New Roman"/>
                <w:sz w:val="20"/>
                <w:szCs w:val="20"/>
              </w:rPr>
            </w:pPr>
            <w:r>
              <w:rPr>
                <w:rFonts w:eastAsia="Times New Roman"/>
                <w:sz w:val="20"/>
                <w:szCs w:val="20"/>
              </w:rPr>
              <w:t>32.1</w:t>
            </w:r>
          </w:p>
        </w:tc>
        <w:tc>
          <w:tcPr>
            <w:tcW w:w="144" w:type="dxa"/>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hyperlink r:id="rId82" w:history="1">
              <w:r>
                <w:rPr>
                  <w:rStyle w:val="a4"/>
                  <w:rFonts w:eastAsia="Times New Roman"/>
                  <w:sz w:val="20"/>
                  <w:szCs w:val="20"/>
                </w:rPr>
                <w:t>Certification of th</w:t>
              </w:r>
              <w:r>
                <w:rPr>
                  <w:rStyle w:val="a4"/>
                  <w:rFonts w:eastAsia="Times New Roman"/>
                  <w:sz w:val="20"/>
                  <w:szCs w:val="20"/>
                </w:rPr>
                <w:t>e Company’s Chief Executive Officer pursuant to 18 U.S.C. Section 1350, as adopted pursuant to Section 906 of the Sarbanes-Oxley Act of 2002.</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32.2</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hyperlink r:id="rId83" w:history="1">
              <w:r>
                <w:rPr>
                  <w:rStyle w:val="a4"/>
                  <w:rFonts w:eastAsia="Times New Roman"/>
                  <w:sz w:val="20"/>
                  <w:szCs w:val="20"/>
                </w:rPr>
                <w:t>Certification of the Company’</w:t>
              </w:r>
              <w:r>
                <w:rPr>
                  <w:rStyle w:val="a4"/>
                  <w:rFonts w:eastAsia="Times New Roman"/>
                  <w:sz w:val="20"/>
                  <w:szCs w:val="20"/>
                </w:rPr>
                <w:t>s Chief Financial Officer pursuant to 18 U.S.C. Section 1350, as adopted pursuant to Section 906 of the Sarbanes-Oxley Act of 2002.</w:t>
              </w:r>
            </w:hyperlink>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101.INS</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Inline XBRL Instance</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101.SCH</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Inline XBRL Taxonomy Extension Schema</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101.CAL</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Inline XBRL Taxonomy Extension Calculation Linkbase</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vAlign w:val="bottom"/>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101.LAB</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Inline XBRL Taxonomy Extension Label Linkbase</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101.PRE</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Inline XBRL Taxonomy Extension Presentation Linkbase</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101.DEF</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xml:space="preserve">Inline </w:t>
            </w:r>
            <w:r>
              <w:rPr>
                <w:rFonts w:eastAsia="Times New Roman"/>
                <w:sz w:val="20"/>
                <w:szCs w:val="20"/>
              </w:rPr>
              <w:t>XBRL Taxonomy Extension Definition Linkbase</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jc w:val="both"/>
              <w:rPr>
                <w:rFonts w:eastAsia="Times New Roman"/>
                <w:sz w:val="20"/>
                <w:szCs w:val="20"/>
              </w:rPr>
            </w:pPr>
            <w:r>
              <w:rPr>
                <w:rFonts w:eastAsia="Times New Roman"/>
                <w:sz w:val="20"/>
                <w:szCs w:val="20"/>
              </w:rPr>
              <w:t>104</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Cover Page Interactive Data File (formatted as Inline XBRL and contained in Exhibit 101).</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Indicates management contract or compensatory plan or arrangement.</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certifications on Exhibit 32 hereto are deemed not “filed” for purposes of Section 18 of the Securities and Exchange Act of 1934, as amended, or otherwise subject to the liability of that Section. Such certifications will not be deemed incorporated by </w:t>
      </w:r>
      <w:r>
        <w:rPr>
          <w:sz w:val="20"/>
          <w:szCs w:val="20"/>
        </w:rPr>
        <w:t>reference into any filing under the Securities Act or the Exchange Act.</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34052804"/>
        </w:trPr>
        <w:tc>
          <w:tcPr>
            <w:tcW w:w="5000" w:type="pct"/>
            <w:hideMark/>
          </w:tcPr>
          <w:p w:rsidR="00000000" w:rsidRDefault="003A6737">
            <w:pPr>
              <w:jc w:val="center"/>
              <w:rPr>
                <w:rFonts w:eastAsia="Times New Roman"/>
                <w:sz w:val="20"/>
                <w:szCs w:val="20"/>
              </w:rPr>
            </w:pPr>
            <w:r>
              <w:rPr>
                <w:rFonts w:eastAsia="Times New Roman"/>
                <w:sz w:val="20"/>
                <w:szCs w:val="20"/>
              </w:rPr>
              <w:t>5</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center"/>
        <w:rPr>
          <w:b/>
          <w:bCs/>
          <w:sz w:val="20"/>
          <w:szCs w:val="20"/>
        </w:rPr>
      </w:pPr>
      <w:r>
        <w:rPr>
          <w:b/>
          <w:bCs/>
          <w:sz w:val="20"/>
          <w:szCs w:val="20"/>
        </w:rPr>
        <w:t>Signatures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Pursuant </w:t>
      </w:r>
      <w:r>
        <w:rPr>
          <w:sz w:val="20"/>
          <w:szCs w:val="20"/>
        </w:rPr>
        <w:t>to the requirements of Section 13 or 15(d) of the Securities Exchange Act of 1934, the Registrant has duly caused this report to be signed on its behalf by the undersigned, thereunto duly authorized.</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43"/>
        <w:gridCol w:w="434"/>
        <w:gridCol w:w="3729"/>
      </w:tblGrid>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gridSpan w:val="2"/>
            <w:hideMark/>
          </w:tcPr>
          <w:p w:rsidR="00000000" w:rsidRDefault="003A6737">
            <w:pPr>
              <w:rPr>
                <w:rFonts w:eastAsia="Times New Roman"/>
                <w:sz w:val="20"/>
                <w:szCs w:val="20"/>
              </w:rPr>
            </w:pPr>
            <w:r>
              <w:rPr>
                <w:rFonts w:eastAsia="Times New Roman"/>
                <w:sz w:val="20"/>
                <w:szCs w:val="20"/>
              </w:rPr>
              <w:t>CareCloud, Inc.</w:t>
            </w:r>
          </w:p>
        </w:tc>
      </w:tr>
      <w:tr w:rsidR="00000000">
        <w:tc>
          <w:tcPr>
            <w:tcW w:w="2500" w:type="pct"/>
            <w:hideMark/>
          </w:tcPr>
          <w:p w:rsidR="00000000" w:rsidRDefault="003A6737">
            <w:pPr>
              <w:rPr>
                <w:rFonts w:eastAsia="Times New Roman"/>
                <w:sz w:val="20"/>
                <w:szCs w:val="20"/>
              </w:rPr>
            </w:pPr>
            <w:r>
              <w:rPr>
                <w:rFonts w:eastAsia="Times New Roman"/>
                <w:sz w:val="20"/>
                <w:szCs w:val="20"/>
              </w:rPr>
              <w:t> </w:t>
            </w:r>
          </w:p>
        </w:tc>
        <w:tc>
          <w:tcPr>
            <w:tcW w:w="250" w:type="pct"/>
            <w:hideMark/>
          </w:tcPr>
          <w:p w:rsidR="00000000" w:rsidRDefault="003A6737">
            <w:pPr>
              <w:jc w:val="both"/>
              <w:rPr>
                <w:rFonts w:eastAsia="Times New Roman"/>
                <w:sz w:val="20"/>
                <w:szCs w:val="20"/>
              </w:rPr>
            </w:pPr>
            <w:r>
              <w:rPr>
                <w:rFonts w:eastAsia="Times New Roman"/>
                <w:sz w:val="20"/>
                <w:szCs w:val="20"/>
              </w:rPr>
              <w:t> </w:t>
            </w:r>
          </w:p>
        </w:tc>
        <w:tc>
          <w:tcPr>
            <w:tcW w:w="2250" w:type="pct"/>
            <w:hideMark/>
          </w:tcPr>
          <w:p w:rsidR="00000000" w:rsidRDefault="003A6737">
            <w:pPr>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3A6737">
            <w:pPr>
              <w:rPr>
                <w:rFonts w:eastAsia="Times New Roman"/>
                <w:sz w:val="20"/>
                <w:szCs w:val="20"/>
              </w:rPr>
            </w:pPr>
            <w:r>
              <w:rPr>
                <w:rFonts w:eastAsia="Times New Roman"/>
                <w:i/>
                <w:iCs/>
                <w:sz w:val="20"/>
                <w:szCs w:val="20"/>
              </w:rPr>
              <w:t xml:space="preserve">/s/ </w:t>
            </w:r>
            <w:r>
              <w:rPr>
                <w:rFonts w:eastAsia="Times New Roman"/>
                <w:i/>
                <w:iCs/>
                <w:sz w:val="20"/>
                <w:szCs w:val="20"/>
              </w:rPr>
              <w:t>A. Hadi Chaudhry</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A. Hadi Chaudhry</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Chief Executive Officer</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Date:</w:t>
            </w:r>
          </w:p>
        </w:tc>
        <w:tc>
          <w:tcPr>
            <w:tcW w:w="0" w:type="auto"/>
            <w:hideMark/>
          </w:tcPr>
          <w:p w:rsidR="00000000" w:rsidRDefault="003A6737">
            <w:pPr>
              <w:rPr>
                <w:rFonts w:eastAsia="Times New Roman"/>
                <w:sz w:val="20"/>
                <w:szCs w:val="20"/>
              </w:rPr>
            </w:pPr>
            <w:r>
              <w:rPr>
                <w:rFonts w:eastAsia="Times New Roman"/>
                <w:sz w:val="20"/>
                <w:szCs w:val="20"/>
              </w:rPr>
              <w:t>March 2, 2023</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3A6737">
            <w:pPr>
              <w:rPr>
                <w:rFonts w:eastAsia="Times New Roman"/>
                <w:sz w:val="20"/>
                <w:szCs w:val="20"/>
              </w:rPr>
            </w:pPr>
            <w:r>
              <w:rPr>
                <w:rFonts w:eastAsia="Times New Roman"/>
                <w:i/>
                <w:iCs/>
                <w:sz w:val="20"/>
                <w:szCs w:val="20"/>
              </w:rPr>
              <w:t>/s/ Bill Korn</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Bill Korn</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Chief Financial Officer</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Date:</w:t>
            </w:r>
          </w:p>
        </w:tc>
        <w:tc>
          <w:tcPr>
            <w:tcW w:w="0" w:type="auto"/>
            <w:hideMark/>
          </w:tcPr>
          <w:p w:rsidR="00000000" w:rsidRDefault="003A6737">
            <w:pPr>
              <w:rPr>
                <w:rFonts w:eastAsia="Times New Roman"/>
                <w:sz w:val="20"/>
                <w:szCs w:val="20"/>
              </w:rPr>
            </w:pPr>
            <w:r>
              <w:rPr>
                <w:rFonts w:eastAsia="Times New Roman"/>
                <w:sz w:val="20"/>
                <w:szCs w:val="20"/>
              </w:rPr>
              <w:t>March 2, 2023</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this report has been signed below by the following persons on behalf of the Registrant and in the capacities and on the dates indicated:</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159"/>
        <w:gridCol w:w="166"/>
        <w:gridCol w:w="3655"/>
        <w:gridCol w:w="166"/>
        <w:gridCol w:w="2160"/>
      </w:tblGrid>
      <w:tr w:rsidR="00000000">
        <w:tc>
          <w:tcPr>
            <w:tcW w:w="1300" w:type="pct"/>
            <w:hideMark/>
          </w:tcPr>
          <w:p w:rsidR="00000000" w:rsidRDefault="003A6737">
            <w:pPr>
              <w:rPr>
                <w:rFonts w:eastAsia="Times New Roman"/>
                <w:sz w:val="20"/>
                <w:szCs w:val="20"/>
              </w:rPr>
            </w:pPr>
            <w:r>
              <w:rPr>
                <w:rFonts w:eastAsia="Times New Roman"/>
                <w:b/>
                <w:bCs/>
                <w:sz w:val="20"/>
                <w:szCs w:val="20"/>
              </w:rPr>
              <w:t>Signature</w:t>
            </w:r>
          </w:p>
        </w:tc>
        <w:tc>
          <w:tcPr>
            <w:tcW w:w="100" w:type="pct"/>
            <w:hideMark/>
          </w:tcPr>
          <w:p w:rsidR="00000000" w:rsidRDefault="003A6737">
            <w:pPr>
              <w:jc w:val="center"/>
              <w:rPr>
                <w:rFonts w:eastAsia="Times New Roman"/>
                <w:sz w:val="20"/>
                <w:szCs w:val="20"/>
              </w:rPr>
            </w:pPr>
            <w:r>
              <w:rPr>
                <w:rFonts w:eastAsia="Times New Roman"/>
                <w:sz w:val="20"/>
                <w:szCs w:val="20"/>
              </w:rPr>
              <w:t> </w:t>
            </w:r>
          </w:p>
        </w:tc>
        <w:tc>
          <w:tcPr>
            <w:tcW w:w="2200" w:type="pct"/>
            <w:hideMark/>
          </w:tcPr>
          <w:p w:rsidR="00000000" w:rsidRDefault="003A6737">
            <w:pPr>
              <w:jc w:val="center"/>
              <w:rPr>
                <w:rFonts w:eastAsia="Times New Roman"/>
                <w:sz w:val="20"/>
                <w:szCs w:val="20"/>
              </w:rPr>
            </w:pPr>
            <w:r>
              <w:rPr>
                <w:rFonts w:eastAsia="Times New Roman"/>
                <w:b/>
                <w:bCs/>
                <w:sz w:val="20"/>
                <w:szCs w:val="20"/>
              </w:rPr>
              <w:t>Title</w:t>
            </w:r>
          </w:p>
        </w:tc>
        <w:tc>
          <w:tcPr>
            <w:tcW w:w="100" w:type="pct"/>
            <w:hideMark/>
          </w:tcPr>
          <w:p w:rsidR="00000000" w:rsidRDefault="003A6737">
            <w:pPr>
              <w:jc w:val="center"/>
              <w:rPr>
                <w:rFonts w:eastAsia="Times New Roman"/>
                <w:sz w:val="20"/>
                <w:szCs w:val="20"/>
              </w:rPr>
            </w:pPr>
            <w:r>
              <w:rPr>
                <w:rFonts w:eastAsia="Times New Roman"/>
                <w:sz w:val="20"/>
                <w:szCs w:val="20"/>
              </w:rPr>
              <w:t> </w:t>
            </w:r>
          </w:p>
        </w:tc>
        <w:tc>
          <w:tcPr>
            <w:tcW w:w="1300" w:type="pct"/>
            <w:hideMark/>
          </w:tcPr>
          <w:p w:rsidR="00000000" w:rsidRDefault="003A6737">
            <w:pPr>
              <w:jc w:val="center"/>
              <w:rPr>
                <w:rFonts w:eastAsia="Times New Roman"/>
                <w:sz w:val="20"/>
                <w:szCs w:val="20"/>
              </w:rPr>
            </w:pPr>
            <w:r>
              <w:rPr>
                <w:rFonts w:eastAsia="Times New Roman"/>
                <w:b/>
                <w:bCs/>
                <w:sz w:val="20"/>
                <w:szCs w:val="20"/>
              </w:rPr>
              <w:t>Date</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3A6737">
            <w:pPr>
              <w:rPr>
                <w:rFonts w:eastAsia="Times New Roman"/>
                <w:sz w:val="20"/>
                <w:szCs w:val="20"/>
              </w:rPr>
            </w:pPr>
            <w:r>
              <w:rPr>
                <w:rFonts w:eastAsia="Times New Roman"/>
                <w:i/>
                <w:iCs/>
                <w:sz w:val="20"/>
                <w:szCs w:val="20"/>
              </w:rPr>
              <w:t xml:space="preserve">/s/ </w:t>
            </w:r>
            <w:r>
              <w:rPr>
                <w:rFonts w:eastAsia="Times New Roman"/>
                <w:i/>
                <w:iCs/>
                <w:sz w:val="20"/>
                <w:szCs w:val="20"/>
              </w:rPr>
              <w:t>Mahmud Haq</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March 2, 2023</w:t>
            </w:r>
          </w:p>
        </w:tc>
      </w:tr>
      <w:tr w:rsidR="00000000">
        <w:tc>
          <w:tcPr>
            <w:tcW w:w="0" w:type="auto"/>
            <w:hideMark/>
          </w:tcPr>
          <w:p w:rsidR="00000000" w:rsidRDefault="003A6737">
            <w:pPr>
              <w:rPr>
                <w:rFonts w:eastAsia="Times New Roman"/>
                <w:sz w:val="20"/>
                <w:szCs w:val="20"/>
              </w:rPr>
            </w:pPr>
            <w:r>
              <w:rPr>
                <w:rFonts w:eastAsia="Times New Roman"/>
                <w:sz w:val="20"/>
                <w:szCs w:val="20"/>
              </w:rPr>
              <w:t>Mahmud Haq</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Executive Chairman and Director</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3A6737">
            <w:pPr>
              <w:rPr>
                <w:rFonts w:eastAsia="Times New Roman"/>
                <w:sz w:val="20"/>
                <w:szCs w:val="20"/>
              </w:rPr>
            </w:pPr>
            <w:r>
              <w:rPr>
                <w:rFonts w:eastAsia="Times New Roman"/>
                <w:i/>
                <w:iCs/>
                <w:sz w:val="20"/>
                <w:szCs w:val="20"/>
              </w:rPr>
              <w:t>/s/ A. Hadi Chaudhry</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March 2, 2023</w:t>
            </w:r>
          </w:p>
        </w:tc>
      </w:tr>
      <w:tr w:rsidR="00000000">
        <w:tc>
          <w:tcPr>
            <w:tcW w:w="0" w:type="auto"/>
            <w:hideMark/>
          </w:tcPr>
          <w:p w:rsidR="00000000" w:rsidRDefault="003A6737">
            <w:pPr>
              <w:rPr>
                <w:rFonts w:eastAsia="Times New Roman"/>
                <w:sz w:val="20"/>
                <w:szCs w:val="20"/>
              </w:rPr>
            </w:pPr>
            <w:r>
              <w:rPr>
                <w:rFonts w:eastAsia="Times New Roman"/>
                <w:sz w:val="20"/>
                <w:szCs w:val="20"/>
              </w:rPr>
              <w:t>A. Hadi Chaudhry</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Principal Executive Officer, President and Director</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r w:rsidR="00000000">
        <w:tc>
          <w:tcPr>
            <w:tcW w:w="0" w:type="auto"/>
            <w:tcMar>
              <w:top w:w="0" w:type="dxa"/>
              <w:left w:w="0" w:type="dxa"/>
              <w:bottom w:w="20" w:type="dxa"/>
              <w:right w:w="0" w:type="dxa"/>
            </w:tcMar>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3A6737">
            <w:pPr>
              <w:rPr>
                <w:rFonts w:eastAsia="Times New Roman"/>
                <w:sz w:val="20"/>
                <w:szCs w:val="20"/>
              </w:rPr>
            </w:pPr>
            <w:r>
              <w:rPr>
                <w:rFonts w:eastAsia="Times New Roman"/>
                <w:i/>
                <w:iCs/>
                <w:sz w:val="20"/>
                <w:szCs w:val="20"/>
              </w:rPr>
              <w:t>/s/ Bill Korn</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xml:space="preserve">March </w:t>
            </w:r>
            <w:r>
              <w:rPr>
                <w:rFonts w:eastAsia="Times New Roman"/>
                <w:sz w:val="20"/>
                <w:szCs w:val="20"/>
              </w:rPr>
              <w:t>2, 2023</w:t>
            </w:r>
          </w:p>
        </w:tc>
      </w:tr>
      <w:tr w:rsidR="00000000">
        <w:tc>
          <w:tcPr>
            <w:tcW w:w="0" w:type="auto"/>
            <w:tcMar>
              <w:top w:w="0" w:type="dxa"/>
              <w:left w:w="0" w:type="dxa"/>
              <w:bottom w:w="20" w:type="dxa"/>
              <w:right w:w="0" w:type="dxa"/>
            </w:tcMar>
            <w:hideMark/>
          </w:tcPr>
          <w:p w:rsidR="00000000" w:rsidRDefault="003A6737">
            <w:pPr>
              <w:rPr>
                <w:rFonts w:eastAsia="Times New Roman"/>
                <w:sz w:val="20"/>
                <w:szCs w:val="20"/>
              </w:rPr>
            </w:pPr>
            <w:r>
              <w:rPr>
                <w:rFonts w:eastAsia="Times New Roman"/>
                <w:sz w:val="20"/>
                <w:szCs w:val="20"/>
              </w:rPr>
              <w:t>Bill Korn</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Principal Financial Officer</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r w:rsidR="00000000">
        <w:tc>
          <w:tcPr>
            <w:tcW w:w="0" w:type="auto"/>
            <w:tcMar>
              <w:top w:w="0" w:type="dxa"/>
              <w:left w:w="0" w:type="dxa"/>
              <w:bottom w:w="20" w:type="dxa"/>
              <w:right w:w="0" w:type="dxa"/>
            </w:tcMar>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3A6737">
            <w:pPr>
              <w:rPr>
                <w:rFonts w:eastAsia="Times New Roman"/>
                <w:sz w:val="20"/>
                <w:szCs w:val="20"/>
              </w:rPr>
            </w:pPr>
            <w:r>
              <w:rPr>
                <w:rFonts w:eastAsia="Times New Roman"/>
                <w:i/>
                <w:iCs/>
                <w:sz w:val="20"/>
                <w:szCs w:val="20"/>
              </w:rPr>
              <w:t>/s/ Norman Roth</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March 2, 2023</w:t>
            </w:r>
          </w:p>
        </w:tc>
      </w:tr>
      <w:tr w:rsidR="00000000">
        <w:tc>
          <w:tcPr>
            <w:tcW w:w="0" w:type="auto"/>
            <w:hideMark/>
          </w:tcPr>
          <w:p w:rsidR="00000000" w:rsidRDefault="003A6737">
            <w:pPr>
              <w:rPr>
                <w:rFonts w:eastAsia="Times New Roman"/>
                <w:sz w:val="20"/>
                <w:szCs w:val="20"/>
              </w:rPr>
            </w:pPr>
            <w:r>
              <w:rPr>
                <w:rFonts w:eastAsia="Times New Roman"/>
                <w:sz w:val="20"/>
                <w:szCs w:val="20"/>
              </w:rPr>
              <w:t>Norman Roth</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Principal Accounting Officer</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3A6737">
            <w:pPr>
              <w:rPr>
                <w:rFonts w:eastAsia="Times New Roman"/>
                <w:sz w:val="20"/>
                <w:szCs w:val="20"/>
              </w:rPr>
            </w:pPr>
            <w:r>
              <w:rPr>
                <w:rFonts w:eastAsia="Times New Roman"/>
                <w:i/>
                <w:iCs/>
                <w:sz w:val="20"/>
                <w:szCs w:val="20"/>
              </w:rPr>
              <w:t>/s/ Anne Busquet</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March 2, 2023</w:t>
            </w:r>
          </w:p>
        </w:tc>
      </w:tr>
      <w:tr w:rsidR="00000000">
        <w:tc>
          <w:tcPr>
            <w:tcW w:w="0" w:type="auto"/>
            <w:hideMark/>
          </w:tcPr>
          <w:p w:rsidR="00000000" w:rsidRDefault="003A6737">
            <w:pPr>
              <w:rPr>
                <w:rFonts w:eastAsia="Times New Roman"/>
                <w:sz w:val="20"/>
                <w:szCs w:val="20"/>
              </w:rPr>
            </w:pPr>
            <w:r>
              <w:rPr>
                <w:rFonts w:eastAsia="Times New Roman"/>
                <w:sz w:val="20"/>
                <w:szCs w:val="20"/>
              </w:rPr>
              <w:t>Anne Busquet</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Director</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3A6737">
            <w:pPr>
              <w:rPr>
                <w:rFonts w:eastAsia="Times New Roman"/>
                <w:sz w:val="20"/>
                <w:szCs w:val="20"/>
              </w:rPr>
            </w:pPr>
            <w:r>
              <w:rPr>
                <w:rFonts w:eastAsia="Times New Roman"/>
                <w:i/>
                <w:iCs/>
                <w:sz w:val="20"/>
                <w:szCs w:val="20"/>
              </w:rPr>
              <w:t xml:space="preserve">/s/ </w:t>
            </w:r>
            <w:r>
              <w:rPr>
                <w:rFonts w:eastAsia="Times New Roman"/>
                <w:i/>
                <w:iCs/>
                <w:sz w:val="20"/>
                <w:szCs w:val="20"/>
              </w:rPr>
              <w:t>John N. Daly</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March 2, 2023</w:t>
            </w:r>
          </w:p>
        </w:tc>
      </w:tr>
      <w:tr w:rsidR="00000000">
        <w:tc>
          <w:tcPr>
            <w:tcW w:w="0" w:type="auto"/>
            <w:hideMark/>
          </w:tcPr>
          <w:p w:rsidR="00000000" w:rsidRDefault="003A6737">
            <w:pPr>
              <w:rPr>
                <w:rFonts w:eastAsia="Times New Roman"/>
                <w:sz w:val="20"/>
                <w:szCs w:val="20"/>
              </w:rPr>
            </w:pPr>
            <w:r>
              <w:rPr>
                <w:rFonts w:eastAsia="Times New Roman"/>
                <w:sz w:val="20"/>
                <w:szCs w:val="20"/>
              </w:rPr>
              <w:t>John N. Daly</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Director</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3A6737">
            <w:pPr>
              <w:rPr>
                <w:rFonts w:eastAsia="Times New Roman"/>
                <w:sz w:val="20"/>
                <w:szCs w:val="20"/>
              </w:rPr>
            </w:pPr>
            <w:r>
              <w:rPr>
                <w:rFonts w:eastAsia="Times New Roman"/>
                <w:i/>
                <w:iCs/>
                <w:sz w:val="20"/>
                <w:szCs w:val="20"/>
              </w:rPr>
              <w:t>/s/ Cameron Munter</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March 2, 2023</w:t>
            </w:r>
          </w:p>
        </w:tc>
      </w:tr>
      <w:tr w:rsidR="00000000">
        <w:tc>
          <w:tcPr>
            <w:tcW w:w="0" w:type="auto"/>
            <w:hideMark/>
          </w:tcPr>
          <w:p w:rsidR="00000000" w:rsidRDefault="003A6737">
            <w:pPr>
              <w:rPr>
                <w:rFonts w:eastAsia="Times New Roman"/>
                <w:sz w:val="20"/>
                <w:szCs w:val="20"/>
              </w:rPr>
            </w:pPr>
            <w:r>
              <w:rPr>
                <w:rFonts w:eastAsia="Times New Roman"/>
                <w:sz w:val="20"/>
                <w:szCs w:val="20"/>
              </w:rPr>
              <w:t>Cameron Munter</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Director</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3A6737">
            <w:pPr>
              <w:rPr>
                <w:rFonts w:eastAsia="Times New Roman"/>
                <w:sz w:val="20"/>
                <w:szCs w:val="20"/>
              </w:rPr>
            </w:pPr>
            <w:r>
              <w:rPr>
                <w:rFonts w:eastAsia="Times New Roman"/>
                <w:i/>
                <w:iCs/>
                <w:sz w:val="20"/>
                <w:szCs w:val="20"/>
              </w:rPr>
              <w:t>/s/ Lawrence Sharnak</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March 2, 2023</w:t>
            </w:r>
          </w:p>
        </w:tc>
      </w:tr>
      <w:tr w:rsidR="00000000">
        <w:tc>
          <w:tcPr>
            <w:tcW w:w="0" w:type="auto"/>
            <w:hideMark/>
          </w:tcPr>
          <w:p w:rsidR="00000000" w:rsidRDefault="003A6737">
            <w:pPr>
              <w:rPr>
                <w:rFonts w:eastAsia="Times New Roman"/>
                <w:sz w:val="20"/>
                <w:szCs w:val="20"/>
              </w:rPr>
            </w:pPr>
            <w:r>
              <w:rPr>
                <w:rFonts w:eastAsia="Times New Roman"/>
                <w:sz w:val="20"/>
                <w:szCs w:val="20"/>
              </w:rPr>
              <w:t>Lawrence Sharnak</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Director</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3A6737">
            <w:pPr>
              <w:rPr>
                <w:rFonts w:eastAsia="Times New Roman"/>
                <w:sz w:val="20"/>
                <w:szCs w:val="20"/>
              </w:rPr>
            </w:pPr>
            <w:r>
              <w:rPr>
                <w:rFonts w:eastAsia="Times New Roman"/>
                <w:i/>
                <w:iCs/>
                <w:sz w:val="20"/>
                <w:szCs w:val="20"/>
              </w:rPr>
              <w:t xml:space="preserve">/s/ </w:t>
            </w:r>
            <w:r>
              <w:rPr>
                <w:rFonts w:eastAsia="Times New Roman"/>
                <w:i/>
                <w:iCs/>
                <w:sz w:val="20"/>
                <w:szCs w:val="20"/>
              </w:rPr>
              <w:t>Stephen Snyder</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March 2, 2023</w:t>
            </w:r>
          </w:p>
        </w:tc>
      </w:tr>
      <w:tr w:rsidR="00000000">
        <w:tc>
          <w:tcPr>
            <w:tcW w:w="0" w:type="auto"/>
            <w:hideMark/>
          </w:tcPr>
          <w:p w:rsidR="00000000" w:rsidRDefault="003A6737">
            <w:pPr>
              <w:rPr>
                <w:rFonts w:eastAsia="Times New Roman"/>
                <w:sz w:val="20"/>
                <w:szCs w:val="20"/>
              </w:rPr>
            </w:pPr>
            <w:r>
              <w:rPr>
                <w:rFonts w:eastAsia="Times New Roman"/>
                <w:sz w:val="20"/>
                <w:szCs w:val="20"/>
              </w:rPr>
              <w:t>Stephen Snyder</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Director</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26183626"/>
        </w:trPr>
        <w:tc>
          <w:tcPr>
            <w:tcW w:w="5000" w:type="pct"/>
            <w:hideMark/>
          </w:tcPr>
          <w:p w:rsidR="00000000" w:rsidRDefault="003A6737">
            <w:pPr>
              <w:jc w:val="center"/>
              <w:rPr>
                <w:rFonts w:eastAsia="Times New Roman"/>
                <w:sz w:val="20"/>
                <w:szCs w:val="20"/>
              </w:rPr>
            </w:pPr>
            <w:r>
              <w:rPr>
                <w:rFonts w:eastAsia="Times New Roman"/>
                <w:sz w:val="20"/>
                <w:szCs w:val="20"/>
              </w:rPr>
              <w:t>6</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b/>
          <w:bCs/>
          <w:sz w:val="20"/>
          <w:szCs w:val="20"/>
        </w:rPr>
        <w:t> </w:t>
      </w:r>
    </w:p>
    <w:p w:rsidR="00000000" w:rsidRDefault="003A6737">
      <w:pPr>
        <w:pStyle w:val="a3"/>
        <w:spacing w:before="0" w:beforeAutospacing="0" w:after="0" w:afterAutospacing="0"/>
        <w:jc w:val="center"/>
        <w:rPr>
          <w:sz w:val="20"/>
          <w:szCs w:val="20"/>
        </w:rPr>
      </w:pPr>
      <w:r>
        <w:rPr>
          <w:b/>
          <w:bCs/>
          <w:sz w:val="20"/>
          <w:szCs w:val="20"/>
        </w:rPr>
        <w:t>Index to Consolidated Financial Statements</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86"/>
        <w:gridCol w:w="720"/>
      </w:tblGrid>
      <w:tr w:rsidR="00000000">
        <w:tc>
          <w:tcPr>
            <w:tcW w:w="0" w:type="auto"/>
            <w:shd w:val="clear" w:color="auto" w:fill="CCEEFF"/>
            <w:hideMark/>
          </w:tcPr>
          <w:p w:rsidR="00000000" w:rsidRDefault="003A6737">
            <w:pPr>
              <w:jc w:val="both"/>
              <w:rPr>
                <w:rFonts w:eastAsia="Times New Roman"/>
                <w:sz w:val="20"/>
                <w:szCs w:val="20"/>
              </w:rPr>
            </w:pPr>
            <w:hyperlink w:anchor="f_001" w:history="1">
              <w:r>
                <w:rPr>
                  <w:rStyle w:val="a4"/>
                  <w:rFonts w:eastAsia="Times New Roman"/>
                  <w:sz w:val="20"/>
                  <w:szCs w:val="20"/>
                </w:rPr>
                <w:t>Report of Independent Registered Public Accounting Firm Grant Thornton, LLP</w:t>
              </w:r>
            </w:hyperlink>
            <w:r>
              <w:rPr>
                <w:rFonts w:eastAsia="Times New Roman"/>
                <w:sz w:val="20"/>
                <w:szCs w:val="20"/>
              </w:rPr>
              <w:t xml:space="preserve"> (PCAOB ID Number</w:t>
            </w:r>
            <w:r>
              <w:rPr>
                <w:rFonts w:eastAsia="Times New Roman"/>
                <w:sz w:val="20"/>
                <w:szCs w:val="20"/>
              </w:rPr>
              <w:t xml:space="preserve"> </w:t>
            </w:r>
            <w:r>
              <w:rPr>
                <w:rFonts w:eastAsia="Times New Roman"/>
                <w:sz w:val="20"/>
                <w:szCs w:val="20"/>
              </w:rPr>
              <w:t>24</w:t>
            </w:r>
            <w:r>
              <w:rPr>
                <w:rFonts w:eastAsia="Times New Roman"/>
                <w:sz w:val="20"/>
                <w:szCs w:val="20"/>
              </w:rPr>
              <w:t>8</w:t>
            </w:r>
            <w:r>
              <w:rPr>
                <w:rFonts w:eastAsia="Times New Roman"/>
                <w:sz w:val="20"/>
                <w:szCs w:val="20"/>
              </w:rPr>
              <w:t>)</w:t>
            </w:r>
          </w:p>
        </w:tc>
        <w:tc>
          <w:tcPr>
            <w:tcW w:w="720" w:type="dxa"/>
            <w:shd w:val="clear" w:color="auto" w:fill="CCEEFF"/>
            <w:hideMark/>
          </w:tcPr>
          <w:p w:rsidR="00000000" w:rsidRDefault="003A6737">
            <w:pPr>
              <w:jc w:val="center"/>
              <w:rPr>
                <w:rFonts w:eastAsia="Times New Roman"/>
                <w:sz w:val="20"/>
                <w:szCs w:val="20"/>
              </w:rPr>
            </w:pPr>
            <w:r>
              <w:rPr>
                <w:rFonts w:eastAsia="Times New Roman"/>
                <w:sz w:val="20"/>
                <w:szCs w:val="20"/>
              </w:rPr>
              <w:t>F-2</w:t>
            </w:r>
          </w:p>
        </w:tc>
      </w:tr>
      <w:tr w:rsidR="00000000">
        <w:tc>
          <w:tcPr>
            <w:tcW w:w="0" w:type="auto"/>
            <w:shd w:val="clear" w:color="auto" w:fill="FFFFFF"/>
            <w:hideMark/>
          </w:tcPr>
          <w:p w:rsidR="00000000" w:rsidRDefault="003A6737">
            <w:pPr>
              <w:jc w:val="both"/>
              <w:rPr>
                <w:rFonts w:eastAsia="Times New Roman"/>
                <w:sz w:val="20"/>
                <w:szCs w:val="20"/>
              </w:rPr>
            </w:pPr>
            <w:hyperlink w:anchor="f_002" w:history="1">
              <w:r>
                <w:rPr>
                  <w:rStyle w:val="a4"/>
                  <w:rFonts w:eastAsia="Times New Roman"/>
                  <w:sz w:val="20"/>
                  <w:szCs w:val="20"/>
                </w:rPr>
                <w:t>Consolidated Balance Sheets as of December 31, 2022 and 2021</w:t>
              </w:r>
            </w:hyperlink>
          </w:p>
        </w:tc>
        <w:tc>
          <w:tcPr>
            <w:tcW w:w="0" w:type="auto"/>
            <w:shd w:val="clear" w:color="auto" w:fill="FFFFFF"/>
            <w:hideMark/>
          </w:tcPr>
          <w:p w:rsidR="00000000" w:rsidRDefault="003A6737">
            <w:pPr>
              <w:jc w:val="center"/>
              <w:rPr>
                <w:rFonts w:eastAsia="Times New Roman"/>
                <w:sz w:val="20"/>
                <w:szCs w:val="20"/>
              </w:rPr>
            </w:pPr>
            <w:r>
              <w:rPr>
                <w:rFonts w:eastAsia="Times New Roman"/>
                <w:sz w:val="20"/>
                <w:szCs w:val="20"/>
              </w:rPr>
              <w:t>F-4</w:t>
            </w:r>
          </w:p>
        </w:tc>
      </w:tr>
      <w:tr w:rsidR="00000000">
        <w:tc>
          <w:tcPr>
            <w:tcW w:w="0" w:type="auto"/>
            <w:shd w:val="clear" w:color="auto" w:fill="CCEEFF"/>
            <w:hideMark/>
          </w:tcPr>
          <w:p w:rsidR="00000000" w:rsidRDefault="003A6737">
            <w:pPr>
              <w:jc w:val="both"/>
              <w:rPr>
                <w:rFonts w:eastAsia="Times New Roman"/>
                <w:sz w:val="20"/>
                <w:szCs w:val="20"/>
              </w:rPr>
            </w:pPr>
            <w:hyperlink w:anchor="f_003" w:history="1">
              <w:r>
                <w:rPr>
                  <w:rStyle w:val="a4"/>
                  <w:rFonts w:eastAsia="Times New Roman"/>
                  <w:sz w:val="20"/>
                  <w:szCs w:val="20"/>
                </w:rPr>
                <w:t>Consolidated Statements of Oper</w:t>
              </w:r>
              <w:r>
                <w:rPr>
                  <w:rStyle w:val="a4"/>
                  <w:rFonts w:eastAsia="Times New Roman"/>
                  <w:sz w:val="20"/>
                  <w:szCs w:val="20"/>
                </w:rPr>
                <w:t>ations for the years ended December 31, 2022 and 2021</w:t>
              </w:r>
            </w:hyperlink>
          </w:p>
        </w:tc>
        <w:tc>
          <w:tcPr>
            <w:tcW w:w="0" w:type="auto"/>
            <w:shd w:val="clear" w:color="auto" w:fill="CCEEFF"/>
            <w:hideMark/>
          </w:tcPr>
          <w:p w:rsidR="00000000" w:rsidRDefault="003A6737">
            <w:pPr>
              <w:jc w:val="center"/>
              <w:rPr>
                <w:rFonts w:eastAsia="Times New Roman"/>
                <w:sz w:val="20"/>
                <w:szCs w:val="20"/>
              </w:rPr>
            </w:pPr>
            <w:r>
              <w:rPr>
                <w:rFonts w:eastAsia="Times New Roman"/>
                <w:sz w:val="20"/>
                <w:szCs w:val="20"/>
              </w:rPr>
              <w:t>F-5</w:t>
            </w:r>
          </w:p>
        </w:tc>
      </w:tr>
      <w:tr w:rsidR="00000000">
        <w:tc>
          <w:tcPr>
            <w:tcW w:w="0" w:type="auto"/>
            <w:shd w:val="clear" w:color="auto" w:fill="FFFFFF"/>
            <w:hideMark/>
          </w:tcPr>
          <w:p w:rsidR="00000000" w:rsidRDefault="003A6737">
            <w:pPr>
              <w:jc w:val="both"/>
              <w:rPr>
                <w:rFonts w:eastAsia="Times New Roman"/>
                <w:sz w:val="20"/>
                <w:szCs w:val="20"/>
              </w:rPr>
            </w:pPr>
            <w:hyperlink w:anchor="f_004" w:history="1">
              <w:r>
                <w:rPr>
                  <w:rStyle w:val="a4"/>
                  <w:rFonts w:eastAsia="Times New Roman"/>
                  <w:sz w:val="20"/>
                  <w:szCs w:val="20"/>
                </w:rPr>
                <w:t>Consolidated Statements of Comprehensive Income for the years ended December 31, 2022 and 2021</w:t>
              </w:r>
            </w:hyperlink>
          </w:p>
        </w:tc>
        <w:tc>
          <w:tcPr>
            <w:tcW w:w="0" w:type="auto"/>
            <w:shd w:val="clear" w:color="auto" w:fill="FFFFFF"/>
            <w:hideMark/>
          </w:tcPr>
          <w:p w:rsidR="00000000" w:rsidRDefault="003A6737">
            <w:pPr>
              <w:jc w:val="center"/>
              <w:rPr>
                <w:rFonts w:eastAsia="Times New Roman"/>
                <w:sz w:val="20"/>
                <w:szCs w:val="20"/>
              </w:rPr>
            </w:pPr>
            <w:r>
              <w:rPr>
                <w:rFonts w:eastAsia="Times New Roman"/>
                <w:sz w:val="20"/>
                <w:szCs w:val="20"/>
              </w:rPr>
              <w:t>F-6</w:t>
            </w:r>
          </w:p>
        </w:tc>
      </w:tr>
      <w:tr w:rsidR="00000000">
        <w:tc>
          <w:tcPr>
            <w:tcW w:w="0" w:type="auto"/>
            <w:shd w:val="clear" w:color="auto" w:fill="CCEEFF"/>
            <w:hideMark/>
          </w:tcPr>
          <w:p w:rsidR="00000000" w:rsidRDefault="003A6737">
            <w:pPr>
              <w:jc w:val="both"/>
              <w:rPr>
                <w:rFonts w:eastAsia="Times New Roman"/>
                <w:sz w:val="20"/>
                <w:szCs w:val="20"/>
              </w:rPr>
            </w:pPr>
            <w:hyperlink w:anchor="f_005" w:history="1">
              <w:r>
                <w:rPr>
                  <w:rStyle w:val="a4"/>
                  <w:rFonts w:eastAsia="Times New Roman"/>
                  <w:sz w:val="20"/>
                  <w:szCs w:val="20"/>
                </w:rPr>
                <w:t>Consolidated Statements of Shareholders’ Equity for the years ended December 31, 2022 and 2021</w:t>
              </w:r>
            </w:hyperlink>
          </w:p>
        </w:tc>
        <w:tc>
          <w:tcPr>
            <w:tcW w:w="0" w:type="auto"/>
            <w:shd w:val="clear" w:color="auto" w:fill="CCEEFF"/>
            <w:hideMark/>
          </w:tcPr>
          <w:p w:rsidR="00000000" w:rsidRDefault="003A6737">
            <w:pPr>
              <w:jc w:val="center"/>
              <w:rPr>
                <w:rFonts w:eastAsia="Times New Roman"/>
                <w:sz w:val="20"/>
                <w:szCs w:val="20"/>
              </w:rPr>
            </w:pPr>
            <w:r>
              <w:rPr>
                <w:rFonts w:eastAsia="Times New Roman"/>
                <w:sz w:val="20"/>
                <w:szCs w:val="20"/>
              </w:rPr>
              <w:t>F-7</w:t>
            </w:r>
          </w:p>
        </w:tc>
      </w:tr>
      <w:tr w:rsidR="00000000">
        <w:tc>
          <w:tcPr>
            <w:tcW w:w="0" w:type="auto"/>
            <w:shd w:val="clear" w:color="auto" w:fill="FFFFFF"/>
            <w:hideMark/>
          </w:tcPr>
          <w:p w:rsidR="00000000" w:rsidRDefault="003A6737">
            <w:pPr>
              <w:jc w:val="both"/>
              <w:rPr>
                <w:rFonts w:eastAsia="Times New Roman"/>
                <w:sz w:val="20"/>
                <w:szCs w:val="20"/>
              </w:rPr>
            </w:pPr>
            <w:hyperlink w:anchor="f_006" w:history="1">
              <w:r>
                <w:rPr>
                  <w:rStyle w:val="a4"/>
                  <w:rFonts w:eastAsia="Times New Roman"/>
                  <w:sz w:val="20"/>
                  <w:szCs w:val="20"/>
                </w:rPr>
                <w:t>Consolidated Statements of Cash Flows for the years ended December 31, 2022 and 2021</w:t>
              </w:r>
            </w:hyperlink>
          </w:p>
        </w:tc>
        <w:tc>
          <w:tcPr>
            <w:tcW w:w="0" w:type="auto"/>
            <w:shd w:val="clear" w:color="auto" w:fill="FFFFFF"/>
            <w:hideMark/>
          </w:tcPr>
          <w:p w:rsidR="00000000" w:rsidRDefault="003A6737">
            <w:pPr>
              <w:jc w:val="center"/>
              <w:rPr>
                <w:rFonts w:eastAsia="Times New Roman"/>
                <w:sz w:val="20"/>
                <w:szCs w:val="20"/>
              </w:rPr>
            </w:pPr>
            <w:r>
              <w:rPr>
                <w:rFonts w:eastAsia="Times New Roman"/>
                <w:sz w:val="20"/>
                <w:szCs w:val="20"/>
              </w:rPr>
              <w:t>F-8</w:t>
            </w:r>
          </w:p>
        </w:tc>
      </w:tr>
      <w:tr w:rsidR="00000000">
        <w:tc>
          <w:tcPr>
            <w:tcW w:w="0" w:type="auto"/>
            <w:shd w:val="clear" w:color="auto" w:fill="CCEEFF"/>
            <w:hideMark/>
          </w:tcPr>
          <w:p w:rsidR="00000000" w:rsidRDefault="003A6737">
            <w:pPr>
              <w:jc w:val="both"/>
              <w:rPr>
                <w:rFonts w:eastAsia="Times New Roman"/>
                <w:sz w:val="20"/>
                <w:szCs w:val="20"/>
              </w:rPr>
            </w:pPr>
            <w:hyperlink w:anchor="f_007" w:history="1">
              <w:r>
                <w:rPr>
                  <w:rStyle w:val="a4"/>
                  <w:rFonts w:eastAsia="Times New Roman"/>
                  <w:sz w:val="20"/>
                  <w:szCs w:val="20"/>
                </w:rPr>
                <w:t>Notes to Consolidated Financial Statements</w:t>
              </w:r>
            </w:hyperlink>
          </w:p>
        </w:tc>
        <w:tc>
          <w:tcPr>
            <w:tcW w:w="0" w:type="auto"/>
            <w:shd w:val="clear" w:color="auto" w:fill="CCEEFF"/>
            <w:hideMark/>
          </w:tcPr>
          <w:p w:rsidR="00000000" w:rsidRDefault="003A6737">
            <w:pPr>
              <w:jc w:val="center"/>
              <w:rPr>
                <w:rFonts w:eastAsia="Times New Roman"/>
                <w:sz w:val="20"/>
                <w:szCs w:val="20"/>
              </w:rPr>
            </w:pPr>
            <w:r>
              <w:rPr>
                <w:rFonts w:eastAsia="Times New Roman"/>
                <w:sz w:val="20"/>
                <w:szCs w:val="20"/>
              </w:rPr>
              <w:t>F-9</w:t>
            </w:r>
          </w:p>
        </w:tc>
      </w:tr>
    </w:tbl>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23844947"/>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sz w:val="20"/>
          <w:szCs w:val="20"/>
        </w:rPr>
        <w:t>REPORT OF INDEPENDENT REGISTERED PUBLIC ACCOUNTING FIRM</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Board of Directors and Shareholders</w:t>
      </w:r>
    </w:p>
    <w:p w:rsidR="00000000" w:rsidRDefault="003A6737">
      <w:pPr>
        <w:pStyle w:val="a3"/>
        <w:spacing w:before="0" w:beforeAutospacing="0" w:after="0" w:afterAutospacing="0"/>
        <w:jc w:val="both"/>
        <w:rPr>
          <w:sz w:val="20"/>
          <w:szCs w:val="20"/>
        </w:rPr>
      </w:pPr>
      <w:r>
        <w:rPr>
          <w:sz w:val="20"/>
          <w:szCs w:val="20"/>
        </w:rPr>
        <w:t>CareCloud, Inc.</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sz w:val="20"/>
          <w:szCs w:val="20"/>
        </w:rPr>
        <w:t>Opinion on the financial statements</w:t>
      </w:r>
    </w:p>
    <w:p w:rsidR="00000000" w:rsidRDefault="003A6737">
      <w:pPr>
        <w:pStyle w:val="a3"/>
        <w:spacing w:before="0" w:beforeAutospacing="0" w:after="0" w:afterAutospacing="0"/>
        <w:jc w:val="both"/>
        <w:rPr>
          <w:sz w:val="20"/>
          <w:szCs w:val="20"/>
        </w:rPr>
      </w:pPr>
      <w:r>
        <w:rPr>
          <w:sz w:val="20"/>
          <w:szCs w:val="20"/>
        </w:rPr>
        <w:t xml:space="preserve">We have audited the accompanying consolidated balance sheets of CareCloud, Inc. (a Delaware corporation) and subsidiaries (the “Company”) as of December 31, 2022 and 2021, the related consolidated statements of operations, comprehensive income, changes in </w:t>
      </w:r>
      <w:r>
        <w:rPr>
          <w:sz w:val="20"/>
          <w:szCs w:val="20"/>
        </w:rPr>
        <w:t>shareholders’ equity, and cash flows for each of the two years in the period ended December 31, 2022, and the related notes (collectively referred to as the “financial statements”). In our opinion, the financial statements present fairly, in all material r</w:t>
      </w:r>
      <w:r>
        <w:rPr>
          <w:sz w:val="20"/>
          <w:szCs w:val="20"/>
        </w:rPr>
        <w:t>espects, the financial position of the Company as of December 31, 2022 and 2021, and the results of its operations and its cash flows for each of the two years in the period ended December 31, 2022, in conformity with accounting principles generally accept</w:t>
      </w:r>
      <w:r>
        <w:rPr>
          <w:sz w:val="20"/>
          <w:szCs w:val="20"/>
        </w:rPr>
        <w:t>ed in the United States of America.</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sz w:val="20"/>
          <w:szCs w:val="20"/>
        </w:rPr>
        <w:t>Basis for opinion</w:t>
      </w:r>
    </w:p>
    <w:p w:rsidR="00000000" w:rsidRDefault="003A6737">
      <w:pPr>
        <w:pStyle w:val="a3"/>
        <w:spacing w:before="0" w:beforeAutospacing="0" w:after="0" w:afterAutospacing="0"/>
        <w:jc w:val="both"/>
        <w:rPr>
          <w:sz w:val="20"/>
          <w:szCs w:val="20"/>
        </w:rPr>
      </w:pPr>
      <w:r>
        <w:rPr>
          <w:sz w:val="20"/>
          <w:szCs w:val="20"/>
        </w:rPr>
        <w:t>These financial statements are the responsibility of the Company’s management. Our responsibility is to express an opinion on the Company’s financial statements based on our audits. We are a public ac</w:t>
      </w:r>
      <w:r>
        <w:rPr>
          <w:sz w:val="20"/>
          <w:szCs w:val="20"/>
        </w:rPr>
        <w:t>counting firm registered with the Public Company Accounting Oversight Board (United States) (“PCAOB”) and are required to be independent with respect to the Company in accordance with the U.S. federal securities laws and the applicable rules and regulation</w:t>
      </w:r>
      <w:r>
        <w:rPr>
          <w:sz w:val="20"/>
          <w:szCs w:val="20"/>
        </w:rPr>
        <w:t>s of the Securities and Exchange Commission and the PCAOB.</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We conducted our audits in accordance with the standards of the PCAOB. Those standards require that we plan and perform the audit to obtain reasonable assurance about whether the financial statem</w:t>
      </w:r>
      <w:r>
        <w:rPr>
          <w:sz w:val="20"/>
          <w:szCs w:val="20"/>
        </w:rPr>
        <w:t>ents are free of material misstatement, whether due to error or fraud. The Company is not required to have, nor were we engaged to perform, an audit of its internal control over financial reporting. As part of our audits we are required to obtain an unders</w:t>
      </w:r>
      <w:r>
        <w:rPr>
          <w:sz w:val="20"/>
          <w:szCs w:val="20"/>
        </w:rPr>
        <w:t>tanding of internal control over financial reporting but not for the purpose of expressing an opinion on the effectiveness of the Company’s internal control over financial reporting. Accordingly, we express no such opinion.</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audits included performing</w:t>
      </w:r>
      <w:r>
        <w:rPr>
          <w:sz w:val="20"/>
          <w:szCs w:val="20"/>
        </w:rPr>
        <w:t xml:space="preserve"> procedures to assess the risks of material misstatement of the financial statements, whether due to error or fraud, and performing procedures that respond to those risks. Such procedures included examining, on a test basis, evidence regarding the amounts </w:t>
      </w:r>
      <w:r>
        <w:rPr>
          <w:sz w:val="20"/>
          <w:szCs w:val="20"/>
        </w:rPr>
        <w:t>and disclosures in the financial statements. Our audits also included evaluating the accounting principles used and significant estimates made by management, as well as evaluating the overall presentation of the financial statements. We believe that our au</w:t>
      </w:r>
      <w:r>
        <w:rPr>
          <w:sz w:val="20"/>
          <w:szCs w:val="20"/>
        </w:rPr>
        <w:t>dits provide a reasonable basis for our opinion.</w:t>
      </w:r>
    </w:p>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92701717"/>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sz w:val="20"/>
          <w:szCs w:val="20"/>
        </w:rPr>
        <w:t>Critical audit matter</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critical audit matter communicated below is a matter arising from the current period audit of the financial statements that was communicated or required to be communicated to the audit committee and that: (1) relates to accounts or disclosures that are mat</w:t>
      </w:r>
      <w:r>
        <w:rPr>
          <w:sz w:val="20"/>
          <w:szCs w:val="20"/>
        </w:rPr>
        <w:t>erial to the financial statements and (2) involved our especially challenging, subjective, or complex judgments. The communication of critical audit matters does not alter in any way our opinion on the financial statements, taken as a whole, and we are not</w:t>
      </w:r>
      <w:r>
        <w:rPr>
          <w:sz w:val="20"/>
          <w:szCs w:val="20"/>
        </w:rPr>
        <w:t>, by communicating the critical audit matter below, providing a separate opinion on the critical audit matter or on the accounts or disclosures to which it relates.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i/>
          <w:iCs/>
          <w:sz w:val="20"/>
          <w:szCs w:val="20"/>
        </w:rPr>
        <w:t>Goodwill Impairment Assessment- Healthcare IT Reporting Unit</w:t>
      </w:r>
    </w:p>
    <w:p w:rsidR="00000000" w:rsidRDefault="003A6737">
      <w:pPr>
        <w:pStyle w:val="a3"/>
        <w:spacing w:before="0" w:beforeAutospacing="0" w:after="0" w:afterAutospacing="0"/>
        <w:jc w:val="both"/>
        <w:rPr>
          <w:sz w:val="20"/>
          <w:szCs w:val="20"/>
        </w:rPr>
      </w:pPr>
      <w:r>
        <w:rPr>
          <w:sz w:val="20"/>
          <w:szCs w:val="20"/>
        </w:rPr>
        <w:t>As described further in Note</w:t>
      </w:r>
      <w:r>
        <w:rPr>
          <w:sz w:val="20"/>
          <w:szCs w:val="20"/>
        </w:rPr>
        <w:t>s 2 and 4 of the consolidated financial statements, the Company performed a goodwill impairment assessment as of October 31, 2022, the date of its annual impairment test, on one of its reporting units, Healthcare IT (HIT). We identified the Company’s goodw</w:t>
      </w:r>
      <w:r>
        <w:rPr>
          <w:sz w:val="20"/>
          <w:szCs w:val="20"/>
        </w:rPr>
        <w:t>ill impairment assessment over the HIT reporting unit as a critical audit matter.</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principal considerations for our determination that goodwill impairment assessment is a critical audit matter are the significant management estimates and judgements re</w:t>
      </w:r>
      <w:r>
        <w:rPr>
          <w:sz w:val="20"/>
          <w:szCs w:val="20"/>
        </w:rPr>
        <w:t>lated to forecasts of expected future cash flows required to estimate the HIT reporting unit’s fair value. Management’s significant estimates and judgements include the determination of the discount rate, revenue growth rates, operating margins, and long-t</w:t>
      </w:r>
      <w:r>
        <w:rPr>
          <w:sz w:val="20"/>
          <w:szCs w:val="20"/>
        </w:rPr>
        <w:t>erm growth rate. Auditing these estimates requires a high degree of auditor judgement, including the use of professionals with specialized skills and knowledge.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audit procedures related to the goodwill impairment assessment included the following, am</w:t>
      </w:r>
      <w:r>
        <w:rPr>
          <w:sz w:val="20"/>
          <w:szCs w:val="20"/>
        </w:rPr>
        <w:t>ong others:</w:t>
      </w:r>
    </w:p>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We assessed the design and implementation of management controls around the determination of inputs used in the quantitative impairment test.</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We assessed management’s ability to forecast by comparing historical projections to actual resu</w:t>
            </w:r>
            <w:r>
              <w:rPr>
                <w:rFonts w:eastAsia="Times New Roman"/>
                <w:sz w:val="20"/>
                <w:szCs w:val="20"/>
              </w:rPr>
              <w:t>lts and comparing current forecasted projections to historical trends, industry data, and underlying business strategies.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We evaluated managements revenue growth rates, operating margins, and cash flows for consistency with relevant historical data, rec</w:t>
            </w:r>
            <w:r>
              <w:rPr>
                <w:rFonts w:eastAsia="Times New Roman"/>
                <w:sz w:val="20"/>
                <w:szCs w:val="20"/>
              </w:rPr>
              <w:t>ent changes in the business, and external industry data and forecasts.</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 xml:space="preserve">With </w:t>
            </w:r>
            <w:r>
              <w:rPr>
                <w:rFonts w:eastAsia="Times New Roman"/>
                <w:sz w:val="20"/>
                <w:szCs w:val="20"/>
              </w:rPr>
              <w:t>the assistance of our valuation professionals with specialized skills and knowledge, we evaluated the valuation methodologies, inputs, and assumptions utilized by management, including the long-term growth rate and discount rate.</w:t>
            </w:r>
          </w:p>
        </w:tc>
      </w:tr>
      <w:tr w:rsidR="00000000">
        <w:tc>
          <w:tcPr>
            <w:tcW w:w="0" w:type="auto"/>
            <w:hideMark/>
          </w:tcPr>
          <w:p w:rsidR="00000000" w:rsidRDefault="003A6737">
            <w:pPr>
              <w:rPr>
                <w:rFonts w:eastAsia="Times New Roman"/>
                <w:sz w:val="20"/>
                <w:szCs w:val="20"/>
              </w:rPr>
            </w:pPr>
            <w:r>
              <w:rPr>
                <w:rFonts w:eastAsia="Times New Roman"/>
                <w:sz w:val="20"/>
                <w:szCs w:val="20"/>
              </w:rPr>
              <w:t>●</w:t>
            </w:r>
          </w:p>
        </w:tc>
        <w:tc>
          <w:tcPr>
            <w:tcW w:w="0" w:type="auto"/>
            <w:hideMark/>
          </w:tcPr>
          <w:p w:rsidR="00000000" w:rsidRDefault="003A6737">
            <w:pPr>
              <w:jc w:val="both"/>
              <w:rPr>
                <w:rFonts w:eastAsia="Times New Roman"/>
                <w:sz w:val="20"/>
                <w:szCs w:val="20"/>
              </w:rPr>
            </w:pPr>
            <w:r>
              <w:rPr>
                <w:rFonts w:eastAsia="Times New Roman"/>
                <w:sz w:val="20"/>
                <w:szCs w:val="20"/>
              </w:rPr>
              <w:t>We performed sensitivit</w:t>
            </w:r>
            <w:r>
              <w:rPr>
                <w:rFonts w:eastAsia="Times New Roman"/>
                <w:sz w:val="20"/>
                <w:szCs w:val="20"/>
              </w:rPr>
              <w:t>y analyses on the long-term growth rate and discount rate used to evaluate the impact that changes in these assumptions have on management’s conclusion.</w:t>
            </w:r>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c>
          <w:tcPr>
            <w:tcW w:w="0" w:type="auto"/>
            <w:hideMark/>
          </w:tcPr>
          <w:p w:rsidR="00000000" w:rsidRDefault="003A6737">
            <w:pPr>
              <w:rPr>
                <w:rFonts w:eastAsia="Times New Roman"/>
                <w:sz w:val="20"/>
                <w:szCs w:val="20"/>
              </w:rPr>
            </w:pPr>
            <w:r>
              <w:rPr>
                <w:rFonts w:eastAsia="Times New Roman"/>
                <w:sz w:val="20"/>
                <w:szCs w:val="20"/>
              </w:rPr>
              <w:t>/s/</w:t>
            </w:r>
            <w:r>
              <w:rPr>
                <w:rFonts w:eastAsia="Times New Roman"/>
                <w:sz w:val="20"/>
                <w:szCs w:val="20"/>
              </w:rPr>
              <w:t xml:space="preserve"> </w:t>
            </w:r>
            <w:r>
              <w:rPr>
                <w:rFonts w:eastAsia="Times New Roman"/>
                <w:sz w:val="20"/>
                <w:szCs w:val="20"/>
              </w:rPr>
              <w:t>GRANT THORNTON LL</w:t>
            </w:r>
            <w:r>
              <w:rPr>
                <w:rFonts w:eastAsia="Times New Roman"/>
                <w:sz w:val="20"/>
                <w:szCs w:val="20"/>
              </w:rPr>
              <w:t>P</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r>
      <w:tr w:rsidR="00000000">
        <w:tc>
          <w:tcPr>
            <w:tcW w:w="5000" w:type="pct"/>
            <w:hideMark/>
          </w:tcPr>
          <w:p w:rsidR="00000000" w:rsidRDefault="003A6737">
            <w:pPr>
              <w:rPr>
                <w:rFonts w:eastAsia="Times New Roman"/>
                <w:sz w:val="20"/>
                <w:szCs w:val="20"/>
              </w:rPr>
            </w:pPr>
            <w:r>
              <w:rPr>
                <w:rFonts w:eastAsia="Times New Roman"/>
                <w:sz w:val="20"/>
                <w:szCs w:val="20"/>
              </w:rPr>
              <w:t>We have served as the Company’s auditor since 2015.</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Iselin, New Jerse</w:t>
            </w:r>
            <w:r>
              <w:rPr>
                <w:rFonts w:eastAsia="Times New Roman"/>
                <w:sz w:val="20"/>
                <w:szCs w:val="20"/>
              </w:rPr>
              <w:t>y</w:t>
            </w:r>
          </w:p>
        </w:tc>
      </w:tr>
      <w:tr w:rsidR="00000000">
        <w:tc>
          <w:tcPr>
            <w:tcW w:w="0" w:type="auto"/>
            <w:hideMark/>
          </w:tcPr>
          <w:p w:rsidR="00000000" w:rsidRDefault="003A6737">
            <w:pPr>
              <w:rPr>
                <w:rFonts w:eastAsia="Times New Roman"/>
                <w:sz w:val="20"/>
                <w:szCs w:val="20"/>
              </w:rPr>
            </w:pPr>
            <w:r>
              <w:rPr>
                <w:rFonts w:eastAsia="Times New Roman"/>
                <w:sz w:val="20"/>
                <w:szCs w:val="20"/>
              </w:rPr>
              <w:t>March 2, 2023</w:t>
            </w:r>
          </w:p>
        </w:tc>
      </w:tr>
    </w:tbl>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58444647"/>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center"/>
        <w:rPr>
          <w:sz w:val="20"/>
          <w:szCs w:val="20"/>
        </w:rPr>
      </w:pPr>
      <w:r>
        <w:rPr>
          <w:b/>
          <w:bCs/>
          <w:sz w:val="20"/>
          <w:szCs w:val="20"/>
        </w:rPr>
        <w:t>CARECLOUD, INC.</w:t>
      </w:r>
    </w:p>
    <w:p w:rsidR="00000000" w:rsidRDefault="003A6737">
      <w:pPr>
        <w:pStyle w:val="a3"/>
        <w:spacing w:before="0" w:beforeAutospacing="0" w:after="0" w:afterAutospacing="0"/>
        <w:jc w:val="center"/>
        <w:rPr>
          <w:sz w:val="20"/>
          <w:szCs w:val="20"/>
        </w:rPr>
      </w:pPr>
      <w:r>
        <w:rPr>
          <w:b/>
          <w:bCs/>
          <w:sz w:val="20"/>
          <w:szCs w:val="20"/>
        </w:rPr>
        <w:t>CONSOLIDATED BALANCE SHEETS</w:t>
      </w:r>
    </w:p>
    <w:p w:rsidR="00000000" w:rsidRDefault="003A6737">
      <w:pPr>
        <w:pStyle w:val="a3"/>
        <w:spacing w:before="0" w:beforeAutospacing="0" w:after="0" w:afterAutospacing="0"/>
        <w:jc w:val="center"/>
        <w:rPr>
          <w:sz w:val="20"/>
          <w:szCs w:val="20"/>
        </w:rPr>
      </w:pPr>
      <w:r>
        <w:rPr>
          <w:b/>
          <w:bCs/>
          <w:sz w:val="20"/>
          <w:szCs w:val="20"/>
        </w:rPr>
        <w:t>AS OF DECEMBER 31, 2022 AND 2021</w:t>
      </w:r>
    </w:p>
    <w:p w:rsidR="00000000" w:rsidRDefault="003A6737">
      <w:pPr>
        <w:pStyle w:val="a3"/>
        <w:pBdr>
          <w:bottom w:val="single" w:sz="12" w:space="0" w:color="000000"/>
        </w:pBdr>
        <w:spacing w:before="0" w:beforeAutospacing="0" w:after="0" w:afterAutospacing="0"/>
        <w:jc w:val="center"/>
        <w:rPr>
          <w:sz w:val="20"/>
          <w:szCs w:val="20"/>
        </w:rPr>
      </w:pPr>
      <w:r>
        <w:rPr>
          <w:sz w:val="20"/>
          <w:szCs w:val="20"/>
        </w:rPr>
        <w:t>($ in thousands, except share and per share amounts)</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Balance Sheets"/>
      </w:tblPr>
      <w:tblGrid>
        <w:gridCol w:w="4979"/>
        <w:gridCol w:w="161"/>
        <w:gridCol w:w="100"/>
        <w:gridCol w:w="1324"/>
        <w:gridCol w:w="78"/>
        <w:gridCol w:w="161"/>
        <w:gridCol w:w="100"/>
        <w:gridCol w:w="1324"/>
        <w:gridCol w:w="79"/>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A673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A673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12,299</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9,340</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Restricted cash</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Accounts receivable - net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14,773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17,006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Contract asset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4,399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4,725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Inventory</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381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503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Current assets - related party</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Prepaid expenses and other current assets</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2,785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2,972</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Total current assets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34,653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35,559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Property and equipment - net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5,056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5,404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Operating lease right-of-use assets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4,921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6,940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Intangible assets - net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29,520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30,778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61,186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61,186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Other assets</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838</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981</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136,174</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140,848</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LIABILITIES AND SHAREHOLDERS’ EQUITY</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5,681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5,948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Accrued compensation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4,248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4,251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Accrued expenses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4,432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5,091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Operating lease liability (current portion)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2,273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3,963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Deferred revenue (current portion)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1,386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1,085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Deferred payroll taxes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934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Notes payable (current portion)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319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344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Contingent consideration (current portion)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3,090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Dividend payable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4,059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3,856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Consideration payable</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22,398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29,562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Notes payable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Borrowings under line of credit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8,000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8,000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Operating lease liability</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3,207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4,545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342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341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Deferred tax liability</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525</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449</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Total liabilities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34,485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42,917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COMMITMENTS AND CONTINGENCIES (NOTE 11)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SHAREHOLDERS’ EQUITY:</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xml:space="preserve">Preferred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par value - authorized</w:t>
            </w:r>
            <w:r>
              <w:rPr>
                <w:rFonts w:eastAsia="Times New Roman"/>
                <w:sz w:val="20"/>
                <w:szCs w:val="20"/>
              </w:rPr>
              <w:t xml:space="preserve"> </w:t>
            </w:r>
            <w:r>
              <w:rPr>
                <w:rFonts w:eastAsia="Times New Roman"/>
                <w:sz w:val="20"/>
                <w:szCs w:val="20"/>
              </w:rPr>
              <w:t>7,000,00</w:t>
            </w:r>
            <w:r>
              <w:rPr>
                <w:rFonts w:eastAsia="Times New Roman"/>
                <w:sz w:val="20"/>
                <w:szCs w:val="20"/>
              </w:rPr>
              <w:t>0</w:t>
            </w:r>
            <w:r>
              <w:rPr>
                <w:rFonts w:eastAsia="Times New Roman"/>
                <w:sz w:val="20"/>
                <w:szCs w:val="20"/>
              </w:rPr>
              <w:t xml:space="preserve"> shares. Series A, issued and outstanding</w:t>
            </w:r>
            <w:r>
              <w:rPr>
                <w:rFonts w:eastAsia="Times New Roman"/>
                <w:sz w:val="20"/>
                <w:szCs w:val="20"/>
              </w:rPr>
              <w:t xml:space="preserve"> </w:t>
            </w:r>
            <w:r>
              <w:rPr>
                <w:rFonts w:eastAsia="Times New Roman"/>
                <w:sz w:val="20"/>
                <w:szCs w:val="20"/>
              </w:rPr>
              <w:t>4,526,23</w:t>
            </w:r>
            <w:r>
              <w:rPr>
                <w:rFonts w:eastAsia="Times New Roman"/>
                <w:sz w:val="20"/>
                <w:szCs w:val="20"/>
              </w:rPr>
              <w:t>1</w:t>
            </w:r>
            <w:r>
              <w:rPr>
                <w:rFonts w:eastAsia="Times New Roman"/>
                <w:sz w:val="20"/>
                <w:szCs w:val="20"/>
              </w:rPr>
              <w:t xml:space="preserve"> and</w:t>
            </w:r>
            <w:r>
              <w:rPr>
                <w:rFonts w:eastAsia="Times New Roman"/>
                <w:sz w:val="20"/>
                <w:szCs w:val="20"/>
              </w:rPr>
              <w:t xml:space="preserve"> </w:t>
            </w:r>
            <w:r>
              <w:rPr>
                <w:rFonts w:eastAsia="Times New Roman"/>
                <w:sz w:val="20"/>
                <w:szCs w:val="20"/>
              </w:rPr>
              <w:t>5,299,22</w:t>
            </w:r>
            <w:r>
              <w:rPr>
                <w:rFonts w:eastAsia="Times New Roman"/>
                <w:sz w:val="20"/>
                <w:szCs w:val="20"/>
              </w:rPr>
              <w:t>7</w:t>
            </w:r>
            <w:r>
              <w:rPr>
                <w:rFonts w:eastAsia="Times New Roman"/>
                <w:sz w:val="20"/>
                <w:szCs w:val="20"/>
              </w:rPr>
              <w:t xml:space="preserve"> </w:t>
            </w:r>
            <w:r>
              <w:rPr>
                <w:rFonts w:eastAsia="Times New Roman"/>
                <w:sz w:val="20"/>
                <w:szCs w:val="20"/>
              </w:rPr>
              <w:t>shares at December 31, 2022 and December 31, 2021, respectively. Series B, issued and outstanding</w:t>
            </w:r>
            <w:r>
              <w:rPr>
                <w:rFonts w:eastAsia="Times New Roman"/>
                <w:sz w:val="20"/>
                <w:szCs w:val="20"/>
              </w:rPr>
              <w:t xml:space="preserve"> </w:t>
            </w:r>
            <w:r>
              <w:rPr>
                <w:rFonts w:eastAsia="Times New Roman"/>
                <w:sz w:val="20"/>
                <w:szCs w:val="20"/>
              </w:rPr>
              <w:t>1,344,12</w:t>
            </w:r>
            <w:r>
              <w:rPr>
                <w:rFonts w:eastAsia="Times New Roman"/>
                <w:sz w:val="20"/>
                <w:szCs w:val="20"/>
              </w:rPr>
              <w:t>8</w:t>
            </w:r>
            <w:r>
              <w:rPr>
                <w:rFonts w:eastAsia="Times New Roman"/>
                <w:sz w:val="20"/>
                <w:szCs w:val="20"/>
              </w:rPr>
              <w:t xml:space="preserve"> shares at December 31, 2022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par value - authorized</w:t>
            </w:r>
            <w:r>
              <w:rPr>
                <w:rFonts w:eastAsia="Times New Roman"/>
                <w:sz w:val="20"/>
                <w:szCs w:val="20"/>
              </w:rPr>
              <w:t xml:space="preserve"> </w:t>
            </w:r>
            <w:r>
              <w:rPr>
                <w:rFonts w:eastAsia="Times New Roman"/>
                <w:sz w:val="20"/>
                <w:szCs w:val="20"/>
              </w:rPr>
              <w:t>35,000,00</w:t>
            </w:r>
            <w:r>
              <w:rPr>
                <w:rFonts w:eastAsia="Times New Roman"/>
                <w:sz w:val="20"/>
                <w:szCs w:val="20"/>
              </w:rPr>
              <w:t>0</w:t>
            </w:r>
            <w:r>
              <w:rPr>
                <w:rFonts w:eastAsia="Times New Roman"/>
                <w:sz w:val="20"/>
                <w:szCs w:val="20"/>
              </w:rPr>
              <w:t xml:space="preserve"> shares. Issued</w:t>
            </w:r>
            <w:r>
              <w:rPr>
                <w:rFonts w:eastAsia="Times New Roman"/>
                <w:sz w:val="20"/>
                <w:szCs w:val="20"/>
              </w:rPr>
              <w:t xml:space="preserve"> </w:t>
            </w:r>
            <w:r>
              <w:rPr>
                <w:rFonts w:eastAsia="Times New Roman"/>
                <w:sz w:val="20"/>
                <w:szCs w:val="20"/>
              </w:rPr>
              <w:t>15,970,20</w:t>
            </w:r>
            <w:r>
              <w:rPr>
                <w:rFonts w:eastAsia="Times New Roman"/>
                <w:sz w:val="20"/>
                <w:szCs w:val="20"/>
              </w:rPr>
              <w:t>4</w:t>
            </w:r>
            <w:r>
              <w:rPr>
                <w:rFonts w:eastAsia="Times New Roman"/>
                <w:sz w:val="20"/>
                <w:szCs w:val="20"/>
              </w:rPr>
              <w:t xml:space="preserve"> and</w:t>
            </w:r>
            <w:r>
              <w:rPr>
                <w:rFonts w:eastAsia="Times New Roman"/>
                <w:sz w:val="20"/>
                <w:szCs w:val="20"/>
              </w:rPr>
              <w:t xml:space="preserve"> </w:t>
            </w:r>
            <w:r>
              <w:rPr>
                <w:rFonts w:eastAsia="Times New Roman"/>
                <w:sz w:val="20"/>
                <w:szCs w:val="20"/>
              </w:rPr>
              <w:t>15,657,64</w:t>
            </w:r>
            <w:r>
              <w:rPr>
                <w:rFonts w:eastAsia="Times New Roman"/>
                <w:sz w:val="20"/>
                <w:szCs w:val="20"/>
              </w:rPr>
              <w:t>1</w:t>
            </w:r>
            <w:r>
              <w:rPr>
                <w:rFonts w:eastAsia="Times New Roman"/>
                <w:sz w:val="20"/>
                <w:szCs w:val="20"/>
              </w:rPr>
              <w:t xml:space="preserve"> shares </w:t>
            </w:r>
            <w:r>
              <w:rPr>
                <w:rFonts w:eastAsia="Times New Roman"/>
                <w:sz w:val="20"/>
                <w:szCs w:val="20"/>
              </w:rPr>
              <w:t>at December 31, 2022 and December 31, 2021, respectively. Outstanding</w:t>
            </w:r>
            <w:r>
              <w:rPr>
                <w:rFonts w:eastAsia="Times New Roman"/>
                <w:sz w:val="20"/>
                <w:szCs w:val="20"/>
              </w:rPr>
              <w:t xml:space="preserve"> </w:t>
            </w:r>
            <w:r>
              <w:rPr>
                <w:rFonts w:eastAsia="Times New Roman"/>
                <w:sz w:val="20"/>
                <w:szCs w:val="20"/>
              </w:rPr>
              <w:t>15,229,40</w:t>
            </w:r>
            <w:r>
              <w:rPr>
                <w:rFonts w:eastAsia="Times New Roman"/>
                <w:sz w:val="20"/>
                <w:szCs w:val="20"/>
              </w:rPr>
              <w:t>5</w:t>
            </w:r>
            <w:r>
              <w:rPr>
                <w:rFonts w:eastAsia="Times New Roman"/>
                <w:sz w:val="20"/>
                <w:szCs w:val="20"/>
              </w:rPr>
              <w:t xml:space="preserve"> and</w:t>
            </w:r>
            <w:r>
              <w:rPr>
                <w:rFonts w:eastAsia="Times New Roman"/>
                <w:sz w:val="20"/>
                <w:szCs w:val="20"/>
              </w:rPr>
              <w:t xml:space="preserve"> </w:t>
            </w:r>
            <w:r>
              <w:rPr>
                <w:rFonts w:eastAsia="Times New Roman"/>
                <w:sz w:val="20"/>
                <w:szCs w:val="20"/>
              </w:rPr>
              <w:t>14,916,84</w:t>
            </w:r>
            <w:r>
              <w:rPr>
                <w:rFonts w:eastAsia="Times New Roman"/>
                <w:sz w:val="20"/>
                <w:szCs w:val="20"/>
              </w:rPr>
              <w:t>2</w:t>
            </w:r>
            <w:r>
              <w:rPr>
                <w:rFonts w:eastAsia="Times New Roman"/>
                <w:sz w:val="20"/>
                <w:szCs w:val="20"/>
              </w:rPr>
              <w:t xml:space="preserve"> shares at December 31, 2022 and December 31, 2021, respectively</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Additional paid-in capital</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130,987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131,379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Accumulated deficit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(25,621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(31,053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Accumulated other comprehensive loss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(3,037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(1,754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Less:</w:t>
            </w:r>
            <w:r>
              <w:rPr>
                <w:rFonts w:eastAsia="Times New Roman"/>
                <w:sz w:val="20"/>
                <w:szCs w:val="20"/>
              </w:rPr>
              <w:t xml:space="preserve"> </w:t>
            </w:r>
            <w:r>
              <w:rPr>
                <w:rFonts w:eastAsia="Times New Roman"/>
                <w:sz w:val="20"/>
                <w:szCs w:val="20"/>
              </w:rPr>
              <w:t>740,79</w:t>
            </w:r>
            <w:r>
              <w:rPr>
                <w:rFonts w:eastAsia="Times New Roman"/>
                <w:sz w:val="20"/>
                <w:szCs w:val="20"/>
              </w:rPr>
              <w:t>9</w:t>
            </w:r>
            <w:r>
              <w:rPr>
                <w:rFonts w:eastAsia="Times New Roman"/>
                <w:sz w:val="20"/>
                <w:szCs w:val="20"/>
              </w:rPr>
              <w:t xml:space="preserve"> </w:t>
            </w:r>
            <w:r>
              <w:rPr>
                <w:rFonts w:eastAsia="Times New Roman"/>
                <w:sz w:val="20"/>
                <w:szCs w:val="20"/>
              </w:rPr>
              <w:t>common shares held in treasury, at cost at December 31, 2022 and December 31, 2021</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(662</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(662</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Total shareholders’ equity</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101,689</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97,931</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TOTAL LIABILITIES AND SHAREHOLDERS’ EQUITY</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136,174</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140,848</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rPr>
          <w:sz w:val="20"/>
          <w:szCs w:val="20"/>
        </w:rPr>
      </w:pPr>
      <w:r>
        <w:rPr>
          <w:sz w:val="20"/>
          <w:szCs w:val="20"/>
        </w:rPr>
        <w:t xml:space="preserve">See </w:t>
      </w:r>
      <w:r>
        <w:rPr>
          <w:sz w:val="20"/>
          <w:szCs w:val="20"/>
        </w:rPr>
        <w:t>notes to consolidated financial statements.</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19667809"/>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center"/>
        <w:rPr>
          <w:sz w:val="20"/>
          <w:szCs w:val="20"/>
        </w:rPr>
      </w:pPr>
      <w:r>
        <w:rPr>
          <w:b/>
          <w:bCs/>
          <w:sz w:val="20"/>
          <w:szCs w:val="20"/>
        </w:rPr>
        <w:t>CARECLOUD, INC.</w:t>
      </w:r>
    </w:p>
    <w:p w:rsidR="00000000" w:rsidRDefault="003A6737">
      <w:pPr>
        <w:pStyle w:val="a3"/>
        <w:spacing w:before="0" w:beforeAutospacing="0" w:after="0" w:afterAutospacing="0"/>
        <w:jc w:val="center"/>
        <w:rPr>
          <w:sz w:val="20"/>
          <w:szCs w:val="20"/>
        </w:rPr>
      </w:pPr>
      <w:r>
        <w:rPr>
          <w:b/>
          <w:bCs/>
          <w:sz w:val="20"/>
          <w:szCs w:val="20"/>
        </w:rPr>
        <w:t xml:space="preserve">CONSOLIDATED STATEMENTS OF OPERATIONS </w:t>
      </w:r>
    </w:p>
    <w:p w:rsidR="00000000" w:rsidRDefault="003A6737">
      <w:pPr>
        <w:pStyle w:val="a3"/>
        <w:spacing w:before="0" w:beforeAutospacing="0" w:after="0" w:afterAutospacing="0"/>
        <w:jc w:val="center"/>
        <w:rPr>
          <w:sz w:val="20"/>
          <w:szCs w:val="20"/>
        </w:rPr>
      </w:pPr>
      <w:r>
        <w:rPr>
          <w:b/>
          <w:bCs/>
          <w:sz w:val="20"/>
          <w:szCs w:val="20"/>
        </w:rPr>
        <w:t>FOR THE YEARS ENDED DECEMBER 31, 2022 AND 2021</w:t>
      </w:r>
    </w:p>
    <w:p w:rsidR="00000000" w:rsidRDefault="003A6737">
      <w:pPr>
        <w:pStyle w:val="a3"/>
        <w:pBdr>
          <w:bottom w:val="single" w:sz="12" w:space="0" w:color="000000"/>
        </w:pBdr>
        <w:spacing w:before="0" w:beforeAutospacing="0" w:after="0" w:afterAutospacing="0"/>
        <w:jc w:val="center"/>
        <w:rPr>
          <w:sz w:val="20"/>
          <w:szCs w:val="20"/>
        </w:rPr>
      </w:pPr>
      <w:r>
        <w:rPr>
          <w:sz w:val="20"/>
          <w:szCs w:val="20"/>
        </w:rPr>
        <w:t xml:space="preserve">($ </w:t>
      </w:r>
      <w:r>
        <w:rPr>
          <w:sz w:val="20"/>
          <w:szCs w:val="20"/>
        </w:rPr>
        <w:t>in thousands, except share and per share amounts)</w:t>
      </w:r>
    </w:p>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Operations"/>
      </w:tblPr>
      <w:tblGrid>
        <w:gridCol w:w="4979"/>
        <w:gridCol w:w="161"/>
        <w:gridCol w:w="100"/>
        <w:gridCol w:w="1324"/>
        <w:gridCol w:w="78"/>
        <w:gridCol w:w="161"/>
        <w:gridCol w:w="100"/>
        <w:gridCol w:w="1324"/>
        <w:gridCol w:w="79"/>
      </w:tblGrid>
      <w:tr w:rsidR="00000000">
        <w:trPr>
          <w:hidden/>
        </w:trPr>
        <w:tc>
          <w:tcPr>
            <w:tcW w:w="0" w:type="auto"/>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3000" w:type="pct"/>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138,826</w:t>
            </w:r>
          </w:p>
        </w:tc>
        <w:tc>
          <w:tcPr>
            <w:tcW w:w="50" w:type="pct"/>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139,599</w:t>
            </w:r>
          </w:p>
        </w:tc>
        <w:tc>
          <w:tcPr>
            <w:tcW w:w="50" w:type="pct"/>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84,434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86,918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9,788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8,786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23,820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24,273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4,401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4,408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(3,090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(2,515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11,725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12,195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1,138</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2,005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132,216</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136,070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OPERATING INCOME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6,610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3,529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OPERATING INCOME (LOSS)</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6,610</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3,529</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OTHER:</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Interest income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(405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(455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Other expense - net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(637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(96</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INCOME BEFORE PROVISION FOR INCOME TAXES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5,609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2,993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Income tax provision</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177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157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INCOME</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5,432</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2,836</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Preferred stock dividend</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15,517</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14,052</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(10,085</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(11,216</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Net loss per common share: basic and diluted</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(0.67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(0.77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15,109,587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14,541,061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rPr>
          <w:sz w:val="20"/>
          <w:szCs w:val="20"/>
        </w:rPr>
      </w:pPr>
      <w:r>
        <w:rPr>
          <w:sz w:val="20"/>
          <w:szCs w:val="20"/>
        </w:rPr>
        <w:t>See notes to consolidated financial statements.</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93522819"/>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b/>
          <w:bCs/>
          <w:sz w:val="20"/>
          <w:szCs w:val="20"/>
        </w:rPr>
        <w:t> </w:t>
      </w:r>
    </w:p>
    <w:p w:rsidR="00000000" w:rsidRDefault="003A6737">
      <w:pPr>
        <w:pStyle w:val="a3"/>
        <w:spacing w:before="0" w:beforeAutospacing="0" w:after="0" w:afterAutospacing="0"/>
        <w:jc w:val="center"/>
        <w:rPr>
          <w:sz w:val="20"/>
          <w:szCs w:val="20"/>
        </w:rPr>
      </w:pPr>
      <w:r>
        <w:rPr>
          <w:b/>
          <w:bCs/>
          <w:sz w:val="20"/>
          <w:szCs w:val="20"/>
        </w:rPr>
        <w:t>CARECLOUD, INC.</w:t>
      </w:r>
    </w:p>
    <w:p w:rsidR="00000000" w:rsidRDefault="003A6737">
      <w:pPr>
        <w:pStyle w:val="a3"/>
        <w:spacing w:before="0" w:beforeAutospacing="0" w:after="0" w:afterAutospacing="0"/>
        <w:jc w:val="center"/>
        <w:rPr>
          <w:sz w:val="20"/>
          <w:szCs w:val="20"/>
        </w:rPr>
      </w:pPr>
      <w:r>
        <w:rPr>
          <w:b/>
          <w:bCs/>
          <w:sz w:val="20"/>
          <w:szCs w:val="20"/>
        </w:rPr>
        <w:t xml:space="preserve">CONSOLIDATED </w:t>
      </w:r>
      <w:r>
        <w:rPr>
          <w:b/>
          <w:bCs/>
          <w:sz w:val="20"/>
          <w:szCs w:val="20"/>
        </w:rPr>
        <w:t xml:space="preserve">STATEMENTS OF COMPREHENSIVE INCOME </w:t>
      </w:r>
    </w:p>
    <w:p w:rsidR="00000000" w:rsidRDefault="003A6737">
      <w:pPr>
        <w:pStyle w:val="a3"/>
        <w:spacing w:before="0" w:beforeAutospacing="0" w:after="0" w:afterAutospacing="0"/>
        <w:jc w:val="center"/>
        <w:rPr>
          <w:sz w:val="20"/>
          <w:szCs w:val="20"/>
        </w:rPr>
      </w:pPr>
      <w:r>
        <w:rPr>
          <w:b/>
          <w:bCs/>
          <w:sz w:val="20"/>
          <w:szCs w:val="20"/>
        </w:rPr>
        <w:t>FOR THE YEARS ENDED DECEMBER 31, 2022 AND 2021</w:t>
      </w:r>
    </w:p>
    <w:p w:rsidR="00000000" w:rsidRDefault="003A6737">
      <w:pPr>
        <w:pStyle w:val="a3"/>
        <w:pBdr>
          <w:bottom w:val="single" w:sz="12" w:space="0" w:color="000000"/>
        </w:pBdr>
        <w:spacing w:before="0" w:beforeAutospacing="0" w:after="0" w:afterAutospacing="0"/>
        <w:jc w:val="center"/>
        <w:rPr>
          <w:sz w:val="20"/>
          <w:szCs w:val="20"/>
        </w:rPr>
      </w:pPr>
      <w:r>
        <w:rPr>
          <w:sz w:val="20"/>
          <w:szCs w:val="20"/>
        </w:rPr>
        <w:t>($ in thousands)</w:t>
      </w:r>
    </w:p>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Comprehensive Income"/>
      </w:tblPr>
      <w:tblGrid>
        <w:gridCol w:w="4979"/>
        <w:gridCol w:w="161"/>
        <w:gridCol w:w="100"/>
        <w:gridCol w:w="1324"/>
        <w:gridCol w:w="78"/>
        <w:gridCol w:w="161"/>
        <w:gridCol w:w="100"/>
        <w:gridCol w:w="1324"/>
        <w:gridCol w:w="79"/>
      </w:tblGrid>
      <w:tr w:rsidR="00000000">
        <w:trPr>
          <w:hidden/>
        </w:trPr>
        <w:tc>
          <w:tcPr>
            <w:tcW w:w="0" w:type="auto"/>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3A6737">
            <w:pPr>
              <w:rPr>
                <w:rFonts w:eastAsia="Times New Roman"/>
                <w:sz w:val="20"/>
                <w:szCs w:val="20"/>
              </w:rPr>
            </w:pPr>
            <w:r>
              <w:rPr>
                <w:rFonts w:eastAsia="Times New Roman"/>
                <w:sz w:val="20"/>
                <w:szCs w:val="20"/>
              </w:rPr>
              <w:t>NET INCOME</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5,432</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2,836</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OTHER COMPREHENSIVE LOSS, NET OF TAX</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Foreign currency translation adjustment (a)</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vanish/>
                <w:sz w:val="20"/>
                <w:szCs w:val="20"/>
              </w:rPr>
              <w:t>(a</w:t>
            </w:r>
            <w:r>
              <w:rPr>
                <w:rFonts w:eastAsia="Times New Roman"/>
                <w:vanish/>
                <w:sz w:val="20"/>
                <w:szCs w:val="20"/>
              </w:rPr>
              <w:t>)</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(1,283</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(750</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COMPREHENSIVE INCOME</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4,149</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2,086</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0"/>
        <w:gridCol w:w="100"/>
        <w:gridCol w:w="7906"/>
      </w:tblGrid>
      <w:tr w:rsidR="00000000">
        <w:trPr>
          <w:tblCellSpacing w:w="0" w:type="dxa"/>
        </w:trPr>
        <w:tc>
          <w:tcPr>
            <w:tcW w:w="300" w:type="dxa"/>
            <w:hideMark/>
          </w:tcPr>
          <w:p w:rsidR="00000000" w:rsidRDefault="003A6737">
            <w:pPr>
              <w:spacing w:after="120"/>
              <w:jc w:val="right"/>
              <w:rPr>
                <w:rFonts w:eastAsia="Times New Roman"/>
                <w:sz w:val="20"/>
                <w:szCs w:val="20"/>
              </w:rPr>
            </w:pPr>
            <w:r>
              <w:rPr>
                <w:rFonts w:eastAsia="Times New Roman"/>
                <w:sz w:val="20"/>
                <w:szCs w:val="20"/>
              </w:rPr>
              <w:t>(a</w:t>
            </w:r>
            <w:r>
              <w:rPr>
                <w:rFonts w:eastAsia="Times New Roman"/>
                <w:sz w:val="20"/>
                <w:szCs w:val="20"/>
              </w:rPr>
              <w:t>)</w:t>
            </w:r>
          </w:p>
        </w:tc>
        <w:tc>
          <w:tcPr>
            <w:tcW w:w="100" w:type="dxa"/>
            <w:hideMark/>
          </w:tcPr>
          <w:p w:rsidR="00000000" w:rsidRDefault="003A6737">
            <w:pPr>
              <w:spacing w:after="120"/>
              <w:jc w:val="right"/>
              <w:rPr>
                <w:rFonts w:eastAsia="Times New Roman"/>
                <w:sz w:val="20"/>
                <w:szCs w:val="20"/>
              </w:rPr>
            </w:pPr>
          </w:p>
        </w:tc>
        <w:tc>
          <w:tcPr>
            <w:tcW w:w="0" w:type="auto"/>
            <w:hideMark/>
          </w:tcPr>
          <w:p w:rsidR="00000000" w:rsidRDefault="003A6737">
            <w:pPr>
              <w:spacing w:after="120"/>
              <w:jc w:val="both"/>
              <w:rPr>
                <w:rFonts w:eastAsia="Times New Roman"/>
                <w:sz w:val="20"/>
                <w:szCs w:val="20"/>
              </w:rPr>
            </w:pPr>
            <w:r>
              <w:rPr>
                <w:rFonts w:eastAsia="Times New Roman"/>
                <w:sz w:val="20"/>
                <w:szCs w:val="20"/>
              </w:rPr>
              <w:t xml:space="preserve">No </w:t>
            </w:r>
            <w:r>
              <w:rPr>
                <w:rFonts w:eastAsia="Times New Roman"/>
                <w:sz w:val="20"/>
                <w:szCs w:val="20"/>
              </w:rPr>
              <w:t>tax effect has been recorded as the Company recorded a valuation allowance against the tax benefit from its foreign currency translation adjustments</w:t>
            </w:r>
            <w:r>
              <w:rPr>
                <w:rFonts w:eastAsia="Times New Roman"/>
                <w:sz w:val="20"/>
                <w:szCs w:val="20"/>
              </w:rPr>
              <w:t>.</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sz w:val="20"/>
          <w:szCs w:val="20"/>
        </w:rPr>
      </w:pPr>
      <w:r>
        <w:rPr>
          <w:sz w:val="20"/>
          <w:szCs w:val="20"/>
        </w:rPr>
        <w:t>See notes to consolidated financial statements.</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09776404"/>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center"/>
        <w:rPr>
          <w:sz w:val="20"/>
          <w:szCs w:val="20"/>
        </w:rPr>
      </w:pPr>
      <w:r>
        <w:rPr>
          <w:b/>
          <w:bCs/>
          <w:sz w:val="20"/>
          <w:szCs w:val="20"/>
        </w:rPr>
        <w:t>CARECLOUD, INC.</w:t>
      </w:r>
    </w:p>
    <w:p w:rsidR="00000000" w:rsidRDefault="003A6737">
      <w:pPr>
        <w:pStyle w:val="a3"/>
        <w:spacing w:before="0" w:beforeAutospacing="0" w:after="0" w:afterAutospacing="0"/>
        <w:jc w:val="center"/>
        <w:rPr>
          <w:sz w:val="20"/>
          <w:szCs w:val="20"/>
        </w:rPr>
      </w:pPr>
      <w:r>
        <w:rPr>
          <w:b/>
          <w:bCs/>
          <w:sz w:val="20"/>
          <w:szCs w:val="20"/>
        </w:rPr>
        <w:t xml:space="preserve">CONSOLIDATED </w:t>
      </w:r>
      <w:r>
        <w:rPr>
          <w:b/>
          <w:bCs/>
          <w:sz w:val="20"/>
          <w:szCs w:val="20"/>
        </w:rPr>
        <w:t>STATEMENTS OF SHAREHOLDERS’ EQUITY</w:t>
      </w:r>
    </w:p>
    <w:p w:rsidR="00000000" w:rsidRDefault="003A6737">
      <w:pPr>
        <w:pStyle w:val="a3"/>
        <w:spacing w:before="0" w:beforeAutospacing="0" w:after="0" w:afterAutospacing="0"/>
        <w:jc w:val="center"/>
        <w:rPr>
          <w:sz w:val="20"/>
          <w:szCs w:val="20"/>
        </w:rPr>
      </w:pPr>
      <w:r>
        <w:rPr>
          <w:b/>
          <w:bCs/>
          <w:sz w:val="20"/>
          <w:szCs w:val="20"/>
        </w:rPr>
        <w:t>FOR THE YEARS ENDED DECEMBER 31, 2022 AND 2021</w:t>
      </w:r>
    </w:p>
    <w:p w:rsidR="00000000" w:rsidRDefault="003A6737">
      <w:pPr>
        <w:pStyle w:val="a3"/>
        <w:pBdr>
          <w:bottom w:val="single" w:sz="12" w:space="0" w:color="000000"/>
        </w:pBdr>
        <w:spacing w:before="0" w:beforeAutospacing="0" w:after="0" w:afterAutospacing="0"/>
        <w:jc w:val="center"/>
        <w:rPr>
          <w:sz w:val="20"/>
          <w:szCs w:val="20"/>
        </w:rPr>
      </w:pPr>
      <w:r>
        <w:rPr>
          <w:sz w:val="20"/>
          <w:szCs w:val="20"/>
        </w:rPr>
        <w:t>($ in thousands, except for number of shares)</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Shareholders&amp;apos; Equity"/>
      </w:tblPr>
      <w:tblGrid>
        <w:gridCol w:w="1161"/>
        <w:gridCol w:w="50"/>
        <w:gridCol w:w="50"/>
        <w:gridCol w:w="800"/>
        <w:gridCol w:w="67"/>
        <w:gridCol w:w="50"/>
        <w:gridCol w:w="176"/>
        <w:gridCol w:w="525"/>
        <w:gridCol w:w="50"/>
        <w:gridCol w:w="50"/>
        <w:gridCol w:w="50"/>
        <w:gridCol w:w="800"/>
        <w:gridCol w:w="50"/>
        <w:gridCol w:w="50"/>
        <w:gridCol w:w="176"/>
        <w:gridCol w:w="525"/>
        <w:gridCol w:w="50"/>
        <w:gridCol w:w="50"/>
        <w:gridCol w:w="50"/>
        <w:gridCol w:w="900"/>
        <w:gridCol w:w="50"/>
        <w:gridCol w:w="50"/>
        <w:gridCol w:w="176"/>
        <w:gridCol w:w="525"/>
        <w:gridCol w:w="50"/>
        <w:gridCol w:w="50"/>
        <w:gridCol w:w="228"/>
        <w:gridCol w:w="684"/>
        <w:gridCol w:w="67"/>
        <w:gridCol w:w="50"/>
        <w:gridCol w:w="284"/>
        <w:gridCol w:w="850"/>
        <w:gridCol w:w="67"/>
        <w:gridCol w:w="50"/>
        <w:gridCol w:w="334"/>
        <w:gridCol w:w="1000"/>
        <w:gridCol w:w="67"/>
        <w:gridCol w:w="50"/>
        <w:gridCol w:w="231"/>
        <w:gridCol w:w="692"/>
        <w:gridCol w:w="67"/>
        <w:gridCol w:w="50"/>
        <w:gridCol w:w="300"/>
        <w:gridCol w:w="900"/>
        <w:gridCol w:w="67"/>
      </w:tblGrid>
      <w:tr w:rsidR="00000000">
        <w:trPr>
          <w:hidden/>
        </w:trPr>
        <w:tc>
          <w:tcPr>
            <w:tcW w:w="0" w:type="auto"/>
            <w:vAlign w:val="bottom"/>
            <w:hideMark/>
          </w:tcPr>
          <w:p w:rsidR="00000000" w:rsidRDefault="003A6737">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Shares</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Amount</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Shares</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Amount</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Shares</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Amount</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Capital</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Deficit</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Loss</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Stock</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Equity</w:t>
            </w:r>
          </w:p>
        </w:tc>
        <w:tc>
          <w:tcPr>
            <w:tcW w:w="0" w:type="auto"/>
            <w:tcMar>
              <w:top w:w="0" w:type="dxa"/>
              <w:left w:w="0" w:type="dxa"/>
              <w:bottom w:w="30" w:type="dxa"/>
              <w:right w:w="0" w:type="dxa"/>
            </w:tcMar>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A673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Preferred Stock Series A</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Preferred Stock Series B</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Additional Paid-in</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3A6737">
            <w:pPr>
              <w:pStyle w:val="a3"/>
              <w:spacing w:before="0" w:beforeAutospacing="0" w:after="0" w:afterAutospacing="0"/>
              <w:jc w:val="center"/>
              <w:rPr>
                <w:b/>
                <w:bCs/>
                <w:sz w:val="20"/>
                <w:szCs w:val="20"/>
              </w:rPr>
            </w:pPr>
            <w:r>
              <w:rPr>
                <w:b/>
                <w:bCs/>
                <w:sz w:val="20"/>
                <w:szCs w:val="20"/>
              </w:rPr>
              <w:t>Accumulated Other</w:t>
            </w:r>
          </w:p>
          <w:p w:rsidR="00000000" w:rsidRDefault="003A6737">
            <w:pPr>
              <w:pStyle w:val="a3"/>
              <w:spacing w:before="0" w:beforeAutospacing="0" w:after="0" w:afterAutospacing="0"/>
              <w:jc w:val="center"/>
              <w:rPr>
                <w:b/>
                <w:bCs/>
                <w:sz w:val="20"/>
                <w:szCs w:val="20"/>
              </w:rPr>
            </w:pPr>
            <w:r>
              <w:rPr>
                <w:b/>
                <w:bCs/>
                <w:sz w:val="20"/>
                <w:szCs w:val="20"/>
              </w:rPr>
              <w:t>Comprehensive</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3A6737">
            <w:pPr>
              <w:pStyle w:val="a3"/>
              <w:spacing w:before="0" w:beforeAutospacing="0" w:after="0" w:afterAutospacing="0"/>
              <w:jc w:val="center"/>
              <w:rPr>
                <w:b/>
                <w:bCs/>
                <w:sz w:val="20"/>
                <w:szCs w:val="20"/>
              </w:rPr>
            </w:pPr>
            <w:r>
              <w:rPr>
                <w:b/>
                <w:bCs/>
                <w:sz w:val="20"/>
                <w:szCs w:val="20"/>
              </w:rPr>
              <w:t>Treasury</w:t>
            </w:r>
          </w:p>
          <w:p w:rsidR="00000000" w:rsidRDefault="003A6737">
            <w:pPr>
              <w:pStyle w:val="a3"/>
              <w:spacing w:before="0" w:beforeAutospacing="0" w:after="0" w:afterAutospacing="0"/>
              <w:jc w:val="center"/>
              <w:rPr>
                <w:b/>
                <w:bCs/>
                <w:sz w:val="20"/>
                <w:szCs w:val="20"/>
              </w:rPr>
            </w:pPr>
            <w:r>
              <w:rPr>
                <w:b/>
                <w:bCs/>
                <w:sz w:val="20"/>
                <w:szCs w:val="20"/>
              </w:rPr>
              <w:t>(Common)</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3A6737">
            <w:pPr>
              <w:pStyle w:val="a3"/>
              <w:spacing w:before="0" w:beforeAutospacing="0" w:after="0" w:afterAutospacing="0"/>
              <w:jc w:val="center"/>
              <w:rPr>
                <w:b/>
                <w:bCs/>
                <w:sz w:val="20"/>
                <w:szCs w:val="20"/>
              </w:rPr>
            </w:pPr>
            <w:r>
              <w:rPr>
                <w:b/>
                <w:bCs/>
                <w:sz w:val="20"/>
                <w:szCs w:val="20"/>
              </w:rPr>
              <w:t>Total</w:t>
            </w:r>
          </w:p>
          <w:p w:rsidR="00000000" w:rsidRDefault="003A6737">
            <w:pPr>
              <w:pStyle w:val="a3"/>
              <w:spacing w:before="0" w:beforeAutospacing="0" w:after="0" w:afterAutospacing="0"/>
              <w:jc w:val="center"/>
              <w:rPr>
                <w:b/>
                <w:bCs/>
                <w:sz w:val="20"/>
                <w:szCs w:val="20"/>
              </w:rPr>
            </w:pPr>
            <w:r>
              <w:rPr>
                <w:b/>
                <w:bCs/>
                <w:sz w:val="20"/>
                <w:szCs w:val="20"/>
              </w:rPr>
              <w:t>Shareholders’</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Loss</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Stock</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Equity</w:t>
            </w:r>
          </w:p>
        </w:tc>
        <w:tc>
          <w:tcPr>
            <w:tcW w:w="0" w:type="auto"/>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 </w:t>
            </w:r>
          </w:p>
        </w:tc>
      </w:tr>
      <w:tr w:rsidR="003A6737">
        <w:tc>
          <w:tcPr>
            <w:tcW w:w="1700" w:type="pct"/>
            <w:shd w:val="clear" w:color="auto" w:fill="CCEEFF"/>
            <w:vAlign w:val="bottom"/>
            <w:hideMark/>
          </w:tcPr>
          <w:p w:rsidR="00000000" w:rsidRDefault="003A6737">
            <w:pPr>
              <w:rPr>
                <w:rFonts w:eastAsia="Times New Roman"/>
                <w:sz w:val="20"/>
                <w:szCs w:val="20"/>
              </w:rPr>
            </w:pPr>
            <w:r>
              <w:rPr>
                <w:rFonts w:eastAsia="Times New Roman"/>
                <w:sz w:val="20"/>
                <w:szCs w:val="20"/>
              </w:rPr>
              <w:t>Balance - January 1, 2022</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5,299,227</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5</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15,657,641</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16</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131,379</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(31,053</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(1,754</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(662</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97,931</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Net income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5,432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5,432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Foreign currency translation adjustment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(1,283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(1,283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Issuance of stock under the equity incentive plan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27,004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19,270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303,491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Redemption of Series A Preferred Stock</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(800,000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(20,005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(20,005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Exercise of common stock warrants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9,072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Issuance of Series B Preferred Stock</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1,324,858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30,900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30,901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Stock issuance costs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Stock-based compensation, net of cash settlements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4,262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4,262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Preferred stock dividends</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(15,517</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(15,517</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3A6737">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Balance - December 31, 2022</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4,526,231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5</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1,344,128</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15,970,204</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16</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130,987</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(25,621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(3,037</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(662</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101,689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Balance - January 1, 2021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5,475,279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14,121,044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136,781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(33,889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(1,004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(662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101,245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rPr>
          <w:hidden/>
        </w:trPr>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Balance</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5,475,279</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5</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14,121,044</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14</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136,781</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(33,889</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(1,004</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(662</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101,245</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Net income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2,836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2,836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Foreign currency translation adjustment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(750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(750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Issuance of stock under the equity incentive plan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39,770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332,208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Cancellation of shares held in escrow</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(215,822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Settlement of contingent liability</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r>
              <w:rPr>
                <w:rFonts w:eastAsia="Times New Roman"/>
                <w:sz w:val="20"/>
                <w:szCs w:val="20"/>
              </w:rPr>
              <w:t>4,000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(4,000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Sale of common stock</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346,389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2,730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2,731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Exercise of common stock warrants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858,000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6,434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6,435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Stock-based compensation, net of cash settlements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3,486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3,486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3A6737">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Preferred stock dividends</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(14,052</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(14,052</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3A6737">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Balance - December 31, 2021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5,299,227</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5</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15,657,641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16</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131,379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(31,053</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(1,754</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(662</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97,931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3A6737">
        <w:trPr>
          <w:hidden/>
        </w:trPr>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Balance</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5,299,227</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5</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15,657,641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16</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131,379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(31,053</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(1,754</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(662</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97,931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For all years presented, the preferred stock dividends were paid monthly at the rate of $2.75 and $2.19 for Series A and Series B, respectively, per share per annum.</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sz w:val="20"/>
          <w:szCs w:val="20"/>
        </w:rPr>
      </w:pPr>
      <w:r>
        <w:rPr>
          <w:sz w:val="20"/>
          <w:szCs w:val="20"/>
        </w:rPr>
        <w:t xml:space="preserve">See </w:t>
      </w:r>
      <w:r>
        <w:rPr>
          <w:sz w:val="20"/>
          <w:szCs w:val="20"/>
        </w:rPr>
        <w:t>notes to consolidated financial statements.</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48982937"/>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center"/>
        <w:rPr>
          <w:sz w:val="20"/>
          <w:szCs w:val="20"/>
        </w:rPr>
      </w:pPr>
      <w:r>
        <w:rPr>
          <w:b/>
          <w:bCs/>
          <w:sz w:val="20"/>
          <w:szCs w:val="20"/>
        </w:rPr>
        <w:t>CARECLOUD, INC.</w:t>
      </w:r>
    </w:p>
    <w:p w:rsidR="00000000" w:rsidRDefault="003A6737">
      <w:pPr>
        <w:pStyle w:val="a3"/>
        <w:spacing w:before="0" w:beforeAutospacing="0" w:after="0" w:afterAutospacing="0"/>
        <w:jc w:val="center"/>
        <w:rPr>
          <w:sz w:val="20"/>
          <w:szCs w:val="20"/>
        </w:rPr>
      </w:pPr>
      <w:r>
        <w:rPr>
          <w:b/>
          <w:bCs/>
          <w:sz w:val="20"/>
          <w:szCs w:val="20"/>
        </w:rPr>
        <w:t xml:space="preserve">CONSOLIDATED STATEMENTS OF CASH FLOWS </w:t>
      </w:r>
    </w:p>
    <w:p w:rsidR="00000000" w:rsidRDefault="003A6737">
      <w:pPr>
        <w:pStyle w:val="a3"/>
        <w:spacing w:before="0" w:beforeAutospacing="0" w:after="0" w:afterAutospacing="0"/>
        <w:jc w:val="center"/>
        <w:rPr>
          <w:sz w:val="20"/>
          <w:szCs w:val="20"/>
        </w:rPr>
      </w:pPr>
      <w:r>
        <w:rPr>
          <w:b/>
          <w:bCs/>
          <w:sz w:val="20"/>
          <w:szCs w:val="20"/>
        </w:rPr>
        <w:t>FOR THE YEARS ENDED DECEMBER 31, 2022 AND 2021</w:t>
      </w:r>
    </w:p>
    <w:p w:rsidR="00000000" w:rsidRDefault="003A6737">
      <w:pPr>
        <w:pStyle w:val="a3"/>
        <w:pBdr>
          <w:bottom w:val="single" w:sz="12" w:space="0" w:color="000000"/>
        </w:pBdr>
        <w:spacing w:before="0" w:beforeAutospacing="0" w:after="0" w:afterAutospacing="0"/>
        <w:jc w:val="center"/>
        <w:rPr>
          <w:sz w:val="20"/>
          <w:szCs w:val="20"/>
        </w:rPr>
      </w:pPr>
      <w:r>
        <w:rPr>
          <w:sz w:val="20"/>
          <w:szCs w:val="20"/>
        </w:rPr>
        <w:t>($ in thousands)</w:t>
      </w:r>
    </w:p>
    <w:p w:rsidR="00000000" w:rsidRDefault="003A67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Cash Flows"/>
      </w:tblPr>
      <w:tblGrid>
        <w:gridCol w:w="4979"/>
        <w:gridCol w:w="161"/>
        <w:gridCol w:w="100"/>
        <w:gridCol w:w="1324"/>
        <w:gridCol w:w="78"/>
        <w:gridCol w:w="161"/>
        <w:gridCol w:w="100"/>
        <w:gridCol w:w="1324"/>
        <w:gridCol w:w="79"/>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OPERATING ACTIVITIES: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3000" w:type="pct"/>
            <w:shd w:val="clear" w:color="auto" w:fill="FFFFFF"/>
            <w:vAlign w:val="bottom"/>
            <w:hideMark/>
          </w:tcPr>
          <w:p w:rsidR="00000000" w:rsidRDefault="003A6737">
            <w:pPr>
              <w:rPr>
                <w:rFonts w:eastAsia="Times New Roman"/>
                <w:sz w:val="20"/>
                <w:szCs w:val="20"/>
              </w:rPr>
            </w:pPr>
            <w:r>
              <w:rPr>
                <w:rFonts w:eastAsia="Times New Roman"/>
                <w:sz w:val="20"/>
                <w:szCs w:val="20"/>
              </w:rPr>
              <w:t>Net income</w:t>
            </w:r>
          </w:p>
        </w:tc>
        <w:tc>
          <w:tcPr>
            <w:tcW w:w="10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3A6737">
            <w:pPr>
              <w:jc w:val="right"/>
              <w:rPr>
                <w:rFonts w:eastAsia="Times New Roman"/>
                <w:sz w:val="20"/>
                <w:szCs w:val="20"/>
              </w:rPr>
            </w:pPr>
            <w:r>
              <w:rPr>
                <w:rFonts w:eastAsia="Times New Roman"/>
                <w:sz w:val="20"/>
                <w:szCs w:val="20"/>
              </w:rPr>
              <w:t>5,432</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3A6737">
            <w:pPr>
              <w:jc w:val="right"/>
              <w:rPr>
                <w:rFonts w:eastAsia="Times New Roman"/>
                <w:sz w:val="20"/>
                <w:szCs w:val="20"/>
              </w:rPr>
            </w:pPr>
            <w:r>
              <w:rPr>
                <w:rFonts w:eastAsia="Times New Roman"/>
                <w:sz w:val="20"/>
                <w:szCs w:val="20"/>
              </w:rPr>
              <w:t>2,836</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Adjustments to reconcile net income to net cash provided by operating activities: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12,318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12,676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Lease amortization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3,286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3,574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302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(72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Provision for doubtful accounts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740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890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Provision for deferred income taxes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76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289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Foreign exchange loss (gain)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610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Interest accretion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596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857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Loss on sale of assets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172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4,914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5,396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(3,090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(2,515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Adjustment of goodwill</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Changes in operating assets and liabilities, net of businesses acquired:</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1,493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(620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326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(620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Inventory</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122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(104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Other assets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619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921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Accounts payable and other liabilities</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(6,593</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(10,366</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Net cash provided by operating activities</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21,151</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13,334</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INVESTING ACTIVITIES: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Purchases of property and equipment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(2,588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(2,928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Capitalized software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(9,179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(7,636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Cash paid for acquisition (net)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(12,582</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Net cash used in investing activities</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(11,767</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(23,146</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FINANCING ACTIVITIES: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Preferred stock dividends paid</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(15,314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(14,437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Settlement of contingent obligation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Settlement of tax withholding obligations on stock issued to employees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(1,197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(2,123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Repayments of notes payable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(1,003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(1,045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Financing and stock issuance costs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Proceeds from exercise of warrants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6,435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Proceeds from issuance of Series B Preferred Stock, net of expenses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30,901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Proceeds from issuance of common stock, net of expenses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2,731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Redemption of Series A Preferred Stock</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(20,005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Proceeds from line of credit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25,500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26,000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Repayment of line of credit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(25,500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(18,000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Net cash used in financing activities</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(7,650</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(519</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225</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(254</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NET INCREASE (DECREASE) IN CASH AND RESTRICTED CASH</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1,959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(10,585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CASH AND RESTRICTED CASH - Beginning of the year</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10,340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20,925</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CASH AND RESTRICTED CASH - End of the year</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12,299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10,340</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SUPPLEMENTAL NONCASH INVESTING AND FINANCING ACTIVITIES: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Preferred stock cancelled in connection with an acquisition</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(4,000</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Contingent consideration at fair value at acquisition date</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5,605</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Dividends declared, not paid</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4,059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3,856</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Purchase of prepaid insurance with assumption of note</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695</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967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SUPPLEMENTAL INFORMATION - Cash paid during the year for:</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Income taxes</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153</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282</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Interest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162</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103</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rPr>
          <w:sz w:val="20"/>
          <w:szCs w:val="20"/>
        </w:rPr>
      </w:pPr>
      <w:r>
        <w:rPr>
          <w:sz w:val="20"/>
          <w:szCs w:val="20"/>
        </w:rPr>
        <w:t xml:space="preserve">See </w:t>
      </w:r>
      <w:r>
        <w:rPr>
          <w:sz w:val="20"/>
          <w:szCs w:val="20"/>
        </w:rPr>
        <w:t>notes to consolidated financial statements.</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61227239"/>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center"/>
        <w:rPr>
          <w:sz w:val="20"/>
          <w:szCs w:val="20"/>
        </w:rPr>
      </w:pPr>
      <w:r>
        <w:rPr>
          <w:b/>
          <w:bCs/>
          <w:sz w:val="20"/>
          <w:szCs w:val="20"/>
        </w:rPr>
        <w:t>CARECLOUD, INC.</w:t>
      </w:r>
    </w:p>
    <w:p w:rsidR="00000000" w:rsidRDefault="003A6737">
      <w:pPr>
        <w:pStyle w:val="a3"/>
        <w:spacing w:before="0" w:beforeAutospacing="0" w:after="0" w:afterAutospacing="0"/>
        <w:jc w:val="center"/>
        <w:rPr>
          <w:sz w:val="20"/>
          <w:szCs w:val="20"/>
        </w:rPr>
      </w:pPr>
      <w:r>
        <w:rPr>
          <w:b/>
          <w:bCs/>
          <w:sz w:val="20"/>
          <w:szCs w:val="20"/>
        </w:rPr>
        <w:t>NOTES TO CONSOLIDATED FINANCIAL STATEMENTS</w:t>
      </w:r>
    </w:p>
    <w:p w:rsidR="00000000" w:rsidRDefault="003A6737">
      <w:pPr>
        <w:pStyle w:val="a3"/>
        <w:spacing w:before="0" w:beforeAutospacing="0" w:after="0" w:afterAutospacing="0"/>
        <w:jc w:val="center"/>
        <w:rPr>
          <w:sz w:val="20"/>
          <w:szCs w:val="20"/>
        </w:rPr>
      </w:pPr>
      <w:r>
        <w:rPr>
          <w:b/>
          <w:bCs/>
          <w:sz w:val="20"/>
          <w:szCs w:val="20"/>
        </w:rPr>
        <w:t>AS OF AND FOR THE YEARS ENDED DECEMBER 31, 2022 AND 2021</w:t>
      </w:r>
    </w:p>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rPr>
          <w:sz w:val="20"/>
          <w:szCs w:val="20"/>
        </w:rPr>
      </w:pPr>
      <w:r>
        <w:rPr>
          <w:b/>
          <w:bCs/>
          <w:sz w:val="20"/>
          <w:szCs w:val="20"/>
        </w:rPr>
        <w:t>1.</w:t>
      </w:r>
      <w:r>
        <w:rPr>
          <w:sz w:val="20"/>
          <w:szCs w:val="20"/>
        </w:rPr>
        <w:t xml:space="preserve"> </w:t>
      </w:r>
      <w:r>
        <w:rPr>
          <w:b/>
          <w:bCs/>
          <w:sz w:val="20"/>
          <w:szCs w:val="20"/>
        </w:rPr>
        <w:t>ORGANIZATION AND BUSINES</w:t>
      </w:r>
      <w:r>
        <w:rPr>
          <w:b/>
          <w:bCs/>
          <w:sz w:val="20"/>
          <w:szCs w:val="20"/>
        </w:rPr>
        <w: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CareCloud, </w:t>
      </w:r>
      <w:r>
        <w:rPr>
          <w:sz w:val="20"/>
          <w:szCs w:val="20"/>
        </w:rPr>
        <w:t>Inc., (together with its consolidated subsidiaries, “CareCloud,” the “Company,” “we,” “us” and/or “our”) is a healthcare information technology company that provides a full suite of proprietary cloud-based solutions, related business services, to healthcar</w:t>
      </w:r>
      <w:r>
        <w:rPr>
          <w:sz w:val="20"/>
          <w:szCs w:val="20"/>
        </w:rPr>
        <w:t>e providers and hospitals throughout the United States. The Company’s integrated services are designed to help customers increase revenues, streamline workflows and make better business and clinical decisions, while reducing administrative burdens and oper</w:t>
      </w:r>
      <w:r>
        <w:rPr>
          <w:sz w:val="20"/>
          <w:szCs w:val="20"/>
        </w:rPr>
        <w:t>ating costs. Our Software-as-a-Service (“SaaS”) platform includes revenue cycle management (“RCM”), practice management (“PM”), electronic health records (“EHR”), business intelligence, telehealth, patient experience management (“PXM”) solutions and comple</w:t>
      </w:r>
      <w:r>
        <w:rPr>
          <w:sz w:val="20"/>
          <w:szCs w:val="20"/>
        </w:rPr>
        <w:t>mentary software tools and business services for high-performance medical groups and health systems. CareCloud has its corporate offices in Somerset, New Jersey and maintains client support teams throughout the U.S., and offshore offices in Pakistan and Az</w:t>
      </w:r>
      <w:r>
        <w:rPr>
          <w:sz w:val="20"/>
          <w:szCs w:val="20"/>
        </w:rPr>
        <w:t>ad Jammu and Kashmir, a region administered by Pakistan (the “Pakistan Offices”), and in Sri Lanka.</w:t>
      </w:r>
    </w:p>
    <w:p w:rsidR="00000000" w:rsidRDefault="003A6737">
      <w:pPr>
        <w:pStyle w:val="a3"/>
        <w:spacing w:before="0" w:beforeAutospacing="0" w:after="0" w:afterAutospacing="0"/>
        <w:jc w:val="both"/>
        <w:rPr>
          <w:caps/>
          <w:sz w:val="20"/>
          <w:szCs w:val="20"/>
        </w:rPr>
      </w:pPr>
      <w:r>
        <w:rPr>
          <w:sz w:val="20"/>
          <w:szCs w:val="20"/>
        </w:rPr>
        <w:t> </w:t>
      </w:r>
    </w:p>
    <w:p w:rsidR="00000000" w:rsidRDefault="003A6737">
      <w:pPr>
        <w:pStyle w:val="a3"/>
        <w:spacing w:before="0" w:beforeAutospacing="0" w:after="0" w:afterAutospacing="0"/>
        <w:jc w:val="both"/>
        <w:rPr>
          <w:caps/>
          <w:sz w:val="20"/>
          <w:szCs w:val="20"/>
        </w:rPr>
      </w:pPr>
      <w:r>
        <w:rPr>
          <w:sz w:val="20"/>
          <w:szCs w:val="20"/>
        </w:rPr>
        <w:t>CareCloud was founded in 1999 under the name Medical Transcription Billing, Corp. and incorporated under the laws of the State of Delaware in 2001. In 200</w:t>
      </w:r>
      <w:r>
        <w:rPr>
          <w:sz w:val="20"/>
          <w:szCs w:val="20"/>
        </w:rPr>
        <w:t>4, the Company formed MTBC Private Limited (“MTBC Pvt. Ltd.”), a</w:t>
      </w:r>
      <w:r>
        <w:rPr>
          <w:sz w:val="20"/>
          <w:szCs w:val="20"/>
        </w:rPr>
        <w:t xml:space="preserve"> </w:t>
      </w:r>
      <w:r>
        <w:rPr>
          <w:sz w:val="20"/>
          <w:szCs w:val="20"/>
        </w:rPr>
        <w:t>99.</w:t>
      </w:r>
      <w:r>
        <w:rPr>
          <w:sz w:val="20"/>
          <w:szCs w:val="20"/>
        </w:rPr>
        <w:t>9</w:t>
      </w:r>
      <w:r>
        <w:rPr>
          <w:sz w:val="20"/>
          <w:szCs w:val="20"/>
        </w:rPr>
        <w:t>% majority-owned subsidiary of CareCloud based in Pakistan. The remaining</w:t>
      </w:r>
      <w:r>
        <w:rPr>
          <w:sz w:val="20"/>
          <w:szCs w:val="20"/>
        </w:rPr>
        <w:t xml:space="preserve"> </w:t>
      </w:r>
      <w:r>
        <w:rPr>
          <w:sz w:val="20"/>
          <w:szCs w:val="20"/>
        </w:rPr>
        <w:t>0.</w:t>
      </w:r>
      <w:r>
        <w:rPr>
          <w:sz w:val="20"/>
          <w:szCs w:val="20"/>
        </w:rPr>
        <w:t>1</w:t>
      </w:r>
      <w:r>
        <w:rPr>
          <w:sz w:val="20"/>
          <w:szCs w:val="20"/>
        </w:rPr>
        <w:t>% of the shares of MTBC Pvt. Ltd. is equally owned by the founder and Executive Chairman of CareCloud and a lo</w:t>
      </w:r>
      <w:r>
        <w:rPr>
          <w:sz w:val="20"/>
          <w:szCs w:val="20"/>
        </w:rPr>
        <w:t>cal employee who is also a director of this entity. In 2016, the Company formed MTBC Acquisition Corp. (“MAC”), a Delaware corporation, in connection with its acquisition of substantially all of the assets of MediGain, LLC and its subsidiary, Millennium Pr</w:t>
      </w:r>
      <w:r>
        <w:rPr>
          <w:sz w:val="20"/>
          <w:szCs w:val="20"/>
        </w:rPr>
        <w:t>actice Management Associates, LLC (together “MediGain”). MAC has a wholly owned subsidiary in Sri Lanka, RCM MediGain Colombo, Pvt. Ltd. In May 2018, the Company formed CareCloud Practice Management, Corp. (“CPM”), a Delaware corporation, to operate the me</w:t>
      </w:r>
      <w:r>
        <w:rPr>
          <w:sz w:val="20"/>
          <w:szCs w:val="20"/>
        </w:rPr>
        <w:t>dical practice management business acquired from Orion Healthcorp.</w:t>
      </w:r>
    </w:p>
    <w:p w:rsidR="00000000" w:rsidRDefault="003A6737">
      <w:pPr>
        <w:pStyle w:val="a3"/>
        <w:spacing w:before="0" w:beforeAutospacing="0" w:after="0" w:afterAutospacing="0"/>
        <w:ind w:left="475"/>
        <w:rPr>
          <w:sz w:val="20"/>
          <w:szCs w:val="20"/>
        </w:rPr>
      </w:pPr>
      <w:r>
        <w:rPr>
          <w:sz w:val="20"/>
          <w:szCs w:val="20"/>
        </w:rPr>
        <w:t> </w:t>
      </w:r>
    </w:p>
    <w:p w:rsidR="00000000" w:rsidRDefault="003A6737">
      <w:pPr>
        <w:pStyle w:val="a3"/>
        <w:spacing w:before="0" w:beforeAutospacing="0" w:after="0" w:afterAutospacing="0"/>
        <w:jc w:val="both"/>
        <w:rPr>
          <w:caps/>
          <w:sz w:val="20"/>
          <w:szCs w:val="20"/>
        </w:rPr>
      </w:pPr>
      <w:r>
        <w:rPr>
          <w:sz w:val="20"/>
          <w:szCs w:val="20"/>
        </w:rPr>
        <w:t>In January 2020, the Company purchased CareCloud Corporation, a company whose name we took. That company is now known as CareCloud Health, Inc. (“CCH”). In June 2020, the Company purchase</w:t>
      </w:r>
      <w:r>
        <w:rPr>
          <w:sz w:val="20"/>
          <w:szCs w:val="20"/>
        </w:rPr>
        <w:t>d Meridian Billing Management Co. and its affiliate Origin Holdings, Inc. (collectively “Meridian” and sometimes referred to as “Meridian Medical Management”). Both companies were subsequently merged and the surviving company was renamed Meridian Medical M</w:t>
      </w:r>
      <w:r>
        <w:rPr>
          <w:sz w:val="20"/>
          <w:szCs w:val="20"/>
        </w:rPr>
        <w:t>anagement, Inc.</w:t>
      </w:r>
    </w:p>
    <w:p w:rsidR="00000000" w:rsidRDefault="003A6737">
      <w:pPr>
        <w:pStyle w:val="a3"/>
        <w:spacing w:before="0" w:beforeAutospacing="0" w:after="0" w:afterAutospacing="0"/>
        <w:ind w:left="475"/>
        <w:rPr>
          <w:sz w:val="20"/>
          <w:szCs w:val="20"/>
        </w:rPr>
      </w:pPr>
      <w:r>
        <w:rPr>
          <w:sz w:val="20"/>
          <w:szCs w:val="20"/>
        </w:rPr>
        <w:t> </w:t>
      </w:r>
    </w:p>
    <w:p w:rsidR="00000000" w:rsidRDefault="003A6737">
      <w:pPr>
        <w:pStyle w:val="a3"/>
        <w:spacing w:before="0" w:beforeAutospacing="0" w:after="0" w:afterAutospacing="0"/>
        <w:jc w:val="both"/>
        <w:rPr>
          <w:caps/>
          <w:sz w:val="20"/>
          <w:szCs w:val="20"/>
        </w:rPr>
      </w:pPr>
      <w:r>
        <w:rPr>
          <w:sz w:val="20"/>
          <w:szCs w:val="20"/>
        </w:rPr>
        <w:t>During March 2021, the Company formed a new wholly-owned subsidiary, CareCloud Acquisition, Corp. (“CAC”). In June 2021, CAC purchased certain assets and assumed certain liabilities of MedMatica Consulting Associates Inc., (“MedMatica”) a</w:t>
      </w:r>
      <w:r>
        <w:rPr>
          <w:sz w:val="20"/>
          <w:szCs w:val="20"/>
        </w:rPr>
        <w:t>nd purchased the stock of Santa Rosa Staffing, Inc. (“SRS”). The assets and liabilities of MedMatica were merged into SRS and the company was renamed medSR, Inc. (“medSR”). See Note 3.</w:t>
      </w:r>
    </w:p>
    <w:p w:rsidR="00000000" w:rsidRDefault="003A6737">
      <w:pPr>
        <w:pStyle w:val="a3"/>
        <w:spacing w:before="0" w:beforeAutospacing="0" w:after="0" w:afterAutospacing="0"/>
        <w:ind w:left="475"/>
        <w:rPr>
          <w:sz w:val="20"/>
          <w:szCs w:val="20"/>
        </w:rPr>
      </w:pPr>
      <w:r>
        <w:rPr>
          <w:sz w:val="20"/>
          <w:szCs w:val="20"/>
        </w:rPr>
        <w:t> </w:t>
      </w:r>
    </w:p>
    <w:p w:rsidR="00000000" w:rsidRDefault="003A6737">
      <w:pPr>
        <w:pStyle w:val="a3"/>
        <w:spacing w:before="0" w:beforeAutospacing="0" w:after="0" w:afterAutospacing="0"/>
        <w:jc w:val="both"/>
        <w:rPr>
          <w:caps/>
          <w:sz w:val="20"/>
          <w:szCs w:val="20"/>
        </w:rPr>
      </w:pPr>
      <w:r>
        <w:rPr>
          <w:sz w:val="20"/>
          <w:szCs w:val="20"/>
        </w:rPr>
        <w:t>Effective April 1, 2022, the Company formed MTBC Bagh Private Limited</w:t>
      </w:r>
      <w:r>
        <w:rPr>
          <w:sz w:val="20"/>
          <w:szCs w:val="20"/>
        </w:rPr>
        <w:t xml:space="preserve"> (“MTBC Bagh Pvt. Ltd.”), a</w:t>
      </w:r>
      <w:r>
        <w:rPr>
          <w:sz w:val="20"/>
          <w:szCs w:val="20"/>
        </w:rPr>
        <w:t xml:space="preserve"> </w:t>
      </w:r>
      <w:r>
        <w:rPr>
          <w:sz w:val="20"/>
          <w:szCs w:val="20"/>
        </w:rPr>
        <w:t>99.</w:t>
      </w:r>
      <w:r>
        <w:rPr>
          <w:sz w:val="20"/>
          <w:szCs w:val="20"/>
        </w:rPr>
        <w:t>8</w:t>
      </w:r>
      <w:r>
        <w:rPr>
          <w:sz w:val="20"/>
          <w:szCs w:val="20"/>
        </w:rPr>
        <w:t>% majority-owned subsidiary of CareCloud based in Azad Jammu and Kashmir, a region administered by Pakistan. The remaining</w:t>
      </w:r>
      <w:r>
        <w:rPr>
          <w:sz w:val="20"/>
          <w:szCs w:val="20"/>
        </w:rPr>
        <w:t xml:space="preserve"> </w:t>
      </w:r>
      <w:r>
        <w:rPr>
          <w:sz w:val="20"/>
          <w:szCs w:val="20"/>
        </w:rPr>
        <w:t>0.</w:t>
      </w:r>
      <w:r>
        <w:rPr>
          <w:sz w:val="20"/>
          <w:szCs w:val="20"/>
        </w:rPr>
        <w:t>2</w:t>
      </w:r>
      <w:r>
        <w:rPr>
          <w:sz w:val="20"/>
          <w:szCs w:val="20"/>
        </w:rPr>
        <w:t>% of the shares of MTBC Bagh Pvt. Ltd. is equally owned by the founder and Executive Chairman of C</w:t>
      </w:r>
      <w:r>
        <w:rPr>
          <w:sz w:val="20"/>
          <w:szCs w:val="20"/>
        </w:rPr>
        <w:t>areCloud and the same director/employee as noted above.</w:t>
      </w:r>
    </w:p>
    <w:p w:rsidR="00000000" w:rsidRDefault="003A6737">
      <w:pPr>
        <w:pStyle w:val="a3"/>
        <w:spacing w:before="0" w:beforeAutospacing="0" w:after="0" w:afterAutospacing="0"/>
        <w:jc w:val="both"/>
        <w:rPr>
          <w:caps/>
          <w:sz w:val="20"/>
          <w:szCs w:val="20"/>
        </w:rPr>
      </w:pPr>
      <w:r>
        <w:rPr>
          <w:sz w:val="20"/>
          <w:szCs w:val="20"/>
        </w:rPr>
        <w:t> </w:t>
      </w:r>
    </w:p>
    <w:p w:rsidR="00000000" w:rsidRDefault="003A6737">
      <w:pPr>
        <w:pStyle w:val="a3"/>
        <w:spacing w:before="0" w:beforeAutospacing="0" w:after="0" w:afterAutospacing="0"/>
        <w:jc w:val="both"/>
        <w:rPr>
          <w:caps/>
          <w:sz w:val="20"/>
          <w:szCs w:val="20"/>
        </w:rPr>
      </w:pPr>
      <w:r>
        <w:rPr>
          <w:b/>
          <w:bCs/>
          <w:caps/>
          <w:sz w:val="20"/>
          <w:szCs w:val="20"/>
        </w:rPr>
        <w:t>2.</w:t>
      </w:r>
      <w:r>
        <w:rPr>
          <w:b/>
          <w:bCs/>
          <w:caps/>
          <w:sz w:val="20"/>
          <w:szCs w:val="20"/>
        </w:rPr>
        <w:t xml:space="preserve"> </w:t>
      </w:r>
      <w:r>
        <w:rPr>
          <w:b/>
          <w:bCs/>
          <w:caps/>
          <w:sz w:val="20"/>
          <w:szCs w:val="20"/>
        </w:rPr>
        <w:t>SIGNIFICANT ACCOUNTING POLICIE</w:t>
      </w:r>
      <w:r>
        <w:rPr>
          <w:b/>
          <w:bCs/>
          <w:caps/>
          <w:sz w:val="20"/>
          <w:szCs w:val="20"/>
        </w:rPr>
        <w:t>S</w:t>
      </w:r>
    </w:p>
    <w:p w:rsidR="00000000" w:rsidRDefault="003A6737">
      <w:pPr>
        <w:pStyle w:val="a3"/>
        <w:spacing w:before="0" w:beforeAutospacing="0" w:after="0" w:afterAutospacing="0"/>
        <w:jc w:val="both"/>
        <w:rPr>
          <w:caps/>
          <w:sz w:val="20"/>
          <w:szCs w:val="20"/>
        </w:rPr>
      </w:pPr>
      <w:r>
        <w:rPr>
          <w:caps/>
          <w:sz w:val="20"/>
          <w:szCs w:val="20"/>
        </w:rPr>
        <w:t> </w:t>
      </w:r>
    </w:p>
    <w:p w:rsidR="00000000" w:rsidRDefault="003A6737">
      <w:pPr>
        <w:pStyle w:val="a3"/>
        <w:spacing w:before="0" w:beforeAutospacing="0" w:after="0" w:afterAutospacing="0"/>
        <w:jc w:val="both"/>
        <w:rPr>
          <w:sz w:val="20"/>
          <w:szCs w:val="20"/>
        </w:rPr>
      </w:pPr>
      <w:r>
        <w:rPr>
          <w:b/>
          <w:bCs/>
          <w:sz w:val="20"/>
          <w:szCs w:val="20"/>
        </w:rPr>
        <w:t>Principles of Consolidatio</w:t>
      </w:r>
      <w:r>
        <w:rPr>
          <w:b/>
          <w:bCs/>
          <w:sz w:val="20"/>
          <w:szCs w:val="20"/>
        </w:rPr>
        <w:t>n</w:t>
      </w:r>
      <w:r>
        <w:rPr>
          <w:sz w:val="20"/>
          <w:szCs w:val="20"/>
        </w:rPr>
        <w:t xml:space="preserve"> — </w:t>
      </w:r>
      <w:r>
        <w:rPr>
          <w:sz w:val="20"/>
          <w:szCs w:val="20"/>
        </w:rPr>
        <w:t>The accompanying consolidated financial statements have been prepared in accordance with accounting principles generally accepted in the United States of America (“GAAP”) and include the operating results and financial condition of CareCloud, its wholly-ow</w:t>
      </w:r>
      <w:r>
        <w:rPr>
          <w:sz w:val="20"/>
          <w:szCs w:val="20"/>
        </w:rPr>
        <w:t>ned subsidiaries, MAC, CPM, its majority-owned subsidiary MTBC Pvt. Ltd, majority-owned subsidiary MTBC Bagh Pvt. Ltd, CCH (since January 2020), Meridian Medical Management (since June 2020), medSR (since June 2021) and the subsidiary in Sri Lanka. The non</w:t>
      </w:r>
      <w:r>
        <w:rPr>
          <w:sz w:val="20"/>
          <w:szCs w:val="20"/>
        </w:rPr>
        <w:t>-controlling interests of MTBC Pvt. Ltd. and MTBC Bagh Pvt. Ltd. are inconsequential to the consolidated financial statements. All intercompany accounts and transactions have been eliminated in consolidation.</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89589377"/>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Segment Reportin</w:t>
      </w:r>
      <w:r>
        <w:rPr>
          <w:b/>
          <w:bCs/>
          <w:sz w:val="20"/>
          <w:szCs w:val="20"/>
        </w:rPr>
        <w:t>g</w:t>
      </w:r>
      <w:r>
        <w:rPr>
          <w:sz w:val="20"/>
          <w:szCs w:val="20"/>
        </w:rPr>
        <w:t xml:space="preserve"> — </w:t>
      </w:r>
      <w:r>
        <w:rPr>
          <w:sz w:val="20"/>
          <w:szCs w:val="20"/>
        </w:rPr>
        <w:t>The Company views its operations as comprising two operating segments, Healthcare IT and Medical Practice Management. The chief operating decision maker (“CODM”) monitors and reviews financial information at these segment levels for assessing operating res</w:t>
      </w:r>
      <w:r>
        <w:rPr>
          <w:sz w:val="20"/>
          <w:szCs w:val="20"/>
        </w:rPr>
        <w:t>ults and the allocation of resources.</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Use of Estimate</w:t>
      </w:r>
      <w:r>
        <w:rPr>
          <w:b/>
          <w:bCs/>
          <w:sz w:val="20"/>
          <w:szCs w:val="20"/>
        </w:rPr>
        <w:t>s</w:t>
      </w:r>
      <w:r>
        <w:rPr>
          <w:sz w:val="20"/>
          <w:szCs w:val="20"/>
        </w:rPr>
        <w:t xml:space="preserve"> — The preparation of consolidated financial statements in conformity with GAAP requires management to make estimates and assumptions that affect the reported amounts of assets and liabilities at the </w:t>
      </w:r>
      <w:r>
        <w:rPr>
          <w:sz w:val="20"/>
          <w:szCs w:val="20"/>
        </w:rPr>
        <w:t>date of the consolidated financial statements, as well as the reported amounts of revenues and expenses during the reporting period. Significant estimates and assumptions made by management include, but are not limited to: (1) impairment of long-lived asse</w:t>
      </w:r>
      <w:r>
        <w:rPr>
          <w:sz w:val="20"/>
          <w:szCs w:val="20"/>
        </w:rPr>
        <w:t>ts, (2) depreciable lives of assets, (3) allowance for doubtful accounts, (4) contingent consideration, (5) estimates of variable consideration related to the contract asset, (6) fair value of identifiable purchased tangible and intangible assets, includin</w:t>
      </w:r>
      <w:r>
        <w:rPr>
          <w:sz w:val="20"/>
          <w:szCs w:val="20"/>
        </w:rPr>
        <w:t>g determination of expected customer life, (7) stock-based compensation, and (8) estimating lease terms and incremental borrowing rates. Actual results could significantly differ from those estimates.</w:t>
      </w:r>
    </w:p>
    <w:p w:rsidR="00000000" w:rsidRDefault="003A6737">
      <w:pPr>
        <w:pStyle w:val="a3"/>
        <w:shd w:val="clear" w:color="auto" w:fill="FFFFFF"/>
        <w:spacing w:before="0" w:beforeAutospacing="0" w:after="0" w:afterAutospacing="0"/>
        <w:jc w:val="both"/>
        <w:rPr>
          <w:sz w:val="20"/>
          <w:szCs w:val="20"/>
        </w:rPr>
      </w:pPr>
      <w:r>
        <w:rPr>
          <w:b/>
          <w:bCs/>
          <w:sz w:val="20"/>
          <w:szCs w:val="20"/>
        </w:rPr>
        <w:t> </w:t>
      </w:r>
    </w:p>
    <w:p w:rsidR="00000000" w:rsidRDefault="003A6737">
      <w:pPr>
        <w:pStyle w:val="a3"/>
        <w:shd w:val="clear" w:color="auto" w:fill="FFFFFF"/>
        <w:spacing w:before="0" w:beforeAutospacing="0" w:after="0" w:afterAutospacing="0"/>
        <w:jc w:val="both"/>
        <w:rPr>
          <w:sz w:val="20"/>
          <w:szCs w:val="20"/>
        </w:rPr>
      </w:pPr>
      <w:r>
        <w:rPr>
          <w:b/>
          <w:bCs/>
          <w:sz w:val="20"/>
          <w:szCs w:val="20"/>
        </w:rPr>
        <w:t>Revenue Recognitio</w:t>
      </w:r>
      <w:r>
        <w:rPr>
          <w:b/>
          <w:bCs/>
          <w:sz w:val="20"/>
          <w:szCs w:val="20"/>
        </w:rPr>
        <w:t>n</w:t>
      </w:r>
      <w:r>
        <w:rPr>
          <w:b/>
          <w:bCs/>
          <w:sz w:val="20"/>
          <w:szCs w:val="20"/>
        </w:rPr>
        <w:t xml:space="preserve"> </w:t>
      </w:r>
      <w:r>
        <w:rPr>
          <w:sz w:val="20"/>
          <w:szCs w:val="20"/>
        </w:rPr>
        <w:t>— We derive revenue from five pri</w:t>
      </w:r>
      <w:r>
        <w:rPr>
          <w:sz w:val="20"/>
          <w:szCs w:val="20"/>
        </w:rPr>
        <w:t>mary sources: (1) technology-enabled business solutions including revenue cycle management, (2) professional services, (3) printing and mailing services, (4) group purchasing services and (5) medical practice management services. All of our revenue arrange</w:t>
      </w:r>
      <w:r>
        <w:rPr>
          <w:sz w:val="20"/>
          <w:szCs w:val="20"/>
        </w:rPr>
        <w:t>ments are based on contracts with customers. Most of our contracts with customers contain single performance obligations, although certain contracts do contain multiple performance obligations where we perform more than one service for the same customer. W</w:t>
      </w:r>
      <w:r>
        <w:rPr>
          <w:sz w:val="20"/>
          <w:szCs w:val="20"/>
        </w:rPr>
        <w:t>e account for individual performance obligations separately if they are distinct within the context of the contract. For contracts where we provide multiple services such as where we perform multiple ancillary services, each service represents its own perf</w:t>
      </w:r>
      <w:r>
        <w:rPr>
          <w:sz w:val="20"/>
          <w:szCs w:val="20"/>
        </w:rPr>
        <w:t>ormance obligation. Selling or transaction prices are based on the contractual prices for each service at its stand-alone selling price.</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A five-step approach is applied in the recognition of revenue under ASC 606: (1) identify the contract with a custome</w:t>
      </w:r>
      <w:r>
        <w:rPr>
          <w:sz w:val="20"/>
          <w:szCs w:val="20"/>
        </w:rPr>
        <w:t>r, (2) identify the performance obligations in the contract, (3) determine the transaction price, (4) allocate the transaction price to the performance obligations in the contract, and (5) recognize revenue when we satisfy a performance obligation.</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Altho</w:t>
      </w:r>
      <w:r>
        <w:rPr>
          <w:sz w:val="20"/>
          <w:szCs w:val="20"/>
        </w:rPr>
        <w:t>ugh we believe that our approach to estimates and judgments is reasonable, actual results could differ, and we may be exposed to increases or decreases in revenue that could be material. Our estimates of variable consideration may prove to be inaccurate, i</w:t>
      </w:r>
      <w:r>
        <w:rPr>
          <w:sz w:val="20"/>
          <w:szCs w:val="20"/>
        </w:rPr>
        <w:t>n which case we may have understated or overstated the revenue recognized in a reporting period. The amount of variable consideration recognized to date that remains subject to estimation is included within the contract asset within the consolidated balanc</w:t>
      </w:r>
      <w:r>
        <w:rPr>
          <w:sz w:val="20"/>
          <w:szCs w:val="20"/>
        </w:rPr>
        <w:t>e sheet.</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Payment of invoices is due as specified in the underlying customer agreement, typically 30 days from the invoice date, which occurs on the date of transfer of control of the services to the customer. Since payment terms are less than a year, we </w:t>
      </w:r>
      <w:r>
        <w:rPr>
          <w:sz w:val="20"/>
          <w:szCs w:val="20"/>
        </w:rPr>
        <w:t>have elected the practical expedient and do not assess whether a customer contract has a significant financing component.</w:t>
      </w:r>
    </w:p>
    <w:p w:rsidR="00000000" w:rsidRDefault="003A6737">
      <w:pPr>
        <w:pStyle w:val="a3"/>
        <w:spacing w:before="0" w:beforeAutospacing="0" w:after="0" w:afterAutospacing="0"/>
        <w:jc w:val="both"/>
        <w:rPr>
          <w:sz w:val="20"/>
          <w:szCs w:val="20"/>
        </w:rPr>
      </w:pPr>
      <w:r>
        <w:rPr>
          <w:i/>
          <w:iCs/>
          <w:sz w:val="20"/>
          <w:szCs w:val="20"/>
        </w:rPr>
        <w:t> </w:t>
      </w:r>
    </w:p>
    <w:p w:rsidR="00000000" w:rsidRDefault="003A6737">
      <w:pPr>
        <w:pStyle w:val="a3"/>
        <w:spacing w:before="0" w:beforeAutospacing="0" w:after="0" w:afterAutospacing="0"/>
        <w:jc w:val="both"/>
        <w:rPr>
          <w:sz w:val="20"/>
          <w:szCs w:val="20"/>
        </w:rPr>
      </w:pPr>
      <w:r>
        <w:rPr>
          <w:sz w:val="20"/>
          <w:szCs w:val="20"/>
        </w:rPr>
        <w:t>The Company’s revenue arrangements generally do not include a general right of refund for services provided (See Note 9, Revenue, fo</w:t>
      </w:r>
      <w:r>
        <w:rPr>
          <w:sz w:val="20"/>
          <w:szCs w:val="20"/>
        </w:rPr>
        <w:t>r additional information).</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Direct Operating Cost</w:t>
      </w:r>
      <w:r>
        <w:rPr>
          <w:b/>
          <w:bCs/>
          <w:sz w:val="20"/>
          <w:szCs w:val="20"/>
        </w:rPr>
        <w:t>s</w:t>
      </w:r>
      <w:r>
        <w:rPr>
          <w:sz w:val="20"/>
          <w:szCs w:val="20"/>
        </w:rPr>
        <w:t xml:space="preserve"> — </w:t>
      </w:r>
      <w:r>
        <w:rPr>
          <w:sz w:val="20"/>
          <w:szCs w:val="20"/>
        </w:rPr>
        <w:t>Direct operating costs consist primarily of salaries and benefits related to personnel who provide services to clients and at our managed medical practices, claims processing costs, medical supplies at our managed practices and other direct costs related t</w:t>
      </w:r>
      <w:r>
        <w:rPr>
          <w:sz w:val="20"/>
          <w:szCs w:val="20"/>
        </w:rPr>
        <w:t>o the Company’s services. Costs associated with the implementation of new clients are expensed as incurred. The reported amounts of direct operating costs include allocated amounts for rent expense and overhead costs.</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Selling and Marketing Expense</w:t>
      </w:r>
      <w:r>
        <w:rPr>
          <w:b/>
          <w:bCs/>
          <w:sz w:val="20"/>
          <w:szCs w:val="20"/>
        </w:rPr>
        <w:t>s</w:t>
      </w:r>
      <w:r>
        <w:rPr>
          <w:sz w:val="20"/>
          <w:szCs w:val="20"/>
        </w:rPr>
        <w:t xml:space="preserve"> — Sel</w:t>
      </w:r>
      <w:r>
        <w:rPr>
          <w:sz w:val="20"/>
          <w:szCs w:val="20"/>
        </w:rPr>
        <w:t xml:space="preserve">ling and marketing expenses consist primarily of compensation and benefits, travel and advertising expenses and are expensed as incurred. The Company incurred approximately </w:t>
      </w:r>
      <w:r>
        <w:rPr>
          <w:sz w:val="20"/>
          <w:szCs w:val="20"/>
        </w:rPr>
        <w:t>$</w:t>
      </w:r>
      <w:r>
        <w:rPr>
          <w:sz w:val="20"/>
          <w:szCs w:val="20"/>
        </w:rPr>
        <w:t>4.</w:t>
      </w:r>
      <w:r>
        <w:rPr>
          <w:sz w:val="20"/>
          <w:szCs w:val="20"/>
        </w:rPr>
        <w:t>5</w:t>
      </w:r>
      <w:r>
        <w:rPr>
          <w:sz w:val="20"/>
          <w:szCs w:val="20"/>
        </w:rPr>
        <w:t xml:space="preserve"> million and </w:t>
      </w:r>
      <w:r>
        <w:rPr>
          <w:sz w:val="20"/>
          <w:szCs w:val="20"/>
        </w:rPr>
        <w:t>$</w:t>
      </w:r>
      <w:r>
        <w:rPr>
          <w:sz w:val="20"/>
          <w:szCs w:val="20"/>
        </w:rPr>
        <w:t>3.</w:t>
      </w:r>
      <w:r>
        <w:rPr>
          <w:sz w:val="20"/>
          <w:szCs w:val="20"/>
        </w:rPr>
        <w:t>9</w:t>
      </w:r>
      <w:r>
        <w:rPr>
          <w:sz w:val="20"/>
          <w:szCs w:val="20"/>
        </w:rPr>
        <w:t xml:space="preserve"> million of advertising costs for the years ended December 31,</w:t>
      </w:r>
      <w:r>
        <w:rPr>
          <w:sz w:val="20"/>
          <w:szCs w:val="20"/>
        </w:rPr>
        <w:t xml:space="preserve"> 2022 and 2021, respectively.</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Research and Development Expense</w:t>
      </w:r>
      <w:r>
        <w:rPr>
          <w:b/>
          <w:bCs/>
          <w:sz w:val="20"/>
          <w:szCs w:val="20"/>
        </w:rPr>
        <w:t>s</w:t>
      </w:r>
      <w:r>
        <w:rPr>
          <w:sz w:val="20"/>
          <w:szCs w:val="20"/>
        </w:rPr>
        <w:t xml:space="preserve"> — Research and development expenses consist primarily of personnel-related costs incurred performing market research, analyzing proposed products and developing new products.</w:t>
      </w:r>
    </w:p>
    <w:p w:rsidR="00000000" w:rsidRDefault="003A6737">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63362167"/>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I</w:t>
      </w:r>
      <w:r>
        <w:rPr>
          <w:b/>
          <w:bCs/>
          <w:sz w:val="20"/>
          <w:szCs w:val="20"/>
        </w:rPr>
        <w:t>nternal-Use Software Cost</w:t>
      </w:r>
      <w:r>
        <w:rPr>
          <w:b/>
          <w:bCs/>
          <w:sz w:val="20"/>
          <w:szCs w:val="20"/>
        </w:rPr>
        <w:t>s</w:t>
      </w:r>
      <w:r>
        <w:rPr>
          <w:sz w:val="20"/>
          <w:szCs w:val="20"/>
        </w:rPr>
        <w:t xml:space="preserve"> — The Company capitalizes certain development costs incurred in connection with its internal-use software. Costs incurred in the preliminary stages of development are expensed as incurred. Once an application has reached the deve</w:t>
      </w:r>
      <w:r>
        <w:rPr>
          <w:sz w:val="20"/>
          <w:szCs w:val="20"/>
        </w:rPr>
        <w:t>lopment stage, internal and external costs, if direct, are capitalized until the software is substantially complete and ready for its intended use. Capitalization ceases upon completion of all substantial testing. The Company also capitalizes costs related</w:t>
      </w:r>
      <w:r>
        <w:rPr>
          <w:sz w:val="20"/>
          <w:szCs w:val="20"/>
        </w:rPr>
        <w:t xml:space="preserve"> to specific upgrades and enhancements when it is probable that the expenditures will result in additional functionality. Capitalized costs are recorded as part of intangible assets in the accompanying consolidated balance sheets. Maintenance and training </w:t>
      </w:r>
      <w:r>
        <w:rPr>
          <w:sz w:val="20"/>
          <w:szCs w:val="20"/>
        </w:rPr>
        <w:t>costs are expensed as incurred. Internal use software is amortized on a straight line basis over its estimated useful life, generally three years. Management evaluates the useful lives of these assets on an annual basis and tests for impairment whenever ev</w:t>
      </w:r>
      <w:r>
        <w:rPr>
          <w:sz w:val="20"/>
          <w:szCs w:val="20"/>
        </w:rPr>
        <w:t xml:space="preserve">ents or changes in circumstances occur that could impact the recoverability of these assets. During the years ended December 31, 2022 and 2021, the Company capitalized approximately </w:t>
      </w:r>
      <w:r>
        <w:rPr>
          <w:sz w:val="20"/>
          <w:szCs w:val="20"/>
        </w:rPr>
        <w:t>$</w:t>
      </w:r>
      <w:r>
        <w:rPr>
          <w:sz w:val="20"/>
          <w:szCs w:val="20"/>
        </w:rPr>
        <w:t>9.</w:t>
      </w:r>
      <w:r>
        <w:rPr>
          <w:sz w:val="20"/>
          <w:szCs w:val="20"/>
        </w:rPr>
        <w:t>2</w:t>
      </w:r>
      <w:r>
        <w:rPr>
          <w:sz w:val="20"/>
          <w:szCs w:val="20"/>
        </w:rPr>
        <w:t xml:space="preserve"> million and </w:t>
      </w:r>
      <w:r>
        <w:rPr>
          <w:sz w:val="20"/>
          <w:szCs w:val="20"/>
        </w:rPr>
        <w:t>$</w:t>
      </w:r>
      <w:r>
        <w:rPr>
          <w:sz w:val="20"/>
          <w:szCs w:val="20"/>
        </w:rPr>
        <w:t>7.</w:t>
      </w:r>
      <w:r>
        <w:rPr>
          <w:sz w:val="20"/>
          <w:szCs w:val="20"/>
        </w:rPr>
        <w:t>6</w:t>
      </w:r>
      <w:r>
        <w:rPr>
          <w:sz w:val="20"/>
          <w:szCs w:val="20"/>
        </w:rPr>
        <w:t xml:space="preserve"> million, respectively, primarily consisting of salar</w:t>
      </w:r>
      <w:r>
        <w:rPr>
          <w:sz w:val="20"/>
          <w:szCs w:val="20"/>
        </w:rPr>
        <w:t>ies and payroll-related costs of employees and consultants who devoted time to the development of internal-use software projects.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sz w:val="20"/>
          <w:szCs w:val="20"/>
        </w:rPr>
        <w:t>Accounts Receivabl</w:t>
      </w:r>
      <w:r>
        <w:rPr>
          <w:b/>
          <w:bCs/>
          <w:sz w:val="20"/>
          <w:szCs w:val="20"/>
        </w:rPr>
        <w:t>e</w:t>
      </w:r>
      <w:r>
        <w:rPr>
          <w:sz w:val="20"/>
          <w:szCs w:val="20"/>
        </w:rPr>
        <w:t xml:space="preserve"> — Accounts receivable are stated at their net realizable value. Accounts receivable are presented on the</w:t>
      </w:r>
      <w:r>
        <w:rPr>
          <w:sz w:val="20"/>
          <w:szCs w:val="20"/>
        </w:rPr>
        <w:t xml:space="preserve"> consolidated balance sheet net of an allowance for doubtful accounts, which is established based on reviews of the accounts receivable aging, an assessment of the customers’ history and current creditworthiness and the probability of collection. Accounts </w:t>
      </w:r>
      <w:r>
        <w:rPr>
          <w:sz w:val="20"/>
          <w:szCs w:val="20"/>
        </w:rPr>
        <w:t>are written off when it is determined that collection of the outstanding balance is no longer probable.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movement in the allowance for doubtful accounts for the years ended December 31, 2022 and 2021 was as follows:</w:t>
      </w:r>
    </w:p>
    <w:p w:rsidR="00000000" w:rsidRDefault="003A6737">
      <w:pPr>
        <w:pStyle w:val="a3"/>
        <w:spacing w:before="0" w:beforeAutospacing="0" w:after="0" w:afterAutospacing="0"/>
        <w:jc w:val="both"/>
        <w:rPr>
          <w:sz w:val="20"/>
          <w:szCs w:val="20"/>
        </w:rPr>
      </w:pPr>
      <w:r>
        <w:rPr>
          <w:sz w:val="20"/>
          <w:szCs w:val="20"/>
        </w:rPr>
        <w:t> </w:t>
      </w:r>
      <w:r>
        <w:rPr>
          <w:vanish/>
          <w:sz w:val="20"/>
          <w:szCs w:val="20"/>
        </w:rPr>
        <w:t>SCHEDULE OF ALLOWANCE FOR DOUBTFUL</w:t>
      </w:r>
      <w:r>
        <w:rPr>
          <w:vanish/>
          <w:sz w:val="20"/>
          <w:szCs w:val="20"/>
        </w:rPr>
        <w:t xml:space="preserve"> ACCOUNT</w:t>
      </w:r>
      <w:r>
        <w:rPr>
          <w:vanish/>
          <w:sz w:val="20"/>
          <w:szCs w:val="20"/>
        </w:rPr>
        <w:t>S</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trPr>
          <w:hidden/>
        </w:trPr>
        <w:tc>
          <w:tcPr>
            <w:tcW w:w="0" w:type="auto"/>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3A6737">
            <w:pPr>
              <w:rPr>
                <w:rFonts w:eastAsia="Times New Roman"/>
                <w:sz w:val="20"/>
                <w:szCs w:val="20"/>
              </w:rPr>
            </w:pPr>
            <w:r>
              <w:rPr>
                <w:rFonts w:eastAsia="Times New Roman"/>
                <w:sz w:val="20"/>
                <w:szCs w:val="20"/>
              </w:rPr>
              <w:t>Beginning balance</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537</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522</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Provision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740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890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Recoveries/adjustments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313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Write-offs</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(767</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(944</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Ending balance</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823</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537</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sz w:val="20"/>
          <w:szCs w:val="20"/>
        </w:rPr>
        <w:t>Property and Equipmen</w:t>
      </w:r>
      <w:r>
        <w:rPr>
          <w:b/>
          <w:bCs/>
          <w:sz w:val="20"/>
          <w:szCs w:val="20"/>
        </w:rPr>
        <w:t>t</w:t>
      </w:r>
      <w:r>
        <w:rPr>
          <w:sz w:val="20"/>
          <w:szCs w:val="20"/>
        </w:rPr>
        <w:t xml:space="preserve"> — </w:t>
      </w:r>
      <w:r>
        <w:rPr>
          <w:sz w:val="20"/>
          <w:szCs w:val="20"/>
        </w:rPr>
        <w:t>Property and equipment are stated at cost, less accumulated depreciation. Depreciation is calculated using the straight-line basis over the estimated useful lives of the assets ranging from three to five years. Ordinary maintenance and repairs are expensed</w:t>
      </w:r>
      <w:r>
        <w:rPr>
          <w:sz w:val="20"/>
          <w:szCs w:val="20"/>
        </w:rPr>
        <w:t xml:space="preserve"> as incurred. Depreciation for computers is calculated over three years, while the remaining assets (except leasehold improvements) are depreciated over five years. The Company amortizes leasehold improvements over the lesser of the lease term or the remai</w:t>
      </w:r>
      <w:r>
        <w:rPr>
          <w:sz w:val="20"/>
          <w:szCs w:val="20"/>
        </w:rPr>
        <w:t>ning economic life of those assets. Generally, the lease term is the base lease term plus certain renewal option periods for which renewal is reasonably certain and for which failure to exercise the renewal option would result in an economic penalty to the</w:t>
      </w:r>
      <w:r>
        <w:rPr>
          <w:sz w:val="20"/>
          <w:szCs w:val="20"/>
        </w:rPr>
        <w:t xml:space="preserve"> Company.</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Intangible Asset</w:t>
      </w:r>
      <w:r>
        <w:rPr>
          <w:b/>
          <w:bCs/>
          <w:sz w:val="20"/>
          <w:szCs w:val="20"/>
        </w:rPr>
        <w:t>s</w:t>
      </w:r>
      <w:r>
        <w:rPr>
          <w:sz w:val="20"/>
          <w:szCs w:val="20"/>
        </w:rPr>
        <w:t xml:space="preserve"> — Intangible assets include customer relationships, covenants not-to-compete acquired in connection with acquisitions, software purchase and development costs and trademarks acquired. Amortization for intangible assets related</w:t>
      </w:r>
      <w:r>
        <w:rPr>
          <w:sz w:val="20"/>
          <w:szCs w:val="20"/>
        </w:rPr>
        <w:t xml:space="preserve"> to revenue cycle management is recorded primarily using the double declining balance method over three to four years. Amortization for intangible assets related to the group purchasing organization and medical practice management is recorded on a straight</w:t>
      </w:r>
      <w:r>
        <w:rPr>
          <w:sz w:val="20"/>
          <w:szCs w:val="20"/>
        </w:rPr>
        <w:t xml:space="preserve"> line basis over four and twelve years, respectively.</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Evaluation of Long-Lived Asset</w:t>
      </w:r>
      <w:r>
        <w:rPr>
          <w:b/>
          <w:bCs/>
          <w:sz w:val="20"/>
          <w:szCs w:val="20"/>
        </w:rPr>
        <w:t>s</w:t>
      </w:r>
      <w:r>
        <w:rPr>
          <w:b/>
          <w:bCs/>
          <w:sz w:val="20"/>
          <w:szCs w:val="20"/>
        </w:rPr>
        <w:t xml:space="preserve"> </w:t>
      </w:r>
      <w:r>
        <w:rPr>
          <w:sz w:val="20"/>
          <w:szCs w:val="20"/>
        </w:rPr>
        <w:t xml:space="preserve">— </w:t>
      </w:r>
      <w:r>
        <w:rPr>
          <w:sz w:val="20"/>
          <w:szCs w:val="20"/>
        </w:rPr>
        <w:t>The Company reviews its long-lived assets for impairment whenever changes in circumstances indicate that the carrying value of an asset may not be recoverable. If the sum of undiscounted expected future cash flows is less than the carrying amount of the as</w:t>
      </w:r>
      <w:r>
        <w:rPr>
          <w:sz w:val="20"/>
          <w:szCs w:val="20"/>
        </w:rPr>
        <w:t>set group, the Company will recognize an impairment loss based on the fair value of the asset.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There was no impairment of internal-use software costs, intangible assets or property and equipment during the years ended December 31, 2022 and 2021, other th</w:t>
      </w:r>
      <w:r>
        <w:rPr>
          <w:sz w:val="20"/>
          <w:szCs w:val="20"/>
        </w:rPr>
        <w:t xml:space="preserve">an the impairment recorded on right-of-use (“ROU”) assets of approximately </w:t>
      </w:r>
      <w:r>
        <w:rPr>
          <w:sz w:val="20"/>
          <w:szCs w:val="20"/>
        </w:rPr>
        <w:t>$</w:t>
      </w:r>
      <w:r>
        <w:rPr>
          <w:sz w:val="20"/>
          <w:szCs w:val="20"/>
        </w:rPr>
        <w:t>68,00</w:t>
      </w:r>
      <w:r>
        <w:rPr>
          <w:sz w:val="20"/>
          <w:szCs w:val="20"/>
        </w:rPr>
        <w:t>0</w:t>
      </w:r>
      <w:r>
        <w:rPr>
          <w:sz w:val="20"/>
          <w:szCs w:val="20"/>
        </w:rPr>
        <w:t xml:space="preserve"> for the year ended December 31, 2021. In addition, during the year ended December 31, 2021, the Company recorded approximately </w:t>
      </w:r>
      <w:r>
        <w:rPr>
          <w:sz w:val="20"/>
          <w:szCs w:val="20"/>
        </w:rPr>
        <w:t>$</w:t>
      </w:r>
      <w:r>
        <w:rPr>
          <w:sz w:val="20"/>
          <w:szCs w:val="20"/>
        </w:rPr>
        <w:t>774,00</w:t>
      </w:r>
      <w:r>
        <w:rPr>
          <w:sz w:val="20"/>
          <w:szCs w:val="20"/>
        </w:rPr>
        <w:t>0</w:t>
      </w:r>
      <w:r>
        <w:rPr>
          <w:sz w:val="20"/>
          <w:szCs w:val="20"/>
        </w:rPr>
        <w:t xml:space="preserve"> of impairment charges on a vendor con</w:t>
      </w:r>
      <w:r>
        <w:rPr>
          <w:sz w:val="20"/>
          <w:szCs w:val="20"/>
        </w:rPr>
        <w:t>tract.</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Goodwill</w:t>
      </w:r>
      <w:r>
        <w:rPr>
          <w:b/>
          <w:bCs/>
          <w:sz w:val="20"/>
          <w:szCs w:val="20"/>
        </w:rPr>
        <w:t xml:space="preserve"> </w:t>
      </w:r>
      <w:r>
        <w:rPr>
          <w:sz w:val="20"/>
          <w:szCs w:val="20"/>
        </w:rPr>
        <w:t>— Goodwill consists of the excess of the purchase price over the fair value of identifiable net assets of businesses acquired. The Company tests goodwill for impairment annually as of October 31</w:t>
      </w:r>
      <w:r>
        <w:rPr>
          <w:sz w:val="20"/>
          <w:szCs w:val="20"/>
          <w:vertAlign w:val="superscript"/>
        </w:rPr>
        <w:t>st</w:t>
      </w:r>
      <w:r>
        <w:rPr>
          <w:sz w:val="20"/>
          <w:szCs w:val="20"/>
        </w:rPr>
        <w:t>, referred to as the annual test date. The</w:t>
      </w:r>
      <w:r>
        <w:rPr>
          <w:sz w:val="20"/>
          <w:szCs w:val="20"/>
        </w:rPr>
        <w:t xml:space="preserve"> goodwill impairment test for the Healthcare IT segment is performed using the discounted cash flow approach. Conditions that could trigger a more frequent impairment assessment include, but are not limited to, a significant adverse change to the Company i</w:t>
      </w:r>
      <w:r>
        <w:rPr>
          <w:sz w:val="20"/>
          <w:szCs w:val="20"/>
        </w:rPr>
        <w:t>n certain agreements, significant underperformance relative to historical or projected future operating results, loss of customer relationships, an economic downturn in customers’ industries, or increased competition. Impairment testing for goodwill is per</w:t>
      </w:r>
      <w:r>
        <w:rPr>
          <w:sz w:val="20"/>
          <w:szCs w:val="20"/>
        </w:rPr>
        <w:t>formed at the reporting-unit level. The Company has determined that its business consists of two operating segments and two reporting units. No impairment charges were recorded during the years ended December 31, 2022 or 2021.</w:t>
      </w:r>
    </w:p>
    <w:p w:rsidR="00000000" w:rsidRDefault="003A6737">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49722449"/>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Treasury Stoc</w:t>
      </w:r>
      <w:r>
        <w:rPr>
          <w:b/>
          <w:bCs/>
          <w:sz w:val="20"/>
          <w:szCs w:val="20"/>
        </w:rPr>
        <w:t>k</w:t>
      </w:r>
      <w:r>
        <w:rPr>
          <w:sz w:val="20"/>
          <w:szCs w:val="20"/>
        </w:rPr>
        <w:t xml:space="preserve"> </w:t>
      </w:r>
      <w:r>
        <w:rPr>
          <w:sz w:val="20"/>
          <w:szCs w:val="20"/>
        </w:rPr>
        <w:t>— Treasury stock is recorded at cost and represents shares repurchased by the Company. No shares were repurchased or issued from treasury stock during the years ended December 31, 2022 and 2021.</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Stock-Based Compensatio</w:t>
      </w:r>
      <w:r>
        <w:rPr>
          <w:b/>
          <w:bCs/>
          <w:sz w:val="20"/>
          <w:szCs w:val="20"/>
        </w:rPr>
        <w:t>n</w:t>
      </w:r>
      <w:r>
        <w:rPr>
          <w:b/>
          <w:bCs/>
          <w:sz w:val="20"/>
          <w:szCs w:val="20"/>
        </w:rPr>
        <w:t xml:space="preserve"> </w:t>
      </w:r>
      <w:r>
        <w:rPr>
          <w:sz w:val="20"/>
          <w:szCs w:val="20"/>
        </w:rPr>
        <w:t>— The Company recognizes compensat</w:t>
      </w:r>
      <w:r>
        <w:rPr>
          <w:sz w:val="20"/>
          <w:szCs w:val="20"/>
        </w:rPr>
        <w:t>ion for all share-based payments granted based on the grant date fair value. Compensation expense is generally recognized on a straight-line basis over the vesting period. The Company does not estimate forfeitures in recognizing the expense for share-based</w:t>
      </w:r>
      <w:r>
        <w:rPr>
          <w:sz w:val="20"/>
          <w:szCs w:val="20"/>
        </w:rPr>
        <w:t xml:space="preserve"> payments, as historical forfeiture rates have not been significant. For restricted stock units (“RSUs”) classified as equity, the market price of our common stock on the date of grant is used in recording the fair value of the award. For RSUs classified a</w:t>
      </w:r>
      <w:r>
        <w:rPr>
          <w:sz w:val="20"/>
          <w:szCs w:val="20"/>
        </w:rPr>
        <w:t>s a liability, the earned amount is marked to market based on the end-of-period common stock price.</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Business Combination</w:t>
      </w:r>
      <w:r>
        <w:rPr>
          <w:b/>
          <w:bCs/>
          <w:sz w:val="20"/>
          <w:szCs w:val="20"/>
        </w:rPr>
        <w:t>s</w:t>
      </w:r>
      <w:r>
        <w:rPr>
          <w:sz w:val="20"/>
          <w:szCs w:val="20"/>
        </w:rPr>
        <w:t xml:space="preserve"> — The Company accounts for business combinations under the provisions of ASC 805, </w:t>
      </w:r>
      <w:r>
        <w:rPr>
          <w:i/>
          <w:iCs/>
          <w:sz w:val="20"/>
          <w:szCs w:val="20"/>
        </w:rPr>
        <w:t>Business Combinations</w:t>
      </w:r>
      <w:r>
        <w:rPr>
          <w:sz w:val="20"/>
          <w:szCs w:val="20"/>
        </w:rPr>
        <w:t>, which requires that the acq</w:t>
      </w:r>
      <w:r>
        <w:rPr>
          <w:sz w:val="20"/>
          <w:szCs w:val="20"/>
        </w:rPr>
        <w:t>uisition method of accounting be used for all business combinations. Assets acquired and liabilities assumed are recorded at the date of acquisition at their respective fair values. ASC 805 also specifies criteria that intangible assets acquired in a busin</w:t>
      </w:r>
      <w:r>
        <w:rPr>
          <w:sz w:val="20"/>
          <w:szCs w:val="20"/>
        </w:rPr>
        <w:t>ess combination must be recognized and reported apart from goodwill. Goodwill represents the excess purchase price over the fair value of the tangible net assets and intangible assets acquired in a business combination. Acquisition-related expenses are rec</w:t>
      </w:r>
      <w:r>
        <w:rPr>
          <w:sz w:val="20"/>
          <w:szCs w:val="20"/>
        </w:rPr>
        <w:t>ognized separately from the business combinations and are expensed as incurred. If the business combination provides for contingent consideration, the Company records the contingent consideration at fair value at the acquisition date with changes in the fa</w:t>
      </w:r>
      <w:r>
        <w:rPr>
          <w:sz w:val="20"/>
          <w:szCs w:val="20"/>
        </w:rPr>
        <w:t>ir value recorded through earnings.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Acquisition </w:t>
      </w:r>
      <w:r>
        <w:rPr>
          <w:sz w:val="20"/>
          <w:szCs w:val="20"/>
        </w:rPr>
        <w:t xml:space="preserve">costs are expensed as incurred. During the year ended December 31, 2021, the Company incurred approximately </w:t>
      </w:r>
      <w:r>
        <w:rPr>
          <w:sz w:val="20"/>
          <w:szCs w:val="20"/>
        </w:rPr>
        <w:t>$</w:t>
      </w:r>
      <w:r>
        <w:rPr>
          <w:sz w:val="20"/>
          <w:szCs w:val="20"/>
        </w:rPr>
        <w:t>316,00</w:t>
      </w:r>
      <w:r>
        <w:rPr>
          <w:sz w:val="20"/>
          <w:szCs w:val="20"/>
        </w:rPr>
        <w:t>0</w:t>
      </w:r>
      <w:r>
        <w:rPr>
          <w:sz w:val="20"/>
          <w:szCs w:val="20"/>
        </w:rPr>
        <w:t xml:space="preserve"> of professional fees related to the medSR acquisition discussed in Note 3, which are included in general and administrative expenses in the</w:t>
      </w:r>
      <w:r>
        <w:rPr>
          <w:sz w:val="20"/>
          <w:szCs w:val="20"/>
        </w:rPr>
        <w:t xml:space="preserve"> consolidated statements of operations.</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Income Taxe</w:t>
      </w:r>
      <w:r>
        <w:rPr>
          <w:b/>
          <w:bCs/>
          <w:sz w:val="20"/>
          <w:szCs w:val="20"/>
        </w:rPr>
        <w:t>s</w:t>
      </w:r>
      <w:r>
        <w:rPr>
          <w:sz w:val="20"/>
          <w:szCs w:val="20"/>
        </w:rPr>
        <w:t xml:space="preserve"> — The Company accounts for income taxes under the asset and liability method, which requires the recognition of deferred tax assets and liabilities for the expected future tax consequences of events th</w:t>
      </w:r>
      <w:r>
        <w:rPr>
          <w:sz w:val="20"/>
          <w:szCs w:val="20"/>
        </w:rPr>
        <w:t xml:space="preserve">at have been included in the consolidated financial statements. Under this method, deferred tax assets and liabilities are determined based on the differences between the financial statements and tax bases of assets and liabilities using enacted tax rates </w:t>
      </w:r>
      <w:r>
        <w:rPr>
          <w:sz w:val="20"/>
          <w:szCs w:val="20"/>
        </w:rPr>
        <w:t>in effect for the year in which the differences are expected to reverse. The effect of a change in tax rates on deferred tax assets and liabilities is recognized in operations in the period that includes the enactment date.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Company records net deferr</w:t>
      </w:r>
      <w:r>
        <w:rPr>
          <w:sz w:val="20"/>
          <w:szCs w:val="20"/>
        </w:rPr>
        <w:t xml:space="preserve">ed tax assets to the extent that these assets will more likely than not be realized. All available positive and negative evidence is considered in making such a determination, including future reversals of existing taxable temporary differences, projected </w:t>
      </w:r>
      <w:r>
        <w:rPr>
          <w:sz w:val="20"/>
          <w:szCs w:val="20"/>
        </w:rPr>
        <w:t>future taxable income, tax planning strategies, and results of recent operations. A valuation allowance would be recorded to reduce deferred income tax assets when it is determined that it is more likely than not that the Company would not be able to reali</w:t>
      </w:r>
      <w:r>
        <w:rPr>
          <w:sz w:val="20"/>
          <w:szCs w:val="20"/>
        </w:rPr>
        <w:t>ze its deferred income tax assets in the future in excess of their net recorded amount.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Company records uncertain tax positions on the basis of a two-step process whereby (1) the Company determines whether it is more likely than not that the tax posi</w:t>
      </w:r>
      <w:r>
        <w:rPr>
          <w:sz w:val="20"/>
          <w:szCs w:val="20"/>
        </w:rPr>
        <w:t xml:space="preserve">tions will be sustained based on the technical merits of the position and (2) for those tax positions that meet the more-likely-than-not recognition threshold, the Company recognizes the largest amount of tax benefit that is greater than 50 percent likely </w:t>
      </w:r>
      <w:r>
        <w:rPr>
          <w:sz w:val="20"/>
          <w:szCs w:val="20"/>
        </w:rPr>
        <w:t xml:space="preserve">to be realized upon ultimate settlement with the related tax authority. At December 31, 2022 and 2021, the Company did not have any uncertain tax positions that required recognition. Interest and penalties related to uncertain tax positions are recognized </w:t>
      </w:r>
      <w:r>
        <w:rPr>
          <w:sz w:val="20"/>
          <w:szCs w:val="20"/>
        </w:rPr>
        <w:t>in income tax expense. For the years ended December 31, 2022 and 2021, the Company did not recognize any penalties or interest related to unrecognized tax benefits in its consolidated financial statements.</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Dividend</w:t>
      </w:r>
      <w:r>
        <w:rPr>
          <w:b/>
          <w:bCs/>
          <w:sz w:val="20"/>
          <w:szCs w:val="20"/>
        </w:rPr>
        <w:t>s</w:t>
      </w:r>
      <w:r>
        <w:rPr>
          <w:b/>
          <w:bCs/>
          <w:sz w:val="20"/>
          <w:szCs w:val="20"/>
        </w:rPr>
        <w:t xml:space="preserve"> </w:t>
      </w:r>
      <w:r>
        <w:rPr>
          <w:sz w:val="20"/>
          <w:szCs w:val="20"/>
        </w:rPr>
        <w:t>— Dividends are recorded when declared</w:t>
      </w:r>
      <w:r>
        <w:rPr>
          <w:sz w:val="20"/>
          <w:szCs w:val="20"/>
        </w:rPr>
        <w:t xml:space="preserve"> by the Company’s Board of Directors. The Board of Directors has declared monthly dividends on the Series A and Series B Preferred Stock through February 2023. Preferred Stock dividends are charged against paid in capital because the Company does not have </w:t>
      </w:r>
      <w:r>
        <w:rPr>
          <w:sz w:val="20"/>
          <w:szCs w:val="20"/>
        </w:rPr>
        <w:t>sufficient retained earnings. The Company is prohibited from paying dividends on its common stock without the prior written consent of its lender, Silicon Valley Bank (“SVB”).</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Deferred Revenu</w:t>
      </w:r>
      <w:r>
        <w:rPr>
          <w:b/>
          <w:bCs/>
          <w:sz w:val="20"/>
          <w:szCs w:val="20"/>
        </w:rPr>
        <w:t>e</w:t>
      </w:r>
      <w:r>
        <w:rPr>
          <w:sz w:val="20"/>
          <w:szCs w:val="20"/>
        </w:rPr>
        <w:t xml:space="preserve"> — Deferred revenue primarily consists of payments received in</w:t>
      </w:r>
      <w:r>
        <w:rPr>
          <w:sz w:val="20"/>
          <w:szCs w:val="20"/>
        </w:rPr>
        <w:t xml:space="preserve"> advance of the revenue recognition criteria being met. Deferred revenue includes certain deferred implementation services fees that are recognized as revenue ratably over the longer of the life of the agreement or the estimated expected customer life, whi</w:t>
      </w:r>
      <w:r>
        <w:rPr>
          <w:sz w:val="20"/>
          <w:szCs w:val="20"/>
        </w:rPr>
        <w:t>ch is currently estimated to be three years. Deferred revenue that will be recognized during the succeeding 12-month period is recorded as current deferred revenue and the remaining portion is recorded as non-current. At the time of customer termination, a</w:t>
      </w:r>
      <w:r>
        <w:rPr>
          <w:sz w:val="20"/>
          <w:szCs w:val="20"/>
        </w:rPr>
        <w:t>ny unrecognized service fees associated with implementation services are recognized as revenue.</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11511758"/>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Fair Value Measurement</w:t>
      </w:r>
      <w:r>
        <w:rPr>
          <w:b/>
          <w:bCs/>
          <w:sz w:val="20"/>
          <w:szCs w:val="20"/>
        </w:rPr>
        <w:t>s</w:t>
      </w:r>
      <w:r>
        <w:rPr>
          <w:sz w:val="20"/>
          <w:szCs w:val="20"/>
        </w:rPr>
        <w:t xml:space="preserve"> — ASC 820, </w:t>
      </w:r>
      <w:r>
        <w:rPr>
          <w:i/>
          <w:iCs/>
          <w:sz w:val="20"/>
          <w:szCs w:val="20"/>
        </w:rPr>
        <w:t>Fair Value Measurement</w:t>
      </w:r>
      <w:r>
        <w:rPr>
          <w:sz w:val="20"/>
          <w:szCs w:val="20"/>
        </w:rPr>
        <w:t xml:space="preserve">, requires the disclosure of fair value information about financial instruments, whether </w:t>
      </w:r>
      <w:r>
        <w:rPr>
          <w:sz w:val="20"/>
          <w:szCs w:val="20"/>
        </w:rPr>
        <w:t>or not recognized in the balance sheet, for which it is practicable to estimate that value. The Company follows a fair value measurement hierarchy to measure financial instruments. The fair value of the Company’s financial instruments is measured using inp</w:t>
      </w:r>
      <w:r>
        <w:rPr>
          <w:sz w:val="20"/>
          <w:szCs w:val="20"/>
        </w:rPr>
        <w:t>uts from the three levels of the fair value hierarchy as follows:</w:t>
      </w:r>
    </w:p>
    <w:p w:rsidR="00000000" w:rsidRDefault="003A6737">
      <w:pPr>
        <w:pStyle w:val="a3"/>
        <w:spacing w:before="0" w:beforeAutospacing="0" w:after="0" w:afterAutospacing="0"/>
        <w:ind w:left="1435" w:hanging="9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936"/>
        <w:gridCol w:w="6650"/>
      </w:tblGrid>
      <w:tr w:rsidR="00000000">
        <w:tc>
          <w:tcPr>
            <w:tcW w:w="720" w:type="dxa"/>
            <w:hideMark/>
          </w:tcPr>
          <w:p w:rsidR="00000000" w:rsidRDefault="003A6737">
            <w:pPr>
              <w:rPr>
                <w:rFonts w:eastAsia="Times New Roman"/>
                <w:sz w:val="20"/>
                <w:szCs w:val="20"/>
              </w:rPr>
            </w:pPr>
            <w:r>
              <w:rPr>
                <w:rFonts w:eastAsia="Times New Roman"/>
                <w:sz w:val="20"/>
                <w:szCs w:val="20"/>
              </w:rPr>
              <w:t> </w:t>
            </w:r>
          </w:p>
        </w:tc>
        <w:tc>
          <w:tcPr>
            <w:tcW w:w="936" w:type="dxa"/>
            <w:hideMark/>
          </w:tcPr>
          <w:p w:rsidR="00000000" w:rsidRDefault="003A6737">
            <w:pPr>
              <w:rPr>
                <w:rFonts w:eastAsia="Times New Roman"/>
                <w:sz w:val="20"/>
                <w:szCs w:val="20"/>
              </w:rPr>
            </w:pPr>
            <w:r>
              <w:rPr>
                <w:rFonts w:eastAsia="Times New Roman"/>
                <w:sz w:val="20"/>
                <w:szCs w:val="20"/>
              </w:rPr>
              <w:t>Level 1 —</w:t>
            </w:r>
          </w:p>
        </w:tc>
        <w:tc>
          <w:tcPr>
            <w:tcW w:w="0" w:type="auto"/>
            <w:hideMark/>
          </w:tcPr>
          <w:p w:rsidR="00000000" w:rsidRDefault="003A6737">
            <w:pPr>
              <w:jc w:val="both"/>
              <w:rPr>
                <w:rFonts w:eastAsia="Times New Roman"/>
                <w:sz w:val="20"/>
                <w:szCs w:val="20"/>
              </w:rPr>
            </w:pPr>
            <w:r>
              <w:rPr>
                <w:rFonts w:eastAsia="Times New Roman"/>
                <w:sz w:val="20"/>
                <w:szCs w:val="20"/>
              </w:rPr>
              <w:t xml:space="preserve">Inputs </w:t>
            </w:r>
            <w:r>
              <w:rPr>
                <w:rFonts w:eastAsia="Times New Roman"/>
                <w:sz w:val="20"/>
                <w:szCs w:val="20"/>
              </w:rPr>
              <w:t>are unadjusted quoted market prices in active markets for identical assets or liabilities that the Company has the ability to access at the measurement date.</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Level 2 —</w:t>
            </w:r>
          </w:p>
        </w:tc>
        <w:tc>
          <w:tcPr>
            <w:tcW w:w="0" w:type="auto"/>
            <w:hideMark/>
          </w:tcPr>
          <w:p w:rsidR="00000000" w:rsidRDefault="003A6737">
            <w:pPr>
              <w:jc w:val="both"/>
              <w:rPr>
                <w:rFonts w:eastAsia="Times New Roman"/>
                <w:sz w:val="20"/>
                <w:szCs w:val="20"/>
              </w:rPr>
            </w:pPr>
            <w:r>
              <w:rPr>
                <w:rFonts w:eastAsia="Times New Roman"/>
                <w:sz w:val="20"/>
                <w:szCs w:val="20"/>
              </w:rPr>
              <w:t xml:space="preserve">Inputs are directly or indirectly observable, which include quoted prices for </w:t>
            </w:r>
            <w:r>
              <w:rPr>
                <w:rFonts w:eastAsia="Times New Roman"/>
                <w:sz w:val="20"/>
                <w:szCs w:val="20"/>
              </w:rPr>
              <w:t>similar assets and liabilities in active markets, quoted prices for identical or similar assets or liabilities in markets that are not active, inputs other than quoted prices that are observable for the asset or liability and inputs that are derived princi</w:t>
            </w:r>
            <w:r>
              <w:rPr>
                <w:rFonts w:eastAsia="Times New Roman"/>
                <w:sz w:val="20"/>
                <w:szCs w:val="20"/>
              </w:rPr>
              <w:t>pally from or corroborated by observable market data by correlation or other means.</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jc w:val="both"/>
              <w:rPr>
                <w:rFonts w:eastAsia="Times New Roman"/>
                <w:sz w:val="20"/>
                <w:szCs w:val="20"/>
              </w:rPr>
            </w:pPr>
            <w:r>
              <w:rPr>
                <w:rFonts w:eastAsia="Times New Roman"/>
                <w:sz w:val="20"/>
                <w:szCs w:val="20"/>
              </w:rPr>
              <w:t> </w:t>
            </w:r>
          </w:p>
        </w:tc>
      </w:tr>
      <w:tr w:rsidR="00000000">
        <w:tc>
          <w:tcPr>
            <w:tcW w:w="0" w:type="auto"/>
            <w:hideMark/>
          </w:tcPr>
          <w:p w:rsidR="00000000" w:rsidRDefault="003A6737">
            <w:pPr>
              <w:rPr>
                <w:rFonts w:eastAsia="Times New Roman"/>
                <w:sz w:val="20"/>
                <w:szCs w:val="20"/>
              </w:rPr>
            </w:pPr>
            <w:r>
              <w:rPr>
                <w:rFonts w:eastAsia="Times New Roman"/>
                <w:sz w:val="20"/>
                <w:szCs w:val="20"/>
              </w:rPr>
              <w:t> </w:t>
            </w:r>
          </w:p>
        </w:tc>
        <w:tc>
          <w:tcPr>
            <w:tcW w:w="0" w:type="auto"/>
            <w:hideMark/>
          </w:tcPr>
          <w:p w:rsidR="00000000" w:rsidRDefault="003A6737">
            <w:pPr>
              <w:rPr>
                <w:rFonts w:eastAsia="Times New Roman"/>
                <w:sz w:val="20"/>
                <w:szCs w:val="20"/>
              </w:rPr>
            </w:pPr>
            <w:r>
              <w:rPr>
                <w:rFonts w:eastAsia="Times New Roman"/>
                <w:sz w:val="20"/>
                <w:szCs w:val="20"/>
              </w:rPr>
              <w:t>Level 3 —</w:t>
            </w:r>
          </w:p>
        </w:tc>
        <w:tc>
          <w:tcPr>
            <w:tcW w:w="0" w:type="auto"/>
            <w:hideMark/>
          </w:tcPr>
          <w:p w:rsidR="00000000" w:rsidRDefault="003A6737">
            <w:pPr>
              <w:jc w:val="both"/>
              <w:rPr>
                <w:rFonts w:eastAsia="Times New Roman"/>
                <w:sz w:val="20"/>
                <w:szCs w:val="20"/>
              </w:rPr>
            </w:pPr>
            <w:r>
              <w:rPr>
                <w:rFonts w:eastAsia="Times New Roman"/>
                <w:sz w:val="20"/>
                <w:szCs w:val="20"/>
              </w:rPr>
              <w:t xml:space="preserve">Inputs are unobservable inputs </w:t>
            </w:r>
            <w:r>
              <w:rPr>
                <w:rFonts w:eastAsia="Times New Roman"/>
                <w:sz w:val="20"/>
                <w:szCs w:val="20"/>
              </w:rPr>
              <w:t xml:space="preserve">that are used to measure fair value to the extent observable inputs are not available.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Company’s contingent consideration is a Level 3 liability and is measured at fair value at the end of each reporting period. The Company has certain financial in</w:t>
      </w:r>
      <w:r>
        <w:rPr>
          <w:sz w:val="20"/>
          <w:szCs w:val="20"/>
        </w:rPr>
        <w:t>struments that are not measured at fair value on a recurring basis. These financial instruments are subject to fair value adjustments only in certain circumstances and include cash, accounts receivable, accounts payable and accrued expenses, borrowings und</w:t>
      </w:r>
      <w:r>
        <w:rPr>
          <w:sz w:val="20"/>
          <w:szCs w:val="20"/>
        </w:rPr>
        <w:t>er term loans and line of credit, and notes payable. Due to the short term nature of these financial instruments and that the borrowings bear interest at prevailing market rates, the carrying value approximates the fair value.</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Foreign Currency Translatio</w:t>
      </w:r>
      <w:r>
        <w:rPr>
          <w:b/>
          <w:bCs/>
          <w:sz w:val="20"/>
          <w:szCs w:val="20"/>
        </w:rPr>
        <w:t>n</w:t>
      </w:r>
      <w:r>
        <w:rPr>
          <w:sz w:val="20"/>
          <w:szCs w:val="20"/>
        </w:rPr>
        <w:t xml:space="preserve"> — The financial statements of the Company’s foreign subsidiaries are translated from their functional currency into U.S. dollars, the Company’s functional currency. All foreign currency assets and liabilities are translated at the period-end exchange rat</w:t>
      </w:r>
      <w:r>
        <w:rPr>
          <w:sz w:val="20"/>
          <w:szCs w:val="20"/>
        </w:rPr>
        <w:t>e, and all revenue and expenses are translated at transaction date exchange rates. The effects of translating the financial statements of the foreign subsidiaries into U.S. dollars are reported as a cumulative translation adjustment, a separate component o</w:t>
      </w:r>
      <w:r>
        <w:rPr>
          <w:sz w:val="20"/>
          <w:szCs w:val="20"/>
        </w:rPr>
        <w:t>f accumulated other comprehensive loss in the consolidated statements of shareholders’ equity, except for transactions related to the intercompany receivable for which transaction adjustments are recorded in the consolidated statements of operations as the</w:t>
      </w:r>
      <w:r>
        <w:rPr>
          <w:sz w:val="20"/>
          <w:szCs w:val="20"/>
        </w:rPr>
        <w:t xml:space="preserve">y are not deemed to be permanently reinvested. Foreign currency transaction gains/losses are reported as a component of other expense – net in the consolidated statements of operations and amounted to losses of approximately </w:t>
      </w:r>
      <w:r>
        <w:rPr>
          <w:sz w:val="20"/>
          <w:szCs w:val="20"/>
        </w:rPr>
        <w:t>$</w:t>
      </w:r>
      <w:r>
        <w:rPr>
          <w:sz w:val="20"/>
          <w:szCs w:val="20"/>
        </w:rPr>
        <w:t>610,00</w:t>
      </w:r>
      <w:r>
        <w:rPr>
          <w:sz w:val="20"/>
          <w:szCs w:val="20"/>
        </w:rPr>
        <w:t>0</w:t>
      </w:r>
      <w:r>
        <w:rPr>
          <w:sz w:val="20"/>
          <w:szCs w:val="20"/>
        </w:rPr>
        <w:t xml:space="preserve"> and gains of </w:t>
      </w:r>
      <w:r>
        <w:rPr>
          <w:sz w:val="20"/>
          <w:szCs w:val="20"/>
        </w:rPr>
        <w:t>$</w:t>
      </w:r>
      <w:r>
        <w:rPr>
          <w:sz w:val="20"/>
          <w:szCs w:val="20"/>
        </w:rPr>
        <w:t>16,00</w:t>
      </w:r>
      <w:r>
        <w:rPr>
          <w:sz w:val="20"/>
          <w:szCs w:val="20"/>
        </w:rPr>
        <w:t>0</w:t>
      </w:r>
      <w:r>
        <w:rPr>
          <w:sz w:val="20"/>
          <w:szCs w:val="20"/>
        </w:rPr>
        <w:t xml:space="preserve"> f</w:t>
      </w:r>
      <w:r>
        <w:rPr>
          <w:sz w:val="20"/>
          <w:szCs w:val="20"/>
        </w:rPr>
        <w:t>or the years ended December 31, 2022 and 2021, respectively.</w:t>
      </w:r>
    </w:p>
    <w:p w:rsidR="00000000" w:rsidRDefault="003A6737">
      <w:pPr>
        <w:pStyle w:val="a3"/>
        <w:shd w:val="clear" w:color="auto" w:fill="FFFFFF"/>
        <w:spacing w:before="0" w:beforeAutospacing="0" w:after="0" w:afterAutospacing="0"/>
        <w:jc w:val="both"/>
        <w:rPr>
          <w:sz w:val="20"/>
          <w:szCs w:val="20"/>
        </w:rPr>
      </w:pPr>
      <w:r>
        <w:rPr>
          <w:b/>
          <w:bCs/>
          <w:sz w:val="20"/>
          <w:szCs w:val="20"/>
        </w:rPr>
        <w:t> </w:t>
      </w:r>
    </w:p>
    <w:p w:rsidR="00000000" w:rsidRDefault="003A6737">
      <w:pPr>
        <w:pStyle w:val="a3"/>
        <w:shd w:val="clear" w:color="auto" w:fill="FFFFFF"/>
        <w:spacing w:before="0" w:beforeAutospacing="0" w:after="0" w:afterAutospacing="0"/>
        <w:jc w:val="both"/>
        <w:rPr>
          <w:sz w:val="20"/>
          <w:szCs w:val="20"/>
        </w:rPr>
      </w:pPr>
      <w:r>
        <w:rPr>
          <w:b/>
          <w:bCs/>
          <w:sz w:val="20"/>
          <w:szCs w:val="20"/>
        </w:rPr>
        <w:t>Net Loss on Lease Termination, Impairment and Unoccupied Lease Charge</w:t>
      </w:r>
      <w:r>
        <w:rPr>
          <w:b/>
          <w:bCs/>
          <w:sz w:val="20"/>
          <w:szCs w:val="20"/>
        </w:rPr>
        <w:t>s</w:t>
      </w:r>
      <w:r>
        <w:rPr>
          <w:b/>
          <w:bCs/>
          <w:sz w:val="20"/>
          <w:szCs w:val="20"/>
        </w:rPr>
        <w:t xml:space="preserve"> —</w:t>
      </w:r>
      <w:r>
        <w:rPr>
          <w:sz w:val="20"/>
          <w:szCs w:val="20"/>
        </w:rPr>
        <w:t xml:space="preserve"> Net loss on lease termination represents the write-off of leasehold improvements as the result of early lease terminatio</w:t>
      </w:r>
      <w:r>
        <w:rPr>
          <w:sz w:val="20"/>
          <w:szCs w:val="20"/>
        </w:rPr>
        <w:t>ns. Impairment charges represent charges recorded for leased facilities no longer being used by the Company. Unoccupied lease charges represent the portion of lease and related costs for that portion of the space that is vacated and not being utilized by t</w:t>
      </w:r>
      <w:r>
        <w:rPr>
          <w:sz w:val="20"/>
          <w:szCs w:val="20"/>
        </w:rPr>
        <w:t>he Company. The Company was able to turn back to the landlord one of the unused facilities effective January 1, 2022.</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sz w:val="20"/>
          <w:szCs w:val="20"/>
        </w:rPr>
        <w:t>Recent Accounting Pronouncement</w:t>
      </w:r>
      <w:r>
        <w:rPr>
          <w:b/>
          <w:bCs/>
          <w:sz w:val="20"/>
          <w:szCs w:val="20"/>
        </w:rPr>
        <w:t>s</w:t>
      </w:r>
      <w:r>
        <w:rPr>
          <w:sz w:val="20"/>
          <w:szCs w:val="20"/>
        </w:rPr>
        <w:t xml:space="preserve"> — From time to time, new accounting pronouncements are issued by the Financial Accounting Standards Boa</w:t>
      </w:r>
      <w:r>
        <w:rPr>
          <w:sz w:val="20"/>
          <w:szCs w:val="20"/>
        </w:rPr>
        <w:t>rd (“FASB”) and are adopted by us as of the specified effective date. Unless otherwise discussed, we believe that the impact of recently adopted and recently issued accounting pronouncements will not have a material impact on our consolidated financial pos</w:t>
      </w:r>
      <w:r>
        <w:rPr>
          <w:sz w:val="20"/>
          <w:szCs w:val="20"/>
        </w:rPr>
        <w:t>ition, results of operations and cash flows.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In June 2016, the FASB issued ASU 2016-13, </w:t>
      </w:r>
      <w:r>
        <w:rPr>
          <w:i/>
          <w:iCs/>
          <w:sz w:val="20"/>
          <w:szCs w:val="20"/>
        </w:rPr>
        <w:t xml:space="preserve">Financial Instruments – Credit Losses: Measurement of Credit Losses on Financial Instruments. </w:t>
      </w:r>
      <w:r>
        <w:rPr>
          <w:sz w:val="20"/>
          <w:szCs w:val="20"/>
        </w:rPr>
        <w:t>The guidance in Accounting Standards Update (“ASU”) 2016-13 replaces the</w:t>
      </w:r>
      <w:r>
        <w:rPr>
          <w:sz w:val="20"/>
          <w:szCs w:val="20"/>
        </w:rPr>
        <w:t xml:space="preserve"> incurred loss impairment methodology under current GAAP. The new impairment model requires immediate recognition of estimated credit losses expected to occur for most financial assets and certain other instruments. It will apply to all entities. For trade</w:t>
      </w:r>
      <w:r>
        <w:rPr>
          <w:sz w:val="20"/>
          <w:szCs w:val="20"/>
        </w:rPr>
        <w:t xml:space="preserve"> receivables, loans and held-to-maturity debt securities, entities will be required to estimate lifetime expected credit losses. This may result in the earlier recognition of credit losses. In November 2019, the FASB issued ASU No. 2019-10, which delays th</w:t>
      </w:r>
      <w:r>
        <w:rPr>
          <w:sz w:val="20"/>
          <w:szCs w:val="20"/>
        </w:rPr>
        <w:t xml:space="preserve">is standard’s effective date for SEC smaller reporting companies to the fiscal years beginning on or after December 15, 2022. The Company determined that this update will not have a material impact on the consolidated financial statements upon adoption on </w:t>
      </w:r>
      <w:r>
        <w:rPr>
          <w:sz w:val="20"/>
          <w:szCs w:val="20"/>
        </w:rPr>
        <w:t>January 1, 2023.</w:t>
      </w:r>
    </w:p>
    <w:p w:rsidR="00000000" w:rsidRDefault="003A6737">
      <w:pPr>
        <w:pStyle w:val="a3"/>
        <w:shd w:val="clear" w:color="auto" w:fill="FFFFFF"/>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88724948"/>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In December 2019, the FASB issued ASU 2019-12, </w:t>
      </w:r>
      <w:r>
        <w:rPr>
          <w:i/>
          <w:iCs/>
          <w:sz w:val="20"/>
          <w:szCs w:val="20"/>
        </w:rPr>
        <w:t>Simplifying the Accounting for Income Taxes</w:t>
      </w:r>
      <w:r>
        <w:rPr>
          <w:sz w:val="20"/>
          <w:szCs w:val="20"/>
        </w:rPr>
        <w:t xml:space="preserve">. This ASU simplifies accounting for income </w:t>
      </w:r>
      <w:r>
        <w:rPr>
          <w:sz w:val="20"/>
          <w:szCs w:val="20"/>
        </w:rPr>
        <w:t>taxes to reduce complexity in the accounting standards. The amendments consist of the removal of certain exceptions to the general principles of ASC 740 and some additional simplifications. The amendments are not required to be implemented until 2021 for p</w:t>
      </w:r>
      <w:r>
        <w:rPr>
          <w:sz w:val="20"/>
          <w:szCs w:val="20"/>
        </w:rPr>
        <w:t>ublic entities. The Company adopted this guidance effective January 1, 2021. There was no impact on the consolidated financial statements as a result of this standard.</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In 2020, the FASB issued ASU 2020-04 to simplify the accounting for contract modificat</w:t>
      </w:r>
      <w:r>
        <w:rPr>
          <w:sz w:val="20"/>
          <w:szCs w:val="20"/>
        </w:rPr>
        <w:t>ions made to replace LIBOR or other reference rates that are expected to be discontinued because of reference rate reform. The guidance provides optional expedients and exceptions for applying U.S. GAAP to these contract modifications if certain criteria a</w:t>
      </w:r>
      <w:r>
        <w:rPr>
          <w:sz w:val="20"/>
          <w:szCs w:val="20"/>
        </w:rPr>
        <w:t>re met. The optional expedients and exceptions can be applied to contract modifications made until December 31, 2022. There was no impact on the consolidated financial statements as a result of this standard.</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In August 2020, the FASB issued ASU 2020-06, </w:t>
      </w:r>
      <w:r>
        <w:rPr>
          <w:i/>
          <w:iCs/>
          <w:sz w:val="20"/>
          <w:szCs w:val="20"/>
        </w:rPr>
        <w:t>Debt—Debt with Conversion and Other Options (Subtopic 470-20) and Derivatives and Hedging—Contracts in Entity’s Own Equity (Subtopic 815-40).</w:t>
      </w:r>
      <w:r>
        <w:rPr>
          <w:sz w:val="20"/>
          <w:szCs w:val="20"/>
        </w:rPr>
        <w:t xml:space="preserve"> This ASU simplifies the accounting for certain financial instruments with characteristics of liabilities and equit</w:t>
      </w:r>
      <w:r>
        <w:rPr>
          <w:sz w:val="20"/>
          <w:szCs w:val="20"/>
        </w:rPr>
        <w:t>y, including convertible instruments and contracts on an entity’s own equity. The Company adopted this guidance effective January 1, 2022. There was no impact on the consolidated financial statements as a result of this standard.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In October 2021, the FAS</w:t>
      </w:r>
      <w:r>
        <w:rPr>
          <w:sz w:val="20"/>
          <w:szCs w:val="20"/>
        </w:rPr>
        <w:t xml:space="preserve">B issued ASU 2021-08, </w:t>
      </w:r>
      <w:r>
        <w:rPr>
          <w:i/>
          <w:iCs/>
          <w:sz w:val="20"/>
          <w:szCs w:val="20"/>
        </w:rPr>
        <w:t>Business Combinations (Topic 805) – Accounting for Contract Assets and Contract Liabilities from Contracts with Customers.</w:t>
      </w:r>
      <w:r>
        <w:rPr>
          <w:sz w:val="20"/>
          <w:szCs w:val="20"/>
        </w:rPr>
        <w:t xml:space="preserve"> The amendments in this update require acquiring entities to apply Topic 606 to recognize and measure contract a</w:t>
      </w:r>
      <w:r>
        <w:rPr>
          <w:sz w:val="20"/>
          <w:szCs w:val="20"/>
        </w:rPr>
        <w:t>ssets and contract liabilities in a business combination. The amendments are effective for public business entities for fiscal years beginning after December 15, 2022. The Company determined that this update will not have a significant impact on the consol</w:t>
      </w:r>
      <w:r>
        <w:rPr>
          <w:sz w:val="20"/>
          <w:szCs w:val="20"/>
        </w:rPr>
        <w:t>idated financial statements.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caps/>
          <w:sz w:val="20"/>
          <w:szCs w:val="20"/>
        </w:rPr>
      </w:pPr>
      <w:r>
        <w:rPr>
          <w:b/>
          <w:bCs/>
          <w:caps/>
          <w:sz w:val="20"/>
          <w:szCs w:val="20"/>
        </w:rPr>
        <w:t>3.</w:t>
      </w:r>
      <w:r>
        <w:rPr>
          <w:caps/>
          <w:sz w:val="20"/>
          <w:szCs w:val="20"/>
        </w:rPr>
        <w:t xml:space="preserve"> </w:t>
      </w:r>
      <w:r>
        <w:rPr>
          <w:b/>
          <w:bCs/>
          <w:caps/>
          <w:sz w:val="20"/>
          <w:szCs w:val="20"/>
        </w:rPr>
        <w:t>ACQUISITIO</w:t>
      </w:r>
      <w:r>
        <w:rPr>
          <w:b/>
          <w:bCs/>
          <w:caps/>
          <w:sz w:val="20"/>
          <w:szCs w:val="20"/>
        </w:rPr>
        <w:t>N</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u w:val="single"/>
        </w:rPr>
        <w:t>2021 Acquisition</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 xml:space="preserve">On June 1, 2021, CAC entered into an Asset and Stock Purchase Agreement (“Purchase Agreement”) with MedMatica and its sole shareholder. </w:t>
      </w:r>
      <w:r>
        <w:rPr>
          <w:sz w:val="20"/>
          <w:szCs w:val="20"/>
        </w:rPr>
        <w:t>Pursuant to the Purchase Agreement, CAC acquired (i) all of the issued and outstanding capital stock of SRS, a Delaware corporation, and (ii) all of the MedMatica assets that were used in MedMatica’s and SRS’ business. Certain MedMatica liabilities were al</w:t>
      </w:r>
      <w:r>
        <w:rPr>
          <w:sz w:val="20"/>
          <w:szCs w:val="20"/>
        </w:rPr>
        <w:t xml:space="preserve">so assumed under the Purchase Agreement. The total cash consideration was </w:t>
      </w:r>
      <w:r>
        <w:rPr>
          <w:sz w:val="20"/>
          <w:szCs w:val="20"/>
        </w:rPr>
        <w:t>$</w:t>
      </w:r>
      <w:r>
        <w:rPr>
          <w:sz w:val="20"/>
          <w:szCs w:val="20"/>
        </w:rPr>
        <w:t>1</w:t>
      </w:r>
      <w:r>
        <w:rPr>
          <w:sz w:val="20"/>
          <w:szCs w:val="20"/>
        </w:rPr>
        <w:t>0</w:t>
      </w:r>
      <w:r>
        <w:rPr>
          <w:sz w:val="20"/>
          <w:szCs w:val="20"/>
        </w:rPr>
        <w:t xml:space="preserve"> million plus a working capital adjustment of approximately </w:t>
      </w:r>
      <w:r>
        <w:rPr>
          <w:sz w:val="20"/>
          <w:szCs w:val="20"/>
        </w:rPr>
        <w:t>$</w:t>
      </w:r>
      <w:r>
        <w:rPr>
          <w:sz w:val="20"/>
          <w:szCs w:val="20"/>
        </w:rPr>
        <w:t>3.</w:t>
      </w:r>
      <w:r>
        <w:rPr>
          <w:sz w:val="20"/>
          <w:szCs w:val="20"/>
        </w:rPr>
        <w:t>8</w:t>
      </w:r>
      <w:r>
        <w:rPr>
          <w:sz w:val="20"/>
          <w:szCs w:val="20"/>
        </w:rPr>
        <w:t xml:space="preserve"> million. The Purchase Agreement also provided that if during the 18-month period commencing on June 1, 2021 (the “</w:t>
      </w:r>
      <w:r>
        <w:rPr>
          <w:sz w:val="20"/>
          <w:szCs w:val="20"/>
        </w:rPr>
        <w:t xml:space="preserve">Earn-Out Period”), certain EBITDA and revenue targets with respect to the assets and capital stock purchased under the Purchase Agreement were achieved, then CAC would pay MedMatica an earn-out up to a maximum of </w:t>
      </w:r>
      <w:r>
        <w:rPr>
          <w:sz w:val="20"/>
          <w:szCs w:val="20"/>
        </w:rPr>
        <w:t>$</w:t>
      </w:r>
      <w:r>
        <w:rPr>
          <w:sz w:val="20"/>
          <w:szCs w:val="20"/>
        </w:rPr>
        <w:t>8</w:t>
      </w:r>
      <w:r>
        <w:rPr>
          <w:sz w:val="20"/>
          <w:szCs w:val="20"/>
        </w:rPr>
        <w:t xml:space="preserve"> million. Further, if during the Earn-Out</w:t>
      </w:r>
      <w:r>
        <w:rPr>
          <w:sz w:val="20"/>
          <w:szCs w:val="20"/>
        </w:rPr>
        <w:t xml:space="preserve"> Period, certain additional and increased EBITDA and revenue targets with respect to the assets and capital stock purchased under the Purchase Agreement were achieved, then CAC would pay MedMatica an additional earn-out, up to a maximum of </w:t>
      </w:r>
      <w:r>
        <w:rPr>
          <w:sz w:val="20"/>
          <w:szCs w:val="20"/>
        </w:rPr>
        <w:t>$</w:t>
      </w:r>
      <w:r>
        <w:rPr>
          <w:sz w:val="20"/>
          <w:szCs w:val="20"/>
        </w:rPr>
        <w:t>5</w:t>
      </w:r>
      <w:r>
        <w:rPr>
          <w:sz w:val="20"/>
          <w:szCs w:val="20"/>
        </w:rPr>
        <w:t xml:space="preserve"> million. At t</w:t>
      </w:r>
      <w:r>
        <w:rPr>
          <w:sz w:val="20"/>
          <w:szCs w:val="20"/>
        </w:rPr>
        <w:t>he end of the Earn-Out period, it was determined that no amounts were due to the seller.</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MedMatica </w:t>
      </w:r>
      <w:r>
        <w:rPr>
          <w:sz w:val="20"/>
          <w:szCs w:val="20"/>
        </w:rPr>
        <w:t>and SRS are in the business of providing a broad range of specialty consulting services to hospitals and large healthcare groups, including certain consulting services related to healthcare IT application services and implementations, medical practice mana</w:t>
      </w:r>
      <w:r>
        <w:rPr>
          <w:sz w:val="20"/>
          <w:szCs w:val="20"/>
        </w:rPr>
        <w:t>gement, and revenue cycle management. The acquisition has been accounted for as a business combination.</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A summary of the total consideration is as follows:</w:t>
      </w:r>
    </w:p>
    <w:p w:rsidR="00000000" w:rsidRDefault="003A6737">
      <w:pPr>
        <w:pStyle w:val="a3"/>
        <w:spacing w:before="0" w:beforeAutospacing="0" w:after="0" w:afterAutospacing="0"/>
        <w:jc w:val="both"/>
        <w:rPr>
          <w:sz w:val="20"/>
          <w:szCs w:val="20"/>
        </w:rPr>
      </w:pPr>
      <w:r>
        <w:rPr>
          <w:sz w:val="20"/>
          <w:szCs w:val="20"/>
        </w:rPr>
        <w:t> </w:t>
      </w:r>
      <w:r>
        <w:rPr>
          <w:vanish/>
          <w:sz w:val="20"/>
          <w:szCs w:val="20"/>
        </w:rPr>
        <w:t>SUMMARY OF TOTAL CONSIDERATION ON BUSINESS CONSIDERATIO</w:t>
      </w:r>
      <w:r>
        <w:rPr>
          <w:vanish/>
          <w:sz w:val="20"/>
          <w:szCs w:val="20"/>
        </w:rPr>
        <w:t>N</w:t>
      </w:r>
    </w:p>
    <w:tbl>
      <w:tblPr>
        <w:tblW w:w="3500" w:type="pct"/>
        <w:tblCellMar>
          <w:left w:w="0" w:type="dxa"/>
          <w:right w:w="0" w:type="dxa"/>
        </w:tblCellMar>
        <w:tblLook w:val="04A0" w:firstRow="1" w:lastRow="0" w:firstColumn="1" w:lastColumn="0" w:noHBand="0" w:noVBand="1"/>
      </w:tblPr>
      <w:tblGrid>
        <w:gridCol w:w="1735"/>
        <w:gridCol w:w="2665"/>
        <w:gridCol w:w="108"/>
        <w:gridCol w:w="101"/>
        <w:gridCol w:w="1155"/>
        <w:gridCol w:w="50"/>
      </w:tblGrid>
      <w:tr w:rsidR="00000000">
        <w:tc>
          <w:tcPr>
            <w:tcW w:w="0" w:type="auto"/>
            <w:tcBorders>
              <w:bottom w:val="single" w:sz="12" w:space="0" w:color="000000"/>
            </w:tcBorders>
            <w:vAlign w:val="bottom"/>
            <w:hideMark/>
          </w:tcPr>
          <w:p w:rsidR="00000000" w:rsidRDefault="003A6737">
            <w:pPr>
              <w:rPr>
                <w:rFonts w:eastAsia="Times New Roman"/>
                <w:b/>
                <w:bCs/>
                <w:sz w:val="20"/>
                <w:szCs w:val="20"/>
              </w:rPr>
            </w:pPr>
            <w:r>
              <w:rPr>
                <w:rFonts w:eastAsia="Times New Roman"/>
                <w:b/>
                <w:bCs/>
                <w:sz w:val="20"/>
                <w:szCs w:val="20"/>
              </w:rPr>
              <w:t>medSR Purchase Price</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1500" w:type="pct"/>
            <w:shd w:val="clear" w:color="auto" w:fill="CCEEFF"/>
            <w:vAlign w:val="bottom"/>
            <w:hideMark/>
          </w:tcPr>
          <w:p w:rsidR="00000000" w:rsidRDefault="003A6737">
            <w:pPr>
              <w:rPr>
                <w:rFonts w:eastAsia="Times New Roman"/>
                <w:sz w:val="20"/>
                <w:szCs w:val="20"/>
              </w:rPr>
            </w:pPr>
            <w:r>
              <w:rPr>
                <w:rFonts w:eastAsia="Times New Roman"/>
                <w:sz w:val="20"/>
                <w:szCs w:val="20"/>
              </w:rPr>
              <w:t>Cash</w:t>
            </w:r>
          </w:p>
        </w:tc>
        <w:tc>
          <w:tcPr>
            <w:tcW w:w="23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12,261</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Amounts held in escrow</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1,571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Contingent consideration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5,605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Total purchase price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b/>
                <w:bCs/>
                <w:sz w:val="20"/>
                <w:szCs w:val="20"/>
              </w:rPr>
            </w:pPr>
            <w:r>
              <w:rPr>
                <w:rFonts w:eastAsia="Times New Roman"/>
                <w:b/>
                <w:bCs/>
                <w:sz w:val="20"/>
                <w:szCs w:val="20"/>
              </w:rPr>
              <w:t>19,437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20105767"/>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Company engaged a third party valuation specialist to assist the Company in valuing the assets acquired and liabilities assumed from MedMatica. The following table summarizes the purchase price allocation. The Company finalized the purchase price allocatio</w:t>
      </w:r>
      <w:r>
        <w:rPr>
          <w:sz w:val="20"/>
          <w:szCs w:val="20"/>
        </w:rPr>
        <w:t>n during the fourth quarter of 2021.</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purchase price allocation for medSR is summarized as follows:</w:t>
      </w:r>
    </w:p>
    <w:p w:rsidR="00000000" w:rsidRDefault="003A6737">
      <w:pPr>
        <w:pStyle w:val="a3"/>
        <w:spacing w:before="0" w:beforeAutospacing="0" w:after="0" w:afterAutospacing="0"/>
        <w:jc w:val="both"/>
        <w:rPr>
          <w:sz w:val="20"/>
          <w:szCs w:val="20"/>
        </w:rPr>
      </w:pPr>
      <w:r>
        <w:rPr>
          <w:sz w:val="20"/>
          <w:szCs w:val="20"/>
        </w:rPr>
        <w:t> </w:t>
      </w:r>
      <w:r>
        <w:rPr>
          <w:vanish/>
          <w:sz w:val="20"/>
          <w:szCs w:val="20"/>
        </w:rPr>
        <w:t>SCHEDULE OF ASSETS ACQUIRED AND LIABILITIES ASSUME</w:t>
      </w:r>
      <w:r>
        <w:rPr>
          <w:vanish/>
          <w:sz w:val="20"/>
          <w:szCs w:val="20"/>
        </w:rPr>
        <w:t>D</w:t>
      </w:r>
    </w:p>
    <w:tbl>
      <w:tblPr>
        <w:tblW w:w="4000" w:type="pct"/>
        <w:tblCellMar>
          <w:left w:w="0" w:type="dxa"/>
          <w:right w:w="0" w:type="dxa"/>
        </w:tblCellMar>
        <w:tblLook w:val="04A0" w:firstRow="1" w:lastRow="0" w:firstColumn="1" w:lastColumn="0" w:noHBand="0" w:noVBand="1"/>
      </w:tblPr>
      <w:tblGrid>
        <w:gridCol w:w="4772"/>
        <w:gridCol w:w="121"/>
        <w:gridCol w:w="101"/>
        <w:gridCol w:w="1584"/>
        <w:gridCol w:w="67"/>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3600" w:type="pct"/>
            <w:shd w:val="clear" w:color="auto" w:fill="CCEEFF"/>
            <w:vAlign w:val="bottom"/>
            <w:hideMark/>
          </w:tcPr>
          <w:p w:rsidR="00000000" w:rsidRDefault="003A6737">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2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2,696</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Receivable from seller</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227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Unbilled receivables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2,491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3,100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Acquired backlog</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490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11,931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(539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Accrued expenses &amp; compensation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(1,125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Deferred revenue</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(20</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Total purchase price allocation</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b/>
                <w:bCs/>
                <w:sz w:val="20"/>
                <w:szCs w:val="20"/>
              </w:rPr>
            </w:pPr>
            <w:r>
              <w:rPr>
                <w:rFonts w:eastAsia="Times New Roman"/>
                <w:b/>
                <w:bCs/>
                <w:sz w:val="20"/>
                <w:szCs w:val="20"/>
              </w:rPr>
              <w:t>19,437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acquired accounts receivable was recorded at fair value, which represents amounts that have subsequently been paid or were expected to be paid by clients. The fair value of customer relationships was based on the estimated discounted cash flows generated b</w:t>
      </w:r>
      <w:r>
        <w:rPr>
          <w:sz w:val="20"/>
          <w:szCs w:val="20"/>
        </w:rPr>
        <w:t>y these intangibles. The goodwill represents the Company’s ability to have an expanded local presence in additional markets and operational synergies that we expect to achieve that would not be available to other market participants. The goodwill from this</w:t>
      </w:r>
      <w:r>
        <w:rPr>
          <w:sz w:val="20"/>
          <w:szCs w:val="20"/>
        </w:rPr>
        <w:t xml:space="preserve"> acquisition is deductible ratably for income tax purposes over fifteen years. The purchase agreement provides that if revenue and EBITDA over the next 18 months exceeds certain specified amounts, there will be an earn-out payment to the seller equal to su</w:t>
      </w:r>
      <w:r>
        <w:rPr>
          <w:sz w:val="20"/>
          <w:szCs w:val="20"/>
        </w:rPr>
        <w:t xml:space="preserve">ch excess, up to </w:t>
      </w:r>
      <w:r>
        <w:rPr>
          <w:sz w:val="20"/>
          <w:szCs w:val="20"/>
        </w:rPr>
        <w:t>$</w:t>
      </w:r>
      <w:r>
        <w:rPr>
          <w:sz w:val="20"/>
          <w:szCs w:val="20"/>
        </w:rPr>
        <w:t>1</w:t>
      </w:r>
      <w:r>
        <w:rPr>
          <w:sz w:val="20"/>
          <w:szCs w:val="20"/>
        </w:rPr>
        <w:t>3</w:t>
      </w:r>
      <w:r>
        <w:rPr>
          <w:sz w:val="20"/>
          <w:szCs w:val="20"/>
        </w:rPr>
        <w:t xml:space="preserve"> million. It was estimated that the probable payment was approximately </w:t>
      </w:r>
      <w:r>
        <w:rPr>
          <w:sz w:val="20"/>
          <w:szCs w:val="20"/>
        </w:rPr>
        <w:t>$</w:t>
      </w:r>
      <w:r>
        <w:rPr>
          <w:sz w:val="20"/>
          <w:szCs w:val="20"/>
        </w:rPr>
        <w:t>5.</w:t>
      </w:r>
      <w:r>
        <w:rPr>
          <w:sz w:val="20"/>
          <w:szCs w:val="20"/>
        </w:rPr>
        <w:t>6</w:t>
      </w:r>
      <w:r>
        <w:rPr>
          <w:sz w:val="20"/>
          <w:szCs w:val="20"/>
        </w:rPr>
        <w:t xml:space="preserve"> million as of the acquisition date and this amount was recorded as part of the purchase price allocation as contingent consideration. At December 31, 2021, the </w:t>
      </w:r>
      <w:r>
        <w:rPr>
          <w:sz w:val="20"/>
          <w:szCs w:val="20"/>
        </w:rPr>
        <w:t xml:space="preserve">Company determined that the fair value of the contingent consideration was approximately </w:t>
      </w:r>
      <w:r>
        <w:rPr>
          <w:sz w:val="20"/>
          <w:szCs w:val="20"/>
        </w:rPr>
        <w:t>$</w:t>
      </w:r>
      <w:r>
        <w:rPr>
          <w:sz w:val="20"/>
          <w:szCs w:val="20"/>
        </w:rPr>
        <w:t>3.</w:t>
      </w:r>
      <w:r>
        <w:rPr>
          <w:sz w:val="20"/>
          <w:szCs w:val="20"/>
        </w:rPr>
        <w:t>1</w:t>
      </w:r>
      <w:r>
        <w:rPr>
          <w:sz w:val="20"/>
          <w:szCs w:val="20"/>
        </w:rPr>
        <w:t xml:space="preserve"> million, based in part on the actual operating results since the acquisition. At the end of the 18-month period, it was determined that no earn-out payment was du</w:t>
      </w:r>
      <w:r>
        <w:rPr>
          <w:sz w:val="20"/>
          <w:szCs w:val="20"/>
        </w:rPr>
        <w:t>e to the seller and accordingly, there was no contingent consideration recorded as of December 31, 2022. The difference in the contingent consideration between December 31, 2022 and December 31, 2021 has been recorded as a change in contingent consideratio</w:t>
      </w:r>
      <w:r>
        <w:rPr>
          <w:sz w:val="20"/>
          <w:szCs w:val="20"/>
        </w:rPr>
        <w:t>n in the consolidated statements of operations.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As part of the acquisition, </w:t>
      </w:r>
      <w:r>
        <w:rPr>
          <w:sz w:val="20"/>
          <w:szCs w:val="20"/>
        </w:rPr>
        <w:t>$</w:t>
      </w:r>
      <w:r>
        <w:rPr>
          <w:sz w:val="20"/>
          <w:szCs w:val="20"/>
        </w:rPr>
        <w:t>1.</w:t>
      </w:r>
      <w:r>
        <w:rPr>
          <w:sz w:val="20"/>
          <w:szCs w:val="20"/>
        </w:rPr>
        <w:t>5</w:t>
      </w:r>
      <w:r>
        <w:rPr>
          <w:sz w:val="20"/>
          <w:szCs w:val="20"/>
        </w:rPr>
        <w:t xml:space="preserve"> million of the purchase price was held in escrow, which represented </w:t>
      </w:r>
      <w:r>
        <w:rPr>
          <w:sz w:val="20"/>
          <w:szCs w:val="20"/>
        </w:rPr>
        <w:t>$</w:t>
      </w:r>
      <w:r>
        <w:rPr>
          <w:sz w:val="20"/>
          <w:szCs w:val="20"/>
        </w:rPr>
        <w:t>500,00</w:t>
      </w:r>
      <w:r>
        <w:rPr>
          <w:sz w:val="20"/>
          <w:szCs w:val="20"/>
        </w:rPr>
        <w:t>0</w:t>
      </w:r>
      <w:r>
        <w:rPr>
          <w:sz w:val="20"/>
          <w:szCs w:val="20"/>
        </w:rPr>
        <w:t xml:space="preserve"> to be paid upon the achievement of agreed-upon revenue and backlog milestones, and the balance t</w:t>
      </w:r>
      <w:r>
        <w:rPr>
          <w:sz w:val="20"/>
          <w:szCs w:val="20"/>
        </w:rPr>
        <w:t>o be held for up to</w:t>
      </w:r>
      <w:r>
        <w:rPr>
          <w:sz w:val="20"/>
          <w:szCs w:val="20"/>
        </w:rPr>
        <w:t xml:space="preserve"> </w:t>
      </w:r>
      <w:r>
        <w:rPr>
          <w:sz w:val="20"/>
          <w:szCs w:val="20"/>
        </w:rPr>
        <w:t>18 month</w:t>
      </w:r>
      <w:r>
        <w:rPr>
          <w:sz w:val="20"/>
          <w:szCs w:val="20"/>
        </w:rPr>
        <w:t>s</w:t>
      </w:r>
      <w:r>
        <w:rPr>
          <w:sz w:val="20"/>
          <w:szCs w:val="20"/>
        </w:rPr>
        <w:t xml:space="preserve"> to satisfy certain indemnification obligations. During the third quarter of 2021, the initial portion of the escrow was settled whereby </w:t>
      </w:r>
      <w:r>
        <w:rPr>
          <w:sz w:val="20"/>
          <w:szCs w:val="20"/>
        </w:rPr>
        <w:t>$</w:t>
      </w:r>
      <w:r>
        <w:rPr>
          <w:sz w:val="20"/>
          <w:szCs w:val="20"/>
        </w:rPr>
        <w:t>250,00</w:t>
      </w:r>
      <w:r>
        <w:rPr>
          <w:sz w:val="20"/>
          <w:szCs w:val="20"/>
        </w:rPr>
        <w:t>0</w:t>
      </w:r>
      <w:r>
        <w:rPr>
          <w:sz w:val="20"/>
          <w:szCs w:val="20"/>
        </w:rPr>
        <w:t xml:space="preserve"> was paid to the seller and </w:t>
      </w:r>
      <w:r>
        <w:rPr>
          <w:sz w:val="20"/>
          <w:szCs w:val="20"/>
        </w:rPr>
        <w:t>$</w:t>
      </w:r>
      <w:r>
        <w:rPr>
          <w:sz w:val="20"/>
          <w:szCs w:val="20"/>
        </w:rPr>
        <w:t>250,00</w:t>
      </w:r>
      <w:r>
        <w:rPr>
          <w:sz w:val="20"/>
          <w:szCs w:val="20"/>
        </w:rPr>
        <w:t>0</w:t>
      </w:r>
      <w:r>
        <w:rPr>
          <w:sz w:val="20"/>
          <w:szCs w:val="20"/>
        </w:rPr>
        <w:t xml:space="preserve"> was offset against the working capital adjust</w:t>
      </w:r>
      <w:r>
        <w:rPr>
          <w:sz w:val="20"/>
          <w:szCs w:val="20"/>
        </w:rPr>
        <w:t xml:space="preserve">ment. An additional </w:t>
      </w:r>
      <w:r>
        <w:rPr>
          <w:sz w:val="20"/>
          <w:szCs w:val="20"/>
        </w:rPr>
        <w:t>$</w:t>
      </w:r>
      <w:r>
        <w:rPr>
          <w:sz w:val="20"/>
          <w:szCs w:val="20"/>
        </w:rPr>
        <w:t>71,00</w:t>
      </w:r>
      <w:r>
        <w:rPr>
          <w:sz w:val="20"/>
          <w:szCs w:val="20"/>
        </w:rPr>
        <w:t>0</w:t>
      </w:r>
      <w:r>
        <w:rPr>
          <w:sz w:val="20"/>
          <w:szCs w:val="20"/>
        </w:rPr>
        <w:t xml:space="preserve"> that was held in escrow was also paid. Approximately </w:t>
      </w:r>
      <w:r>
        <w:rPr>
          <w:sz w:val="20"/>
          <w:szCs w:val="20"/>
        </w:rPr>
        <w:t>$</w:t>
      </w:r>
      <w:r>
        <w:rPr>
          <w:sz w:val="20"/>
          <w:szCs w:val="20"/>
        </w:rPr>
        <w:t>12.</w:t>
      </w:r>
      <w:r>
        <w:rPr>
          <w:sz w:val="20"/>
          <w:szCs w:val="20"/>
        </w:rPr>
        <w:t>3</w:t>
      </w:r>
      <w:r>
        <w:rPr>
          <w:sz w:val="20"/>
          <w:szCs w:val="20"/>
        </w:rPr>
        <w:t xml:space="preserve"> million in cash was paid at closing. The balance of </w:t>
      </w:r>
      <w:r>
        <w:rPr>
          <w:sz w:val="20"/>
          <w:szCs w:val="20"/>
        </w:rPr>
        <w:t>$</w:t>
      </w:r>
      <w:r>
        <w:rPr>
          <w:sz w:val="20"/>
          <w:szCs w:val="20"/>
        </w:rPr>
        <w:t>1</w:t>
      </w:r>
      <w:r>
        <w:rPr>
          <w:sz w:val="20"/>
          <w:szCs w:val="20"/>
        </w:rPr>
        <w:t>.0 million escrow is included in consideration payable and restricted cash in the consolidated balance sheet at Dec</w:t>
      </w:r>
      <w:r>
        <w:rPr>
          <w:sz w:val="20"/>
          <w:szCs w:val="20"/>
        </w:rPr>
        <w:t xml:space="preserve">ember 31, 2021. During the quarter ended December 31, 2022, </w:t>
      </w:r>
      <w:r>
        <w:rPr>
          <w:sz w:val="20"/>
          <w:szCs w:val="20"/>
        </w:rPr>
        <w:t>$</w:t>
      </w:r>
      <w:r>
        <w:rPr>
          <w:sz w:val="20"/>
          <w:szCs w:val="20"/>
        </w:rPr>
        <w:t>1</w:t>
      </w:r>
      <w:r>
        <w:rPr>
          <w:sz w:val="20"/>
          <w:szCs w:val="20"/>
        </w:rPr>
        <w:t>.0 million was paid to the seller settling the remaining portion of the escrow.</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weighted-average amortization period of the acquired intangible assets is approximately</w:t>
      </w:r>
      <w:r>
        <w:rPr>
          <w:sz w:val="20"/>
          <w:szCs w:val="20"/>
        </w:rPr>
        <w:t xml:space="preserve"> </w:t>
      </w:r>
      <w:r>
        <w:rPr>
          <w:sz w:val="20"/>
          <w:szCs w:val="20"/>
        </w:rPr>
        <w:t>three year</w:t>
      </w:r>
      <w:r>
        <w:rPr>
          <w:sz w:val="20"/>
          <w:szCs w:val="20"/>
        </w:rPr>
        <w:t>s</w:t>
      </w:r>
      <w:r>
        <w:rPr>
          <w:sz w:val="20"/>
          <w:szCs w:val="20"/>
        </w:rPr>
        <w: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Reven</w:t>
      </w:r>
      <w:r>
        <w:rPr>
          <w:sz w:val="20"/>
          <w:szCs w:val="20"/>
        </w:rPr>
        <w:t xml:space="preserve">ue earned as a result of the medSR acquisition was approximately </w:t>
      </w:r>
      <w:r>
        <w:rPr>
          <w:sz w:val="20"/>
          <w:szCs w:val="20"/>
        </w:rPr>
        <w:t>$</w:t>
      </w:r>
      <w:r>
        <w:rPr>
          <w:sz w:val="20"/>
          <w:szCs w:val="20"/>
        </w:rPr>
        <w:t>29.</w:t>
      </w:r>
      <w:r>
        <w:rPr>
          <w:sz w:val="20"/>
          <w:szCs w:val="20"/>
        </w:rPr>
        <w:t>7</w:t>
      </w:r>
      <w:r>
        <w:rPr>
          <w:sz w:val="20"/>
          <w:szCs w:val="20"/>
        </w:rPr>
        <w:t xml:space="preserve"> million and </w:t>
      </w:r>
      <w:r>
        <w:rPr>
          <w:sz w:val="20"/>
          <w:szCs w:val="20"/>
        </w:rPr>
        <w:t>$</w:t>
      </w:r>
      <w:r>
        <w:rPr>
          <w:sz w:val="20"/>
          <w:szCs w:val="20"/>
        </w:rPr>
        <w:t>15.</w:t>
      </w:r>
      <w:r>
        <w:rPr>
          <w:sz w:val="20"/>
          <w:szCs w:val="20"/>
        </w:rPr>
        <w:t>9</w:t>
      </w:r>
      <w:r>
        <w:rPr>
          <w:sz w:val="20"/>
          <w:szCs w:val="20"/>
        </w:rPr>
        <w:t xml:space="preserve"> million for the years ended December 31, 2022 and 2021, respectively.</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medSR acquisition added additional clients to the Company’s customer base and, similar to p</w:t>
      </w:r>
      <w:r>
        <w:rPr>
          <w:sz w:val="20"/>
          <w:szCs w:val="20"/>
        </w:rPr>
        <w:t>revious acquisitions, broadened the Company’s presence in the healthcare information technology industry through expansion of its customer base and by increasing available customer relationship resources and specialized trained staff.</w:t>
      </w:r>
    </w:p>
    <w:p w:rsidR="00000000" w:rsidRDefault="003A6737">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6943410"/>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u w:val="single"/>
        </w:rPr>
        <w:t xml:space="preserve">Pro </w:t>
      </w:r>
      <w:r>
        <w:rPr>
          <w:b/>
          <w:bCs/>
          <w:sz w:val="20"/>
          <w:szCs w:val="20"/>
          <w:u w:val="single"/>
        </w:rPr>
        <w:t>forma financial information (Unaudited)</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sz w:val="20"/>
          <w:szCs w:val="20"/>
        </w:rPr>
        <w:t>The unaudited pro forma information below represents the consolidated results of operations as if the medSR acquisition occurred on January 1, 2021. The pro forma information has been included for comparative purpo</w:t>
      </w:r>
      <w:r>
        <w:rPr>
          <w:sz w:val="20"/>
          <w:szCs w:val="20"/>
        </w:rPr>
        <w:t>ses and is not indicative of results of operations that the Company would have had if the acquisition occurred on the above date, nor is it necessarily indicative of future results. The unaudited pro forma information reflects material, non-recurring pro f</w:t>
      </w:r>
      <w:r>
        <w:rPr>
          <w:sz w:val="20"/>
          <w:szCs w:val="20"/>
        </w:rPr>
        <w:t xml:space="preserve">orma adjustments directly attributable to the business combination. The difference between the actual revenue and the pro forma revenue is approximately </w:t>
      </w:r>
      <w:r>
        <w:rPr>
          <w:sz w:val="20"/>
          <w:szCs w:val="20"/>
        </w:rPr>
        <w:t>$</w:t>
      </w:r>
      <w:r>
        <w:rPr>
          <w:sz w:val="20"/>
          <w:szCs w:val="20"/>
        </w:rPr>
        <w:t>17.</w:t>
      </w:r>
      <w:r>
        <w:rPr>
          <w:sz w:val="20"/>
          <w:szCs w:val="20"/>
        </w:rPr>
        <w:t>8</w:t>
      </w:r>
      <w:r>
        <w:rPr>
          <w:sz w:val="20"/>
          <w:szCs w:val="20"/>
        </w:rPr>
        <w:t xml:space="preserve"> million of additional revenue primarily recorded by medSR for the year ended December 31, 2021 an</w:t>
      </w:r>
      <w:r>
        <w:rPr>
          <w:sz w:val="20"/>
          <w:szCs w:val="20"/>
        </w:rPr>
        <w:t>d reflected as a pro forma adjustment below. Other differences arise from amortizing purchased intangibles using the double declining balance method.</w:t>
      </w:r>
    </w:p>
    <w:p w:rsidR="00000000" w:rsidRDefault="003A6737">
      <w:pPr>
        <w:pStyle w:val="a3"/>
        <w:spacing w:before="0" w:beforeAutospacing="0" w:after="0" w:afterAutospacing="0"/>
        <w:jc w:val="both"/>
        <w:rPr>
          <w:sz w:val="20"/>
          <w:szCs w:val="20"/>
        </w:rPr>
      </w:pPr>
      <w:r>
        <w:rPr>
          <w:sz w:val="20"/>
          <w:szCs w:val="20"/>
        </w:rPr>
        <w:t> </w:t>
      </w:r>
      <w:r>
        <w:rPr>
          <w:vanish/>
          <w:sz w:val="20"/>
          <w:szCs w:val="20"/>
        </w:rPr>
        <w:t>SCHEDULE OF BUSINESS ACQUISITION PRO FORMA INFORMATIO</w:t>
      </w:r>
      <w:r>
        <w:rPr>
          <w:vanish/>
          <w:sz w:val="20"/>
          <w:szCs w:val="20"/>
        </w:rPr>
        <w:t>N</w:t>
      </w:r>
    </w:p>
    <w:tbl>
      <w:tblPr>
        <w:tblW w:w="4000" w:type="pct"/>
        <w:tblCellMar>
          <w:left w:w="0" w:type="dxa"/>
          <w:right w:w="0" w:type="dxa"/>
        </w:tblCellMar>
        <w:tblLook w:val="04A0" w:firstRow="1" w:lastRow="0" w:firstColumn="1" w:lastColumn="0" w:noHBand="0" w:noVBand="1"/>
      </w:tblPr>
      <w:tblGrid>
        <w:gridCol w:w="4706"/>
        <w:gridCol w:w="121"/>
        <w:gridCol w:w="101"/>
        <w:gridCol w:w="1650"/>
        <w:gridCol w:w="67"/>
      </w:tblGrid>
      <w:tr w:rsidR="00000000">
        <w:trPr>
          <w:hidden/>
        </w:trPr>
        <w:tc>
          <w:tcPr>
            <w:tcW w:w="0" w:type="auto"/>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 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jc w:val="center"/>
              <w:rPr>
                <w:rFonts w:eastAsia="Times New Roman"/>
                <w:sz w:val="20"/>
                <w:szCs w:val="20"/>
              </w:rPr>
            </w:pPr>
            <w:r>
              <w:rPr>
                <w:rFonts w:eastAsia="Times New Roman"/>
                <w:sz w:val="20"/>
                <w:szCs w:val="20"/>
              </w:rPr>
              <w:t>($ in thousands, except per share amounts)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3550" w:type="pct"/>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Total revenue</w:t>
            </w:r>
          </w:p>
        </w:tc>
        <w:tc>
          <w:tcPr>
            <w:tcW w:w="100" w:type="pct"/>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250" w:type="pct"/>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157,390</w:t>
            </w:r>
          </w:p>
        </w:tc>
        <w:tc>
          <w:tcPr>
            <w:tcW w:w="50" w:type="pct"/>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income</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3,753</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(10,299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loss per common share</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(0.71</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rPr>
          <w:hidden/>
        </w:trPr>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Net loss per common share</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vanish/>
                <w:sz w:val="20"/>
                <w:szCs w:val="20"/>
              </w:rPr>
            </w:pPr>
            <w:r>
              <w:rPr>
                <w:rFonts w:eastAsia="Times New Roman"/>
                <w:vanish/>
                <w:sz w:val="20"/>
                <w:szCs w:val="20"/>
              </w:rPr>
              <w:t>(0.71</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caps/>
          <w:sz w:val="20"/>
          <w:szCs w:val="20"/>
        </w:rPr>
      </w:pPr>
      <w:r>
        <w:rPr>
          <w:b/>
          <w:bCs/>
          <w:caps/>
          <w:sz w:val="20"/>
          <w:szCs w:val="20"/>
        </w:rPr>
        <w:t>4.</w:t>
      </w:r>
      <w:r>
        <w:rPr>
          <w:caps/>
          <w:sz w:val="20"/>
          <w:szCs w:val="20"/>
        </w:rPr>
        <w:t xml:space="preserve"> </w:t>
      </w:r>
      <w:r>
        <w:rPr>
          <w:b/>
          <w:bCs/>
          <w:caps/>
          <w:sz w:val="20"/>
          <w:szCs w:val="20"/>
        </w:rPr>
        <w:t>GOODWILL AND INTANGIBLE ASSETS – NE</w:t>
      </w:r>
      <w:r>
        <w:rPr>
          <w:b/>
          <w:bCs/>
          <w:caps/>
          <w:sz w:val="20"/>
          <w:szCs w:val="20"/>
        </w:rPr>
        <w:t>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Goodwill consists of the excess of the purchase price over the fair value of identifiable net assets of businesses acquired. The following is the summary of the changes to the carrying amount of goodwill for the years</w:t>
      </w:r>
      <w:r>
        <w:rPr>
          <w:sz w:val="20"/>
          <w:szCs w:val="20"/>
        </w:rPr>
        <w:t xml:space="preserve"> ended December 31, 2022 and 2021:</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w:t>
      </w:r>
      <w:r>
        <w:rPr>
          <w:vanish/>
          <w:sz w:val="20"/>
          <w:szCs w:val="20"/>
        </w:rPr>
        <w:t>SCHEDULE OF INTANGIBLE ASSETS AND GOODWIL</w:t>
      </w:r>
      <w:r>
        <w:rPr>
          <w:vanish/>
          <w:sz w:val="20"/>
          <w:szCs w:val="20"/>
        </w:rPr>
        <w:t>L</w:t>
      </w:r>
    </w:p>
    <w:tbl>
      <w:tblPr>
        <w:tblW w:w="4500" w:type="pct"/>
        <w:tblCellMar>
          <w:left w:w="0" w:type="dxa"/>
          <w:right w:w="0" w:type="dxa"/>
        </w:tblCellMar>
        <w:tblLook w:val="04A0" w:firstRow="1" w:lastRow="0" w:firstColumn="1" w:lastColumn="0" w:noHBand="0" w:noVBand="1"/>
      </w:tblPr>
      <w:tblGrid>
        <w:gridCol w:w="4477"/>
        <w:gridCol w:w="142"/>
        <w:gridCol w:w="100"/>
        <w:gridCol w:w="1188"/>
        <w:gridCol w:w="68"/>
        <w:gridCol w:w="143"/>
        <w:gridCol w:w="100"/>
        <w:gridCol w:w="1189"/>
        <w:gridCol w:w="68"/>
      </w:tblGrid>
      <w:tr w:rsidR="00000000">
        <w:trPr>
          <w:hidden/>
        </w:trPr>
        <w:tc>
          <w:tcPr>
            <w:tcW w:w="0" w:type="auto"/>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3A6737">
            <w:pPr>
              <w:rPr>
                <w:rFonts w:eastAsia="Times New Roman"/>
                <w:sz w:val="20"/>
                <w:szCs w:val="20"/>
              </w:rPr>
            </w:pPr>
            <w:r>
              <w:rPr>
                <w:rFonts w:eastAsia="Times New Roman"/>
                <w:sz w:val="20"/>
                <w:szCs w:val="20"/>
              </w:rPr>
              <w:t>Beginning gross balance</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61,186</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49,291</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Acquisition, net of adjustments</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11,895</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Ending gross balance</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61,186</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61,186</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At December 31, 2022, and 2021, approximately </w:t>
      </w:r>
      <w:r>
        <w:rPr>
          <w:sz w:val="20"/>
          <w:szCs w:val="20"/>
        </w:rPr>
        <w:t>$</w:t>
      </w:r>
      <w:r>
        <w:rPr>
          <w:sz w:val="20"/>
          <w:szCs w:val="20"/>
        </w:rPr>
        <w:t>90,00</w:t>
      </w:r>
      <w:r>
        <w:rPr>
          <w:sz w:val="20"/>
          <w:szCs w:val="20"/>
        </w:rPr>
        <w:t>0</w:t>
      </w:r>
      <w:r>
        <w:rPr>
          <w:sz w:val="20"/>
          <w:szCs w:val="20"/>
        </w:rPr>
        <w:t xml:space="preserve"> </w:t>
      </w:r>
      <w:r>
        <w:rPr>
          <w:sz w:val="20"/>
          <w:szCs w:val="20"/>
        </w:rPr>
        <w:t>of goodwill was allocated to the Medical Practice Management segment and the balance was allocated to the Healthcare IT segment.</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91901919"/>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Below </w:t>
      </w:r>
      <w:r>
        <w:rPr>
          <w:sz w:val="20"/>
          <w:szCs w:val="20"/>
        </w:rPr>
        <w:t>is a summary of intangible asset activity for the years ended December 31, 2022 and 2021:</w:t>
      </w:r>
    </w:p>
    <w:p w:rsidR="00000000" w:rsidRDefault="003A6737">
      <w:pPr>
        <w:pStyle w:val="a3"/>
        <w:spacing w:before="0" w:beforeAutospacing="0" w:after="0" w:afterAutospacing="0"/>
        <w:jc w:val="both"/>
        <w:rPr>
          <w:sz w:val="20"/>
          <w:szCs w:val="20"/>
        </w:rPr>
      </w:pPr>
      <w:r>
        <w:rPr>
          <w:sz w:val="20"/>
          <w:szCs w:val="20"/>
        </w:rPr>
        <w:t> </w:t>
      </w:r>
      <w:r>
        <w:rPr>
          <w:vanish/>
          <w:sz w:val="20"/>
          <w:szCs w:val="20"/>
        </w:rPr>
        <w:t>SCHEDULE OF FINITE - LIVED INTANGIBLE ASSET</w:t>
      </w:r>
      <w:r>
        <w:rPr>
          <w:vanish/>
          <w:sz w:val="20"/>
          <w:szCs w:val="20"/>
        </w:rPr>
        <w:t>S</w:t>
      </w:r>
    </w:p>
    <w:tbl>
      <w:tblPr>
        <w:tblW w:w="5000" w:type="pct"/>
        <w:tblCellMar>
          <w:left w:w="0" w:type="dxa"/>
          <w:right w:w="0" w:type="dxa"/>
        </w:tblCellMar>
        <w:tblLook w:val="04A0" w:firstRow="1" w:lastRow="0" w:firstColumn="1" w:lastColumn="0" w:noHBand="0" w:noVBand="1"/>
      </w:tblPr>
      <w:tblGrid>
        <w:gridCol w:w="3303"/>
        <w:gridCol w:w="147"/>
        <w:gridCol w:w="101"/>
        <w:gridCol w:w="1059"/>
        <w:gridCol w:w="65"/>
        <w:gridCol w:w="148"/>
        <w:gridCol w:w="101"/>
        <w:gridCol w:w="896"/>
        <w:gridCol w:w="67"/>
        <w:gridCol w:w="146"/>
        <w:gridCol w:w="101"/>
        <w:gridCol w:w="896"/>
        <w:gridCol w:w="65"/>
        <w:gridCol w:w="148"/>
        <w:gridCol w:w="100"/>
        <w:gridCol w:w="896"/>
        <w:gridCol w:w="67"/>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Customer</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Capitalized</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3A6737">
            <w:pPr>
              <w:jc w:val="center"/>
              <w:rPr>
                <w:rFonts w:eastAsia="Times New Roman"/>
                <w:b/>
                <w:bCs/>
                <w:sz w:val="20"/>
                <w:szCs w:val="20"/>
              </w:rPr>
            </w:pPr>
            <w:r>
              <w:rPr>
                <w:rFonts w:eastAsia="Times New Roman"/>
                <w:b/>
                <w:bCs/>
                <w:sz w:val="20"/>
                <w:szCs w:val="20"/>
              </w:rPr>
              <w:t>Other Intangible</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Relationships</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Software</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Assets</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14"/>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u w:val="single"/>
              </w:rPr>
              <w:t>COST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14"/>
            <w:shd w:val="clear" w:color="auto" w:fill="CCEEFF"/>
            <w:vAlign w:val="bottom"/>
            <w:hideMark/>
          </w:tcPr>
          <w:p w:rsidR="00000000" w:rsidRDefault="003A6737">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2000" w:type="pct"/>
            <w:shd w:val="clear" w:color="auto" w:fill="FFFFFF"/>
            <w:vAlign w:val="bottom"/>
            <w:hideMark/>
          </w:tcPr>
          <w:p w:rsidR="00000000" w:rsidRDefault="003A6737">
            <w:pPr>
              <w:rPr>
                <w:rFonts w:eastAsia="Times New Roman"/>
                <w:sz w:val="20"/>
                <w:szCs w:val="20"/>
              </w:rPr>
            </w:pPr>
            <w:r>
              <w:rPr>
                <w:rFonts w:eastAsia="Times New Roman"/>
                <w:sz w:val="20"/>
                <w:szCs w:val="20"/>
              </w:rPr>
              <w:t>Balance, January 1, 2022</w:t>
            </w:r>
          </w:p>
        </w:tc>
        <w:tc>
          <w:tcPr>
            <w:tcW w:w="10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3A6737">
            <w:pPr>
              <w:jc w:val="right"/>
              <w:rPr>
                <w:rFonts w:eastAsia="Times New Roman"/>
                <w:sz w:val="20"/>
                <w:szCs w:val="20"/>
              </w:rPr>
            </w:pPr>
            <w:r>
              <w:rPr>
                <w:rFonts w:eastAsia="Times New Roman"/>
                <w:sz w:val="20"/>
                <w:szCs w:val="20"/>
              </w:rPr>
              <w:t>47,597</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3A6737">
            <w:pPr>
              <w:jc w:val="right"/>
              <w:rPr>
                <w:rFonts w:eastAsia="Times New Roman"/>
                <w:sz w:val="20"/>
                <w:szCs w:val="20"/>
              </w:rPr>
            </w:pPr>
            <w:r>
              <w:rPr>
                <w:rFonts w:eastAsia="Times New Roman"/>
                <w:sz w:val="20"/>
                <w:szCs w:val="20"/>
              </w:rPr>
              <w:t>13,196</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3A6737">
            <w:pPr>
              <w:jc w:val="right"/>
              <w:rPr>
                <w:rFonts w:eastAsia="Times New Roman"/>
                <w:sz w:val="20"/>
                <w:szCs w:val="20"/>
              </w:rPr>
            </w:pPr>
            <w:r>
              <w:rPr>
                <w:rFonts w:eastAsia="Times New Roman"/>
                <w:sz w:val="20"/>
                <w:szCs w:val="20"/>
              </w:rPr>
              <w:t>9,632</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3A6737">
            <w:pPr>
              <w:jc w:val="right"/>
              <w:rPr>
                <w:rFonts w:eastAsia="Times New Roman"/>
                <w:sz w:val="20"/>
                <w:szCs w:val="20"/>
              </w:rPr>
            </w:pPr>
            <w:r>
              <w:rPr>
                <w:rFonts w:eastAsia="Times New Roman"/>
                <w:sz w:val="20"/>
                <w:szCs w:val="20"/>
              </w:rPr>
              <w:t>70,425</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Additions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9,160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9,179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Translation loss</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(809</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(809</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rPr>
          <w:hidden/>
        </w:trPr>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Allocation from 2021 acquisition</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3,100</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490</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3,590</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Balance, December 31, 2022</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47,597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21,547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9,651</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78,795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Useful lives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w:t>
            </w:r>
            <w:r>
              <w:rPr>
                <w:rFonts w:eastAsia="Times New Roman"/>
                <w:sz w:val="20"/>
                <w:szCs w:val="20"/>
              </w:rPr>
              <w:t>-</w:t>
            </w:r>
            <w:r>
              <w:rPr>
                <w:rFonts w:eastAsia="Times New Roman"/>
                <w:sz w:val="20"/>
                <w:szCs w:val="20"/>
              </w:rPr>
              <w:t>1</w:t>
            </w:r>
            <w:r>
              <w:rPr>
                <w:rFonts w:eastAsia="Times New Roman"/>
                <w:sz w:val="20"/>
                <w:szCs w:val="20"/>
              </w:rPr>
              <w:t>2</w:t>
            </w:r>
            <w:r>
              <w:rPr>
                <w:rFonts w:eastAsia="Times New Roman"/>
                <w:sz w:val="20"/>
                <w:szCs w:val="20"/>
              </w:rPr>
              <w:t xml:space="preserve"> years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w:t>
            </w:r>
            <w:r>
              <w:rPr>
                <w:rFonts w:eastAsia="Times New Roman"/>
                <w:sz w:val="20"/>
                <w:szCs w:val="20"/>
              </w:rPr>
              <w:t xml:space="preserve"> years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w:t>
            </w:r>
            <w:r>
              <w:rPr>
                <w:rFonts w:eastAsia="Times New Roman"/>
                <w:sz w:val="20"/>
                <w:szCs w:val="20"/>
              </w:rPr>
              <w:t xml:space="preserve"> years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b/>
                <w:bCs/>
                <w:sz w:val="20"/>
                <w:szCs w:val="20"/>
                <w:u w:val="single"/>
              </w:rPr>
            </w:pPr>
            <w:r>
              <w:rPr>
                <w:rFonts w:eastAsia="Times New Roman"/>
                <w:b/>
                <w:bCs/>
                <w:sz w:val="20"/>
                <w:szCs w:val="20"/>
                <w:u w:val="single"/>
              </w:rPr>
              <w:t>ACCUMULATED AMORTIZATION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Balance, January 1, 2022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33,851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1,591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4,205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39,647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Amortization expense</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5,672</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3,341</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615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9,628</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Balance, December 31, 2022</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39,523</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4,932</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4,820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49,275</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Net book value</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8,074</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16,615</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4,831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29,520</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b/>
                <w:bCs/>
                <w:sz w:val="20"/>
                <w:szCs w:val="20"/>
                <w:u w:val="single"/>
              </w:rPr>
            </w:pPr>
            <w:r>
              <w:rPr>
                <w:rFonts w:eastAsia="Times New Roman"/>
                <w:b/>
                <w:bCs/>
                <w:sz w:val="20"/>
                <w:szCs w:val="20"/>
                <w:u w:val="single"/>
              </w:rPr>
              <w:t>COST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Balance, January 1, 2021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44,497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5,760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9,142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59,399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Additions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7,636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7,636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Translation loss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(200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(200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Allocation from 2021 acquisition</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3,100</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490</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3,590</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Balance, December 31, 2021</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47,597</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13,196</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9,632</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70,425</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Useful lives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w:t>
            </w:r>
            <w:r>
              <w:rPr>
                <w:rFonts w:eastAsia="Times New Roman"/>
                <w:sz w:val="20"/>
                <w:szCs w:val="20"/>
              </w:rPr>
              <w:t>-</w:t>
            </w:r>
            <w:r>
              <w:rPr>
                <w:rFonts w:eastAsia="Times New Roman"/>
                <w:sz w:val="20"/>
                <w:szCs w:val="20"/>
              </w:rPr>
              <w:t>1</w:t>
            </w:r>
            <w:r>
              <w:rPr>
                <w:rFonts w:eastAsia="Times New Roman"/>
                <w:sz w:val="20"/>
                <w:szCs w:val="20"/>
              </w:rPr>
              <w:t>2</w:t>
            </w:r>
            <w:r>
              <w:rPr>
                <w:rFonts w:eastAsia="Times New Roman"/>
                <w:sz w:val="20"/>
                <w:szCs w:val="20"/>
              </w:rPr>
              <w:t xml:space="preserve"> years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w:t>
            </w:r>
            <w:r>
              <w:rPr>
                <w:rFonts w:eastAsia="Times New Roman"/>
                <w:sz w:val="20"/>
                <w:szCs w:val="20"/>
              </w:rPr>
              <w:t xml:space="preserve"> years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w:t>
            </w:r>
            <w:r>
              <w:rPr>
                <w:rFonts w:eastAsia="Times New Roman"/>
                <w:sz w:val="20"/>
                <w:szCs w:val="20"/>
              </w:rPr>
              <w:t xml:space="preserve"> years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b/>
                <w:bCs/>
                <w:sz w:val="20"/>
                <w:szCs w:val="20"/>
                <w:u w:val="single"/>
              </w:rPr>
            </w:pPr>
            <w:r>
              <w:rPr>
                <w:rFonts w:eastAsia="Times New Roman"/>
                <w:b/>
                <w:bCs/>
                <w:sz w:val="20"/>
                <w:szCs w:val="20"/>
                <w:u w:val="single"/>
              </w:rPr>
              <w:t>ACCUMULATED AMORTIZATION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Balance, January 1, 2021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26,008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245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3,168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29,421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Amortization expense</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7,843</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1,346</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1,037</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10,226</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Balance, December 31, 2021</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33,851</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1,591</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4,205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39,647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b/>
                <w:bCs/>
                <w:sz w:val="20"/>
                <w:szCs w:val="20"/>
              </w:rPr>
            </w:pPr>
            <w:r>
              <w:rPr>
                <w:rFonts w:eastAsia="Times New Roman"/>
                <w:b/>
                <w:bCs/>
                <w:sz w:val="20"/>
                <w:szCs w:val="20"/>
              </w:rPr>
              <w:t>Net book value</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13,746</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11,605</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5,427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30,778</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amount for capitalized software represents payroll and development costs incurred for internally developed software. Other intangible assets primarily represent non-compete agreements, purchased and acquired software and trademarks. Amortization expense wa</w:t>
      </w:r>
      <w:r>
        <w:rPr>
          <w:sz w:val="20"/>
          <w:szCs w:val="20"/>
        </w:rPr>
        <w:t xml:space="preserve">s approximately </w:t>
      </w:r>
      <w:r>
        <w:rPr>
          <w:sz w:val="20"/>
          <w:szCs w:val="20"/>
        </w:rPr>
        <w:t>$</w:t>
      </w:r>
      <w:r>
        <w:rPr>
          <w:sz w:val="20"/>
          <w:szCs w:val="20"/>
        </w:rPr>
        <w:t>9.</w:t>
      </w:r>
      <w:r>
        <w:rPr>
          <w:sz w:val="20"/>
          <w:szCs w:val="20"/>
        </w:rPr>
        <w:t>8</w:t>
      </w:r>
      <w:r>
        <w:rPr>
          <w:sz w:val="20"/>
          <w:szCs w:val="20"/>
        </w:rPr>
        <w:t xml:space="preserve"> million and </w:t>
      </w:r>
      <w:r>
        <w:rPr>
          <w:sz w:val="20"/>
          <w:szCs w:val="20"/>
        </w:rPr>
        <w:t>$</w:t>
      </w:r>
      <w:r>
        <w:rPr>
          <w:sz w:val="20"/>
          <w:szCs w:val="20"/>
        </w:rPr>
        <w:t>10.</w:t>
      </w:r>
      <w:r>
        <w:rPr>
          <w:sz w:val="20"/>
          <w:szCs w:val="20"/>
        </w:rPr>
        <w:t>3</w:t>
      </w:r>
      <w:r>
        <w:rPr>
          <w:sz w:val="20"/>
          <w:szCs w:val="20"/>
        </w:rPr>
        <w:t xml:space="preserve"> million for the years ended December 31, 2022 and 2021, respectively. The weighted-average amortization period is</w:t>
      </w:r>
      <w:r>
        <w:rPr>
          <w:sz w:val="20"/>
          <w:szCs w:val="20"/>
        </w:rPr>
        <w:t xml:space="preserve"> </w:t>
      </w:r>
      <w:r>
        <w:rPr>
          <w:sz w:val="20"/>
          <w:szCs w:val="20"/>
        </w:rPr>
        <w:t>three year</w:t>
      </w:r>
      <w:r>
        <w:rPr>
          <w:sz w:val="20"/>
          <w:szCs w:val="20"/>
        </w:rPr>
        <w:t>s</w:t>
      </w:r>
      <w:r>
        <w:rPr>
          <w:sz w:val="20"/>
          <w:szCs w:val="20"/>
        </w:rPr>
        <w: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As of December 31, 2022, future amortization expense scheduled to be expensed is as foll</w:t>
      </w:r>
      <w:r>
        <w:rPr>
          <w:sz w:val="20"/>
          <w:szCs w:val="20"/>
        </w:rPr>
        <w:t>ows:</w:t>
      </w:r>
    </w:p>
    <w:p w:rsidR="00000000" w:rsidRDefault="003A6737">
      <w:pPr>
        <w:pStyle w:val="a3"/>
        <w:spacing w:before="0" w:beforeAutospacing="0" w:after="0" w:afterAutospacing="0"/>
        <w:jc w:val="both"/>
        <w:rPr>
          <w:sz w:val="20"/>
          <w:szCs w:val="20"/>
        </w:rPr>
      </w:pPr>
      <w:r>
        <w:rPr>
          <w:sz w:val="20"/>
          <w:szCs w:val="20"/>
        </w:rPr>
        <w:t> </w:t>
      </w:r>
      <w:r>
        <w:rPr>
          <w:vanish/>
          <w:sz w:val="20"/>
          <w:szCs w:val="20"/>
        </w:rPr>
        <w:t>SCHEDULE OF FINITE-LIVED INTANGIBLE ASSETS, FUTURE AMORTIZATION EXPENS</w:t>
      </w:r>
      <w:r>
        <w:rPr>
          <w:vanish/>
          <w:sz w:val="20"/>
          <w:szCs w:val="20"/>
        </w:rPr>
        <w:t>E</w:t>
      </w:r>
    </w:p>
    <w:tbl>
      <w:tblPr>
        <w:tblW w:w="3500" w:type="pct"/>
        <w:tblCellMar>
          <w:left w:w="0" w:type="dxa"/>
          <w:right w:w="0" w:type="dxa"/>
        </w:tblCellMar>
        <w:tblLook w:val="04A0" w:firstRow="1" w:lastRow="0" w:firstColumn="1" w:lastColumn="0" w:noHBand="0" w:noVBand="1"/>
      </w:tblPr>
      <w:tblGrid>
        <w:gridCol w:w="1735"/>
        <w:gridCol w:w="2665"/>
        <w:gridCol w:w="108"/>
        <w:gridCol w:w="101"/>
        <w:gridCol w:w="1155"/>
        <w:gridCol w:w="50"/>
      </w:tblGrid>
      <w:tr w:rsidR="00000000">
        <w:trPr>
          <w:hidden/>
        </w:trPr>
        <w:tc>
          <w:tcPr>
            <w:tcW w:w="0" w:type="auto"/>
            <w:tcBorders>
              <w:bottom w:val="single" w:sz="12" w:space="0" w:color="000000"/>
            </w:tcBorders>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vanish/>
                <w:sz w:val="20"/>
                <w:szCs w:val="20"/>
              </w:rPr>
            </w:pPr>
            <w:r>
              <w:rPr>
                <w:rFonts w:eastAsia="Times New Roman"/>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r>
      <w:tr w:rsidR="00000000">
        <w:tc>
          <w:tcPr>
            <w:tcW w:w="0" w:type="auto"/>
            <w:tcBorders>
              <w:bottom w:val="single" w:sz="12" w:space="0" w:color="000000"/>
            </w:tcBorders>
            <w:vAlign w:val="bottom"/>
            <w:hideMark/>
          </w:tcPr>
          <w:p w:rsidR="00000000" w:rsidRDefault="003A6737">
            <w:pPr>
              <w:rPr>
                <w:rFonts w:eastAsia="Times New Roman"/>
                <w:b/>
                <w:bCs/>
                <w:sz w:val="20"/>
                <w:szCs w:val="20"/>
              </w:rPr>
            </w:pPr>
            <w:r>
              <w:rPr>
                <w:rFonts w:eastAsia="Times New Roman"/>
                <w:b/>
                <w:bCs/>
                <w:sz w:val="20"/>
                <w:szCs w:val="20"/>
              </w:rPr>
              <w:t>Years ending December 31,</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1500" w:type="pct"/>
            <w:shd w:val="clear" w:color="auto" w:fill="CCEEFF"/>
            <w:vAlign w:val="bottom"/>
            <w:hideMark/>
          </w:tcPr>
          <w:p w:rsidR="00000000" w:rsidRDefault="003A6737">
            <w:pPr>
              <w:rPr>
                <w:rFonts w:eastAsia="Times New Roman"/>
                <w:sz w:val="20"/>
                <w:szCs w:val="20"/>
              </w:rPr>
            </w:pPr>
            <w:r>
              <w:rPr>
                <w:rFonts w:eastAsia="Times New Roman"/>
                <w:sz w:val="20"/>
                <w:szCs w:val="20"/>
              </w:rPr>
              <w:t>2023</w:t>
            </w:r>
          </w:p>
        </w:tc>
        <w:tc>
          <w:tcPr>
            <w:tcW w:w="23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13,632</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2024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8,873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2025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5,665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2026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300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2027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Thereafter</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750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29,520</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87767049"/>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b/>
          <w:bCs/>
          <w:sz w:val="20"/>
          <w:szCs w:val="20"/>
        </w:rPr>
        <w:t> </w:t>
      </w:r>
    </w:p>
    <w:p w:rsidR="00000000" w:rsidRDefault="003A6737">
      <w:pPr>
        <w:pStyle w:val="a3"/>
        <w:spacing w:before="0" w:beforeAutospacing="0" w:after="0" w:afterAutospacing="0"/>
        <w:rPr>
          <w:caps/>
          <w:sz w:val="20"/>
          <w:szCs w:val="20"/>
        </w:rPr>
      </w:pPr>
      <w:r>
        <w:rPr>
          <w:b/>
          <w:bCs/>
          <w:caps/>
          <w:sz w:val="20"/>
          <w:szCs w:val="20"/>
        </w:rPr>
        <w:t>5.</w:t>
      </w:r>
      <w:r>
        <w:rPr>
          <w:caps/>
          <w:sz w:val="20"/>
          <w:szCs w:val="20"/>
        </w:rPr>
        <w:t xml:space="preserve"> </w:t>
      </w:r>
      <w:r>
        <w:rPr>
          <w:b/>
          <w:bCs/>
          <w:caps/>
          <w:sz w:val="20"/>
          <w:szCs w:val="20"/>
        </w:rPr>
        <w:t>PROPERTY AND EQUIPMEN</w:t>
      </w:r>
      <w:r>
        <w:rPr>
          <w:b/>
          <w:bCs/>
          <w:caps/>
          <w:sz w:val="20"/>
          <w:szCs w:val="20"/>
        </w:rPr>
        <w:t>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Property and equipment consisted of the following:</w:t>
      </w:r>
    </w:p>
    <w:p w:rsidR="00000000" w:rsidRDefault="003A6737">
      <w:pPr>
        <w:pStyle w:val="a3"/>
        <w:spacing w:before="0" w:beforeAutospacing="0" w:after="0" w:afterAutospacing="0"/>
        <w:jc w:val="both"/>
        <w:rPr>
          <w:sz w:val="20"/>
          <w:szCs w:val="20"/>
        </w:rPr>
      </w:pPr>
      <w:r>
        <w:rPr>
          <w:sz w:val="20"/>
          <w:szCs w:val="20"/>
        </w:rPr>
        <w:t> </w:t>
      </w:r>
      <w:r>
        <w:rPr>
          <w:vanish/>
          <w:sz w:val="20"/>
          <w:szCs w:val="20"/>
        </w:rPr>
        <w:t>SCHEDULE OF PROPERTY AND EQUIPMEN</w:t>
      </w:r>
      <w:r>
        <w:rPr>
          <w:vanish/>
          <w:sz w:val="20"/>
          <w:szCs w:val="20"/>
        </w:rPr>
        <w:t>T</w:t>
      </w:r>
    </w:p>
    <w:tbl>
      <w:tblPr>
        <w:tblW w:w="4250" w:type="pct"/>
        <w:tblCellMar>
          <w:left w:w="0" w:type="dxa"/>
          <w:right w:w="0" w:type="dxa"/>
        </w:tblCellMar>
        <w:tblLook w:val="04A0" w:firstRow="1" w:lastRow="0" w:firstColumn="1" w:lastColumn="0" w:noHBand="0" w:noVBand="1"/>
      </w:tblPr>
      <w:tblGrid>
        <w:gridCol w:w="3661"/>
        <w:gridCol w:w="131"/>
        <w:gridCol w:w="100"/>
        <w:gridCol w:w="1402"/>
        <w:gridCol w:w="67"/>
        <w:gridCol w:w="128"/>
        <w:gridCol w:w="100"/>
        <w:gridCol w:w="1404"/>
        <w:gridCol w:w="67"/>
      </w:tblGrid>
      <w:tr w:rsidR="00000000">
        <w:trPr>
          <w:hidden/>
        </w:trPr>
        <w:tc>
          <w:tcPr>
            <w:tcW w:w="0" w:type="auto"/>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3A6737">
            <w:pPr>
              <w:rPr>
                <w:rFonts w:eastAsia="Times New Roman"/>
                <w:sz w:val="20"/>
                <w:szCs w:val="20"/>
              </w:rPr>
            </w:pPr>
            <w:r>
              <w:rPr>
                <w:rFonts w:eastAsia="Times New Roman"/>
                <w:sz w:val="20"/>
                <w:szCs w:val="20"/>
              </w:rPr>
              <w:t>Computer equipment</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5,831</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5,558</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Office furniture and equipment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1,990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1,868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Transportation equipment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1,099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1,087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Leasehold improvements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3,460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1,623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Assets not placed in service</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72</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1,682</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Total property and equipment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12,452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11,818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Less accumulated depreciation</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(7,396</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(6,414</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Property and equipment – net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5,056</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5,404</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Depreciation </w:t>
      </w:r>
      <w:r>
        <w:rPr>
          <w:sz w:val="20"/>
          <w:szCs w:val="20"/>
        </w:rPr>
        <w:t xml:space="preserve">expense was approximately </w:t>
      </w:r>
      <w:r>
        <w:rPr>
          <w:sz w:val="20"/>
          <w:szCs w:val="20"/>
        </w:rPr>
        <w:t>$</w:t>
      </w:r>
      <w:r>
        <w:rPr>
          <w:sz w:val="20"/>
          <w:szCs w:val="20"/>
        </w:rPr>
        <w:t>2.</w:t>
      </w:r>
      <w:r>
        <w:rPr>
          <w:sz w:val="20"/>
          <w:szCs w:val="20"/>
        </w:rPr>
        <w:t>0</w:t>
      </w:r>
      <w:r>
        <w:rPr>
          <w:sz w:val="20"/>
          <w:szCs w:val="20"/>
        </w:rPr>
        <w:t xml:space="preserve"> million and </w:t>
      </w:r>
      <w:r>
        <w:rPr>
          <w:sz w:val="20"/>
          <w:szCs w:val="20"/>
        </w:rPr>
        <w:t>$</w:t>
      </w:r>
      <w:r>
        <w:rPr>
          <w:sz w:val="20"/>
          <w:szCs w:val="20"/>
        </w:rPr>
        <w:t>1.</w:t>
      </w:r>
      <w:r>
        <w:rPr>
          <w:sz w:val="20"/>
          <w:szCs w:val="20"/>
        </w:rPr>
        <w:t>9</w:t>
      </w:r>
      <w:r>
        <w:rPr>
          <w:sz w:val="20"/>
          <w:szCs w:val="20"/>
        </w:rPr>
        <w:t xml:space="preserve"> million for the years ended December 31, 2022 and 2021, respectively.</w:t>
      </w:r>
    </w:p>
    <w:p w:rsidR="00000000" w:rsidRDefault="003A6737">
      <w:pPr>
        <w:pStyle w:val="a3"/>
        <w:spacing w:before="0" w:beforeAutospacing="0" w:after="0" w:afterAutospacing="0"/>
        <w:ind w:left="475" w:hanging="475"/>
        <w:rPr>
          <w:b/>
          <w:bCs/>
          <w:caps/>
          <w:sz w:val="20"/>
          <w:szCs w:val="20"/>
        </w:rPr>
      </w:pPr>
      <w:r>
        <w:rPr>
          <w:b/>
          <w:bCs/>
          <w:caps/>
          <w:sz w:val="20"/>
          <w:szCs w:val="20"/>
        </w:rPr>
        <w:t> </w:t>
      </w:r>
    </w:p>
    <w:p w:rsidR="00000000" w:rsidRDefault="003A6737">
      <w:pPr>
        <w:pStyle w:val="a3"/>
        <w:spacing w:before="0" w:beforeAutospacing="0" w:after="0" w:afterAutospacing="0"/>
        <w:rPr>
          <w:caps/>
          <w:sz w:val="20"/>
          <w:szCs w:val="20"/>
        </w:rPr>
      </w:pPr>
      <w:r>
        <w:rPr>
          <w:b/>
          <w:bCs/>
          <w:caps/>
          <w:sz w:val="20"/>
          <w:szCs w:val="20"/>
        </w:rPr>
        <w:t>6.</w:t>
      </w:r>
      <w:r>
        <w:rPr>
          <w:caps/>
          <w:sz w:val="20"/>
          <w:szCs w:val="20"/>
        </w:rPr>
        <w:t xml:space="preserve"> </w:t>
      </w:r>
      <w:r>
        <w:rPr>
          <w:b/>
          <w:bCs/>
          <w:caps/>
          <w:sz w:val="20"/>
          <w:szCs w:val="20"/>
        </w:rPr>
        <w:t>CONCENTRATION</w:t>
      </w:r>
      <w:r>
        <w:rPr>
          <w:b/>
          <w:bCs/>
          <w:caps/>
          <w:sz w:val="20"/>
          <w:szCs w:val="20"/>
        </w:rPr>
        <w:t>S</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Financial Risks</w:t>
      </w:r>
      <w:r>
        <w:rPr>
          <w:sz w:val="20"/>
          <w:szCs w:val="20"/>
        </w:rPr>
        <w:t xml:space="preserve"> — As of December 31, 2022 and 2021, the Company held cash of approximately </w:t>
      </w:r>
      <w:r>
        <w:rPr>
          <w:sz w:val="20"/>
          <w:szCs w:val="20"/>
        </w:rPr>
        <w:t>$</w:t>
      </w:r>
      <w:r>
        <w:rPr>
          <w:sz w:val="20"/>
          <w:szCs w:val="20"/>
        </w:rPr>
        <w:t>1.</w:t>
      </w:r>
      <w:r>
        <w:rPr>
          <w:sz w:val="20"/>
          <w:szCs w:val="20"/>
        </w:rPr>
        <w:t>8</w:t>
      </w:r>
      <w:r>
        <w:rPr>
          <w:sz w:val="20"/>
          <w:szCs w:val="20"/>
        </w:rPr>
        <w:t xml:space="preserve"> million and </w:t>
      </w:r>
      <w:r>
        <w:rPr>
          <w:sz w:val="20"/>
          <w:szCs w:val="20"/>
        </w:rPr>
        <w:t>$</w:t>
      </w:r>
      <w:r>
        <w:rPr>
          <w:sz w:val="20"/>
          <w:szCs w:val="20"/>
        </w:rPr>
        <w:t>1.</w:t>
      </w:r>
      <w:r>
        <w:rPr>
          <w:sz w:val="20"/>
          <w:szCs w:val="20"/>
        </w:rPr>
        <w:t>7</w:t>
      </w:r>
      <w:r>
        <w:rPr>
          <w:sz w:val="20"/>
          <w:szCs w:val="20"/>
        </w:rPr>
        <w:t xml:space="preserve"> mil</w:t>
      </w:r>
      <w:r>
        <w:rPr>
          <w:sz w:val="20"/>
          <w:szCs w:val="20"/>
        </w:rPr>
        <w:t>lion, respectively, in the name of its subsidiaries, at banks in Pakistan and Sri Lanka. The banking systems in these countries do not provide deposit insurance coverage. Additionally, from time to time, the Company maintains cash balances at financial ins</w:t>
      </w:r>
      <w:r>
        <w:rPr>
          <w:sz w:val="20"/>
          <w:szCs w:val="20"/>
        </w:rPr>
        <w:t>titutions in the United States in excess of federal insurance limits. The Company has not experienced any losses on such accounts.</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Concentrations of credit risk with respect to trade accounts receivable are managed by periodic credit evaluations of custo</w:t>
      </w:r>
      <w:r>
        <w:rPr>
          <w:sz w:val="20"/>
          <w:szCs w:val="20"/>
        </w:rPr>
        <w:t>mers. The Company does not require collateral for outstanding trade accounts receivable. As of December 31, 2022, two customers each individually accounted for approximately</w:t>
      </w:r>
      <w:r>
        <w:rPr>
          <w:sz w:val="20"/>
          <w:szCs w:val="20"/>
        </w:rPr>
        <w:t xml:space="preserve"> </w:t>
      </w:r>
      <w:r>
        <w:rPr>
          <w:sz w:val="20"/>
          <w:szCs w:val="20"/>
        </w:rPr>
        <w:t>6</w:t>
      </w:r>
      <w:r>
        <w:rPr>
          <w:sz w:val="20"/>
          <w:szCs w:val="20"/>
        </w:rPr>
        <w:t>%</w:t>
      </w:r>
      <w:r>
        <w:rPr>
          <w:sz w:val="20"/>
          <w:szCs w:val="20"/>
        </w:rPr>
        <w:t xml:space="preserve"> of accounts receivable. As of December 31, 2021, two customers each individuall</w:t>
      </w:r>
      <w:r>
        <w:rPr>
          <w:sz w:val="20"/>
          <w:szCs w:val="20"/>
        </w:rPr>
        <w:t>y accounted for approximately</w:t>
      </w:r>
      <w:r>
        <w:rPr>
          <w:sz w:val="20"/>
          <w:szCs w:val="20"/>
        </w:rPr>
        <w:t xml:space="preserve"> </w:t>
      </w:r>
      <w:r>
        <w:rPr>
          <w:sz w:val="20"/>
          <w:szCs w:val="20"/>
        </w:rPr>
        <w:t>5</w:t>
      </w:r>
      <w:r>
        <w:rPr>
          <w:sz w:val="20"/>
          <w:szCs w:val="20"/>
        </w:rPr>
        <w:t>%</w:t>
      </w:r>
      <w:r>
        <w:rPr>
          <w:sz w:val="20"/>
          <w:szCs w:val="20"/>
        </w:rPr>
        <w:t xml:space="preserve"> of accounts receivable, respectively. During the years ended December 31, 2022 and 2021, there was one customer with sales of approximately</w:t>
      </w:r>
      <w:r>
        <w:rPr>
          <w:sz w:val="20"/>
          <w:szCs w:val="20"/>
        </w:rPr>
        <w:t xml:space="preserve"> </w:t>
      </w:r>
      <w:r>
        <w:rPr>
          <w:sz w:val="20"/>
          <w:szCs w:val="20"/>
        </w:rPr>
        <w:t>7</w:t>
      </w:r>
      <w:r>
        <w:rPr>
          <w:sz w:val="20"/>
          <w:szCs w:val="20"/>
        </w:rPr>
        <w:t>%</w:t>
      </w:r>
      <w:r>
        <w:rPr>
          <w:sz w:val="20"/>
          <w:szCs w:val="20"/>
        </w:rPr>
        <w:t xml:space="preserve"> and</w:t>
      </w:r>
      <w:r>
        <w:rPr>
          <w:sz w:val="20"/>
          <w:szCs w:val="20"/>
        </w:rPr>
        <w:t xml:space="preserve"> </w:t>
      </w:r>
      <w:r>
        <w:rPr>
          <w:sz w:val="20"/>
          <w:szCs w:val="20"/>
        </w:rPr>
        <w:t>9</w:t>
      </w:r>
      <w:r>
        <w:rPr>
          <w:sz w:val="20"/>
          <w:szCs w:val="20"/>
        </w:rPr>
        <w:t>%</w:t>
      </w:r>
      <w:r>
        <w:rPr>
          <w:sz w:val="20"/>
          <w:szCs w:val="20"/>
        </w:rPr>
        <w:t xml:space="preserve"> of total revenue, respectively.</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b/>
          <w:bCs/>
          <w:sz w:val="20"/>
          <w:szCs w:val="20"/>
        </w:rPr>
        <w:t>Geographical Risks</w:t>
      </w:r>
      <w:r>
        <w:rPr>
          <w:sz w:val="20"/>
          <w:szCs w:val="20"/>
        </w:rPr>
        <w:t xml:space="preserve"> — The Company’s offi</w:t>
      </w:r>
      <w:r>
        <w:rPr>
          <w:sz w:val="20"/>
          <w:szCs w:val="20"/>
        </w:rPr>
        <w:t xml:space="preserve">ces in Islamabad and Bagh, Pakistan, and Colombo, Sri Lanka conduct significant back-office operations for the Company. The Company has no revenue earned outside of the United States. The office in Bagh is located in a different territory of Pakistan from </w:t>
      </w:r>
      <w:r>
        <w:rPr>
          <w:sz w:val="20"/>
          <w:szCs w:val="20"/>
        </w:rPr>
        <w:t>the Islamabad office known as Azad Jammu and Kashmir. The Bagh office was opened in 2009 for the purpose of providing operational support and operating as a backup to the Islamabad office. The Company’s operations outside the United States are subject to s</w:t>
      </w:r>
      <w:r>
        <w:rPr>
          <w:sz w:val="20"/>
          <w:szCs w:val="20"/>
        </w:rPr>
        <w:t>pecial considerations and significant risks not typically associated with companies in the United States. The Company’s business, financial condition and results of operations may be influenced by the political, economic, and legal environment in the count</w:t>
      </w:r>
      <w:r>
        <w:rPr>
          <w:sz w:val="20"/>
          <w:szCs w:val="20"/>
        </w:rPr>
        <w:t>ries in which it operates and by the general state of these countries’ economies. The Company’s results may be adversely affected by, among other things, changes in governmental policies with respect to laws and regulations, changes in local countries’ tel</w:t>
      </w:r>
      <w:r>
        <w:rPr>
          <w:sz w:val="20"/>
          <w:szCs w:val="20"/>
        </w:rPr>
        <w:t>ecommunications industries, regulatory rules and policies, anti-inflationary measures, currency conversion and remittance, and rates and methods of taxation.</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05168496"/>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Carrying amounts of net assets located outside the United States were approximately </w:t>
      </w:r>
      <w:r>
        <w:rPr>
          <w:sz w:val="20"/>
          <w:szCs w:val="20"/>
        </w:rPr>
        <w:t>$</w:t>
      </w:r>
      <w:r>
        <w:rPr>
          <w:sz w:val="20"/>
          <w:szCs w:val="20"/>
        </w:rPr>
        <w:t>8.</w:t>
      </w:r>
      <w:r>
        <w:rPr>
          <w:sz w:val="20"/>
          <w:szCs w:val="20"/>
        </w:rPr>
        <w:t>5</w:t>
      </w:r>
      <w:r>
        <w:rPr>
          <w:sz w:val="20"/>
          <w:szCs w:val="20"/>
        </w:rPr>
        <w:t xml:space="preserve"> million and </w:t>
      </w:r>
      <w:r>
        <w:rPr>
          <w:sz w:val="20"/>
          <w:szCs w:val="20"/>
        </w:rPr>
        <w:t>$</w:t>
      </w:r>
      <w:r>
        <w:rPr>
          <w:sz w:val="20"/>
          <w:szCs w:val="20"/>
        </w:rPr>
        <w:t>7.</w:t>
      </w:r>
      <w:r>
        <w:rPr>
          <w:sz w:val="20"/>
          <w:szCs w:val="20"/>
        </w:rPr>
        <w:t>2</w:t>
      </w:r>
      <w:r>
        <w:rPr>
          <w:sz w:val="20"/>
          <w:szCs w:val="20"/>
        </w:rPr>
        <w:t xml:space="preserve"> million as of December 31, 2022 and 2021, respectively. These balances exclude net intercompany receivables of approximately </w:t>
      </w:r>
      <w:r>
        <w:rPr>
          <w:sz w:val="20"/>
          <w:szCs w:val="20"/>
        </w:rPr>
        <w:t>$</w:t>
      </w:r>
      <w:r>
        <w:rPr>
          <w:sz w:val="20"/>
          <w:szCs w:val="20"/>
        </w:rPr>
        <w:t>1.</w:t>
      </w:r>
      <w:r>
        <w:rPr>
          <w:sz w:val="20"/>
          <w:szCs w:val="20"/>
        </w:rPr>
        <w:t>0</w:t>
      </w:r>
      <w:r>
        <w:rPr>
          <w:sz w:val="20"/>
          <w:szCs w:val="20"/>
        </w:rPr>
        <w:t xml:space="preserve"> million and </w:t>
      </w:r>
      <w:r>
        <w:rPr>
          <w:sz w:val="20"/>
          <w:szCs w:val="20"/>
        </w:rPr>
        <w:t>$</w:t>
      </w:r>
      <w:r>
        <w:rPr>
          <w:sz w:val="20"/>
          <w:szCs w:val="20"/>
        </w:rPr>
        <w:t>4.</w:t>
      </w:r>
      <w:r>
        <w:rPr>
          <w:sz w:val="20"/>
          <w:szCs w:val="20"/>
        </w:rPr>
        <w:t>1</w:t>
      </w:r>
      <w:r>
        <w:rPr>
          <w:sz w:val="20"/>
          <w:szCs w:val="20"/>
        </w:rPr>
        <w:t xml:space="preserve"> million as of December 31, 2022 and 2021, respectively. The following is a summary of t</w:t>
      </w:r>
      <w:r>
        <w:rPr>
          <w:sz w:val="20"/>
          <w:szCs w:val="20"/>
        </w:rPr>
        <w:t>he net assets located outside the United States as of December 31, 2022 and 2021:</w:t>
      </w:r>
    </w:p>
    <w:p w:rsidR="00000000" w:rsidRDefault="003A6737">
      <w:pPr>
        <w:pStyle w:val="a3"/>
        <w:spacing w:before="0" w:beforeAutospacing="0" w:after="0" w:afterAutospacing="0"/>
        <w:jc w:val="both"/>
        <w:rPr>
          <w:sz w:val="20"/>
          <w:szCs w:val="20"/>
        </w:rPr>
      </w:pPr>
      <w:r>
        <w:rPr>
          <w:sz w:val="20"/>
          <w:szCs w:val="20"/>
        </w:rPr>
        <w:t> </w:t>
      </w:r>
      <w:r>
        <w:rPr>
          <w:vanish/>
          <w:sz w:val="20"/>
          <w:szCs w:val="20"/>
        </w:rPr>
        <w:t>SCHEDULE OF CONCENTRATION OF RISK, BY GEOGRAPHICAL RISKS FACTO</w:t>
      </w:r>
      <w:r>
        <w:rPr>
          <w:vanish/>
          <w:sz w:val="20"/>
          <w:szCs w:val="20"/>
        </w:rPr>
        <w:t>R</w:t>
      </w:r>
    </w:p>
    <w:tbl>
      <w:tblPr>
        <w:tblW w:w="4250" w:type="pct"/>
        <w:tblCellMar>
          <w:left w:w="0" w:type="dxa"/>
          <w:right w:w="0" w:type="dxa"/>
        </w:tblCellMar>
        <w:tblLook w:val="04A0" w:firstRow="1" w:lastRow="0" w:firstColumn="1" w:lastColumn="0" w:noHBand="0" w:noVBand="1"/>
      </w:tblPr>
      <w:tblGrid>
        <w:gridCol w:w="3661"/>
        <w:gridCol w:w="131"/>
        <w:gridCol w:w="100"/>
        <w:gridCol w:w="1402"/>
        <w:gridCol w:w="67"/>
        <w:gridCol w:w="128"/>
        <w:gridCol w:w="100"/>
        <w:gridCol w:w="1404"/>
        <w:gridCol w:w="67"/>
      </w:tblGrid>
      <w:tr w:rsidR="00000000">
        <w:trPr>
          <w:hidden/>
        </w:trPr>
        <w:tc>
          <w:tcPr>
            <w:tcW w:w="0" w:type="auto"/>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3A6737">
            <w:pPr>
              <w:rPr>
                <w:rFonts w:eastAsia="Times New Roman"/>
                <w:sz w:val="20"/>
                <w:szCs w:val="20"/>
              </w:rPr>
            </w:pPr>
            <w:r>
              <w:rPr>
                <w:rFonts w:eastAsia="Times New Roman"/>
                <w:sz w:val="20"/>
                <w:szCs w:val="20"/>
              </w:rPr>
              <w:t>Current assets</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2,306</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2,189</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Non-current assets</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7,890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6,736</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3A6737">
            <w:pPr>
              <w:rPr>
                <w:rFonts w:eastAsia="Times New Roman"/>
                <w:sz w:val="20"/>
                <w:szCs w:val="20"/>
              </w:rPr>
            </w:pPr>
            <w:r>
              <w:rPr>
                <w:rFonts w:eastAsia="Times New Roman"/>
                <w:vanish/>
                <w:sz w:val="20"/>
                <w:szCs w:val="20"/>
              </w:rPr>
              <w:t>Assets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10,196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8,925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(1,500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(1,575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Non-current liabilities</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(224</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(153</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assets</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8,472</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7,197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caps/>
          <w:sz w:val="20"/>
          <w:szCs w:val="20"/>
        </w:rPr>
      </w:pPr>
      <w:r>
        <w:rPr>
          <w:b/>
          <w:bCs/>
          <w:caps/>
          <w:sz w:val="20"/>
          <w:szCs w:val="20"/>
        </w:rPr>
        <w:t>7.</w:t>
      </w:r>
      <w:r>
        <w:rPr>
          <w:caps/>
          <w:sz w:val="20"/>
          <w:szCs w:val="20"/>
        </w:rPr>
        <w:t xml:space="preserve"> </w:t>
      </w:r>
      <w:r>
        <w:rPr>
          <w:b/>
          <w:bCs/>
          <w:caps/>
          <w:sz w:val="20"/>
          <w:szCs w:val="20"/>
        </w:rPr>
        <w:t>NET LOSS PER COMMON SHAR</w:t>
      </w:r>
      <w:r>
        <w:rPr>
          <w:b/>
          <w:bCs/>
          <w:caps/>
          <w:sz w:val="20"/>
          <w:szCs w:val="20"/>
        </w:rPr>
        <w:t>E</w:t>
      </w:r>
    </w:p>
    <w:p w:rsidR="00000000" w:rsidRDefault="003A6737">
      <w:pPr>
        <w:pStyle w:val="a3"/>
        <w:spacing w:before="0" w:beforeAutospacing="0" w:after="0" w:afterAutospacing="0"/>
        <w:ind w:left="45"/>
        <w:jc w:val="both"/>
        <w:rPr>
          <w:sz w:val="20"/>
          <w:szCs w:val="20"/>
        </w:rPr>
      </w:pPr>
      <w:r>
        <w:rPr>
          <w:sz w:val="20"/>
          <w:szCs w:val="20"/>
        </w:rPr>
        <w:t> </w:t>
      </w:r>
    </w:p>
    <w:p w:rsidR="00000000" w:rsidRDefault="003A6737">
      <w:pPr>
        <w:pStyle w:val="a3"/>
        <w:spacing w:before="0" w:beforeAutospacing="0" w:after="0" w:afterAutospacing="0"/>
        <w:ind w:left="45"/>
        <w:jc w:val="both"/>
        <w:rPr>
          <w:sz w:val="20"/>
          <w:szCs w:val="20"/>
        </w:rPr>
      </w:pPr>
      <w:r>
        <w:rPr>
          <w:sz w:val="20"/>
          <w:szCs w:val="20"/>
        </w:rPr>
        <w:t>The following table reconciles the weighted-average shares outstanding for basic and diluted net loss per common share for the years ended December 31, 2022 and 2021:</w:t>
      </w:r>
    </w:p>
    <w:p w:rsidR="00000000" w:rsidRDefault="003A6737">
      <w:pPr>
        <w:pStyle w:val="a3"/>
        <w:spacing w:before="0" w:beforeAutospacing="0" w:after="0" w:afterAutospacing="0"/>
        <w:rPr>
          <w:sz w:val="20"/>
          <w:szCs w:val="20"/>
        </w:rPr>
      </w:pPr>
      <w:r>
        <w:rPr>
          <w:sz w:val="20"/>
          <w:szCs w:val="20"/>
        </w:rPr>
        <w:t> </w:t>
      </w:r>
      <w:r>
        <w:rPr>
          <w:vanish/>
          <w:sz w:val="20"/>
          <w:szCs w:val="20"/>
        </w:rPr>
        <w:t>SCHEDULE OF LOSSES PER SHARE, BASIC AND DILUTE</w:t>
      </w:r>
      <w:r>
        <w:rPr>
          <w:vanish/>
          <w:sz w:val="20"/>
          <w:szCs w:val="20"/>
        </w:rPr>
        <w:t>D</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rPr>
          <w:hidden/>
        </w:trPr>
        <w:tc>
          <w:tcPr>
            <w:tcW w:w="0" w:type="auto"/>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 except share and per share amounts)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Basic and Diluted:</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loss attributable to common shareholders</w:t>
            </w:r>
          </w:p>
        </w:tc>
        <w:tc>
          <w:tcPr>
            <w:tcW w:w="100" w:type="pct"/>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(10,085</w:t>
            </w:r>
          </w:p>
        </w:tc>
        <w:tc>
          <w:tcPr>
            <w:tcW w:w="50" w:type="pct"/>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(11,216</w:t>
            </w:r>
          </w:p>
        </w:tc>
        <w:tc>
          <w:tcPr>
            <w:tcW w:w="50" w:type="pct"/>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15,109,587</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14,541,061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loss attributable to common shareholders per share - basic and diluted</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(0.67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(0.77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caps/>
          <w:sz w:val="20"/>
          <w:szCs w:val="20"/>
        </w:rPr>
      </w:pPr>
      <w:r>
        <w:rPr>
          <w:sz w:val="20"/>
          <w:szCs w:val="20"/>
        </w:rPr>
        <w:t>At December 31, 2022, the</w:t>
      </w:r>
      <w:r>
        <w:rPr>
          <w:sz w:val="20"/>
          <w:szCs w:val="20"/>
        </w:rPr>
        <w:t xml:space="preserve"> </w:t>
      </w:r>
      <w:r>
        <w:rPr>
          <w:sz w:val="20"/>
          <w:szCs w:val="20"/>
        </w:rPr>
        <w:t>598,24</w:t>
      </w:r>
      <w:r>
        <w:rPr>
          <w:sz w:val="20"/>
          <w:szCs w:val="20"/>
        </w:rPr>
        <w:t>5</w:t>
      </w:r>
      <w:r>
        <w:rPr>
          <w:sz w:val="20"/>
          <w:szCs w:val="20"/>
        </w:rPr>
        <w:t xml:space="preserve"> unvested restricted stock units (“RSUs”) as discussed in Note 15 and</w:t>
      </w:r>
      <w:r>
        <w:rPr>
          <w:sz w:val="20"/>
          <w:szCs w:val="20"/>
        </w:rPr>
        <w:t xml:space="preserve"> </w:t>
      </w:r>
      <w:r>
        <w:rPr>
          <w:sz w:val="20"/>
          <w:szCs w:val="20"/>
        </w:rPr>
        <w:t>1,128,48</w:t>
      </w:r>
      <w:r>
        <w:rPr>
          <w:sz w:val="20"/>
          <w:szCs w:val="20"/>
        </w:rPr>
        <w:t>9</w:t>
      </w:r>
      <w:r>
        <w:rPr>
          <w:sz w:val="20"/>
          <w:szCs w:val="20"/>
        </w:rPr>
        <w:t xml:space="preserve"> unexercised </w:t>
      </w:r>
      <w:r>
        <w:rPr>
          <w:sz w:val="20"/>
          <w:szCs w:val="20"/>
        </w:rPr>
        <w:t xml:space="preserve">warrants expiring between January 2023 and September 2023 with exercise prices between </w:t>
      </w:r>
      <w:r>
        <w:rPr>
          <w:sz w:val="20"/>
          <w:szCs w:val="20"/>
        </w:rPr>
        <w:t>$</w:t>
      </w:r>
      <w:r>
        <w:rPr>
          <w:sz w:val="20"/>
          <w:szCs w:val="20"/>
        </w:rPr>
        <w:t>5.0</w:t>
      </w:r>
      <w:r>
        <w:rPr>
          <w:sz w:val="20"/>
          <w:szCs w:val="20"/>
        </w:rPr>
        <w:t>0</w:t>
      </w:r>
      <w:r>
        <w:rPr>
          <w:sz w:val="20"/>
          <w:szCs w:val="20"/>
        </w:rPr>
        <w:t xml:space="preserve"> and </w:t>
      </w:r>
      <w:r>
        <w:rPr>
          <w:sz w:val="20"/>
          <w:szCs w:val="20"/>
        </w:rPr>
        <w:t>$</w:t>
      </w:r>
      <w:r>
        <w:rPr>
          <w:sz w:val="20"/>
          <w:szCs w:val="20"/>
        </w:rPr>
        <w:t>10.0</w:t>
      </w:r>
      <w:r>
        <w:rPr>
          <w:sz w:val="20"/>
          <w:szCs w:val="20"/>
        </w:rPr>
        <w:t>0</w:t>
      </w:r>
      <w:r>
        <w:rPr>
          <w:sz w:val="20"/>
          <w:szCs w:val="20"/>
        </w:rPr>
        <w:t xml:space="preserve"> have been excluded from the above calculations as they were anti-dilutive. At December 31, 2021, the</w:t>
      </w:r>
      <w:r>
        <w:rPr>
          <w:sz w:val="20"/>
          <w:szCs w:val="20"/>
        </w:rPr>
        <w:t xml:space="preserve"> </w:t>
      </w:r>
      <w:r>
        <w:rPr>
          <w:sz w:val="20"/>
          <w:szCs w:val="20"/>
        </w:rPr>
        <w:t>331,03</w:t>
      </w:r>
      <w:r>
        <w:rPr>
          <w:sz w:val="20"/>
          <w:szCs w:val="20"/>
        </w:rPr>
        <w:t>9</w:t>
      </w:r>
      <w:r>
        <w:rPr>
          <w:sz w:val="20"/>
          <w:szCs w:val="20"/>
        </w:rPr>
        <w:t xml:space="preserve"> unvested equity RSUs and</w:t>
      </w:r>
      <w:r>
        <w:rPr>
          <w:sz w:val="20"/>
          <w:szCs w:val="20"/>
        </w:rPr>
        <w:t xml:space="preserve"> </w:t>
      </w:r>
      <w:r>
        <w:rPr>
          <w:sz w:val="20"/>
          <w:szCs w:val="20"/>
        </w:rPr>
        <w:t>3,152,14</w:t>
      </w:r>
      <w:r>
        <w:rPr>
          <w:sz w:val="20"/>
          <w:szCs w:val="20"/>
        </w:rPr>
        <w:t>0</w:t>
      </w:r>
      <w:r>
        <w:rPr>
          <w:sz w:val="20"/>
          <w:szCs w:val="20"/>
        </w:rPr>
        <w:t xml:space="preserve"> unexerci</w:t>
      </w:r>
      <w:r>
        <w:rPr>
          <w:sz w:val="20"/>
          <w:szCs w:val="20"/>
        </w:rPr>
        <w:t>sed warrants have been excluded from the above calculations as they were anti-dilutive. Vested RSUs, vested restricted shares and exercised warrants have been included in the above calculations.</w:t>
      </w:r>
    </w:p>
    <w:p w:rsidR="00000000" w:rsidRDefault="003A6737">
      <w:pPr>
        <w:pStyle w:val="a3"/>
        <w:spacing w:before="0" w:beforeAutospacing="0" w:after="0" w:afterAutospacing="0"/>
        <w:ind w:left="475" w:hanging="475"/>
        <w:rPr>
          <w:b/>
          <w:bCs/>
          <w:caps/>
          <w:sz w:val="20"/>
          <w:szCs w:val="20"/>
        </w:rPr>
      </w:pPr>
      <w:r>
        <w:rPr>
          <w:b/>
          <w:bCs/>
          <w:caps/>
          <w:sz w:val="20"/>
          <w:szCs w:val="20"/>
        </w:rPr>
        <w:t> </w:t>
      </w:r>
    </w:p>
    <w:p w:rsidR="00000000" w:rsidRDefault="003A6737">
      <w:pPr>
        <w:pStyle w:val="a3"/>
        <w:spacing w:before="0" w:beforeAutospacing="0" w:after="0" w:afterAutospacing="0"/>
        <w:rPr>
          <w:caps/>
          <w:sz w:val="20"/>
          <w:szCs w:val="20"/>
        </w:rPr>
      </w:pPr>
      <w:r>
        <w:rPr>
          <w:b/>
          <w:bCs/>
          <w:caps/>
          <w:sz w:val="20"/>
          <w:szCs w:val="20"/>
        </w:rPr>
        <w:t>8.</w:t>
      </w:r>
      <w:r>
        <w:rPr>
          <w:caps/>
          <w:sz w:val="20"/>
          <w:szCs w:val="20"/>
        </w:rPr>
        <w:t xml:space="preserve"> </w:t>
      </w:r>
      <w:r>
        <w:rPr>
          <w:b/>
          <w:bCs/>
          <w:caps/>
          <w:sz w:val="20"/>
          <w:szCs w:val="20"/>
        </w:rPr>
        <w:t>DEB</w:t>
      </w:r>
      <w:r>
        <w:rPr>
          <w:b/>
          <w:bCs/>
          <w:caps/>
          <w:sz w:val="20"/>
          <w:szCs w:val="20"/>
        </w:rPr>
        <w:t>T</w:t>
      </w:r>
    </w:p>
    <w:p w:rsidR="00000000" w:rsidRDefault="003A6737">
      <w:pPr>
        <w:pStyle w:val="a3"/>
        <w:spacing w:before="0" w:beforeAutospacing="0" w:after="0" w:afterAutospacing="0"/>
        <w:jc w:val="both"/>
        <w:rPr>
          <w:sz w:val="20"/>
          <w:szCs w:val="20"/>
        </w:rPr>
      </w:pPr>
      <w:r>
        <w:rPr>
          <w:i/>
          <w:iCs/>
          <w:sz w:val="20"/>
          <w:szCs w:val="20"/>
        </w:rPr>
        <w:t> </w:t>
      </w:r>
    </w:p>
    <w:p w:rsidR="00000000" w:rsidRDefault="003A6737">
      <w:pPr>
        <w:pStyle w:val="a3"/>
        <w:spacing w:before="0" w:beforeAutospacing="0" w:after="0" w:afterAutospacing="0"/>
        <w:jc w:val="both"/>
        <w:rPr>
          <w:sz w:val="20"/>
          <w:szCs w:val="20"/>
        </w:rPr>
      </w:pPr>
      <w:r>
        <w:rPr>
          <w:i/>
          <w:iCs/>
          <w:sz w:val="20"/>
          <w:szCs w:val="20"/>
        </w:rPr>
        <w:t xml:space="preserve">SVB </w:t>
      </w:r>
      <w:r>
        <w:rPr>
          <w:sz w:val="20"/>
          <w:szCs w:val="20"/>
        </w:rPr>
        <w:t xml:space="preserve">— </w:t>
      </w:r>
      <w:r>
        <w:rPr>
          <w:sz w:val="20"/>
          <w:szCs w:val="20"/>
        </w:rPr>
        <w:t>During October 2017, the Company opened a revolving line of credit from Silicon Valley Bank (“SVB”) under a three-year agreement which replaced the previous credit facility from Opus. The SVB credit facility is a secured revolving line of credit where borr</w:t>
      </w:r>
      <w:r>
        <w:rPr>
          <w:sz w:val="20"/>
          <w:szCs w:val="20"/>
        </w:rPr>
        <w:t>owings are based on a formula of</w:t>
      </w:r>
      <w:r>
        <w:rPr>
          <w:sz w:val="20"/>
          <w:szCs w:val="20"/>
        </w:rPr>
        <w:t xml:space="preserve"> </w:t>
      </w:r>
      <w:r>
        <w:rPr>
          <w:sz w:val="20"/>
          <w:szCs w:val="20"/>
        </w:rPr>
        <w:t>200</w:t>
      </w:r>
      <w:r>
        <w:rPr>
          <w:sz w:val="20"/>
          <w:szCs w:val="20"/>
        </w:rPr>
        <w:t>%</w:t>
      </w:r>
      <w:r>
        <w:rPr>
          <w:sz w:val="20"/>
          <w:szCs w:val="20"/>
        </w:rPr>
        <w:t xml:space="preserve"> of repeatable revenue adjusted by an annualized attrition rate as defined in the credit agreement. During the third quarter of 2018, the credit line was increased from </w:t>
      </w:r>
      <w:r>
        <w:rPr>
          <w:sz w:val="20"/>
          <w:szCs w:val="20"/>
        </w:rPr>
        <w:t>$</w:t>
      </w:r>
      <w:r>
        <w:rPr>
          <w:sz w:val="20"/>
          <w:szCs w:val="20"/>
        </w:rPr>
        <w:t>5</w:t>
      </w:r>
      <w:r>
        <w:rPr>
          <w:sz w:val="20"/>
          <w:szCs w:val="20"/>
        </w:rPr>
        <w:t xml:space="preserve"> million to </w:t>
      </w:r>
      <w:r>
        <w:rPr>
          <w:sz w:val="20"/>
          <w:szCs w:val="20"/>
        </w:rPr>
        <w:t>$</w:t>
      </w:r>
      <w:r>
        <w:rPr>
          <w:sz w:val="20"/>
          <w:szCs w:val="20"/>
        </w:rPr>
        <w:t>1</w:t>
      </w:r>
      <w:r>
        <w:rPr>
          <w:sz w:val="20"/>
          <w:szCs w:val="20"/>
        </w:rPr>
        <w:t>0</w:t>
      </w:r>
      <w:r>
        <w:rPr>
          <w:sz w:val="20"/>
          <w:szCs w:val="20"/>
        </w:rPr>
        <w:t xml:space="preserve"> million and the term was extende</w:t>
      </w:r>
      <w:r>
        <w:rPr>
          <w:sz w:val="20"/>
          <w:szCs w:val="20"/>
        </w:rPr>
        <w:t xml:space="preserve">d for an additional year. During the third quarter of 2021, the credit line was further increased to </w:t>
      </w:r>
      <w:r>
        <w:rPr>
          <w:sz w:val="20"/>
          <w:szCs w:val="20"/>
        </w:rPr>
        <w:t>$</w:t>
      </w:r>
      <w:r>
        <w:rPr>
          <w:sz w:val="20"/>
          <w:szCs w:val="20"/>
        </w:rPr>
        <w:t>2</w:t>
      </w:r>
      <w:r>
        <w:rPr>
          <w:sz w:val="20"/>
          <w:szCs w:val="20"/>
        </w:rPr>
        <w:t>0</w:t>
      </w:r>
      <w:r>
        <w:rPr>
          <w:sz w:val="20"/>
          <w:szCs w:val="20"/>
        </w:rPr>
        <w:t xml:space="preserve"> million and the term was extended for another year. During February 2023, the line of credit was increased to </w:t>
      </w:r>
      <w:r>
        <w:rPr>
          <w:sz w:val="20"/>
          <w:szCs w:val="20"/>
        </w:rPr>
        <w:t>$</w:t>
      </w:r>
      <w:r>
        <w:rPr>
          <w:sz w:val="20"/>
          <w:szCs w:val="20"/>
        </w:rPr>
        <w:t>2</w:t>
      </w:r>
      <w:r>
        <w:rPr>
          <w:sz w:val="20"/>
          <w:szCs w:val="20"/>
        </w:rPr>
        <w:t>5</w:t>
      </w:r>
      <w:r>
        <w:rPr>
          <w:sz w:val="20"/>
          <w:szCs w:val="20"/>
        </w:rPr>
        <w:t xml:space="preserve"> million and the term was extended for</w:t>
      </w:r>
      <w:r>
        <w:rPr>
          <w:sz w:val="20"/>
          <w:szCs w:val="20"/>
        </w:rPr>
        <w:t xml:space="preserve"> two years. (See Note 20).</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At both December 31, 2022 and 2021, there were </w:t>
      </w:r>
      <w:r>
        <w:rPr>
          <w:sz w:val="20"/>
          <w:szCs w:val="20"/>
        </w:rPr>
        <w:t>$</w:t>
      </w:r>
      <w:r>
        <w:rPr>
          <w:sz w:val="20"/>
          <w:szCs w:val="20"/>
        </w:rPr>
        <w:t>8</w:t>
      </w:r>
      <w:r>
        <w:rPr>
          <w:sz w:val="20"/>
          <w:szCs w:val="20"/>
        </w:rPr>
        <w:t xml:space="preserve"> million of borrowings under the credit facility. Interest on the SVB revolving line of credit is currently charged at the prime rate plus</w:t>
      </w:r>
      <w:r>
        <w:rPr>
          <w:sz w:val="20"/>
          <w:szCs w:val="20"/>
        </w:rPr>
        <w:t xml:space="preserve"> </w:t>
      </w:r>
      <w:r>
        <w:rPr>
          <w:sz w:val="20"/>
          <w:szCs w:val="20"/>
        </w:rPr>
        <w:t>1.50</w:t>
      </w:r>
      <w:r>
        <w:rPr>
          <w:sz w:val="20"/>
          <w:szCs w:val="20"/>
        </w:rPr>
        <w:t>%</w:t>
      </w:r>
      <w:r>
        <w:rPr>
          <w:sz w:val="20"/>
          <w:szCs w:val="20"/>
        </w:rPr>
        <w:t>.</w:t>
      </w:r>
      <w:r>
        <w:rPr>
          <w:sz w:val="20"/>
          <w:szCs w:val="20"/>
        </w:rPr>
        <w:t xml:space="preserve"> </w:t>
      </w:r>
      <w:r>
        <w:rPr>
          <w:sz w:val="20"/>
          <w:szCs w:val="20"/>
        </w:rPr>
        <w:t xml:space="preserve">There is also a fee of one-half </w:t>
      </w:r>
      <w:r>
        <w:rPr>
          <w:sz w:val="20"/>
          <w:szCs w:val="20"/>
        </w:rPr>
        <w:t>of 1% annually for the unused portion of the credit lin</w:t>
      </w:r>
      <w:r>
        <w:rPr>
          <w:sz w:val="20"/>
          <w:szCs w:val="20"/>
        </w:rPr>
        <w:t>e</w:t>
      </w:r>
      <w:r>
        <w:rPr>
          <w:sz w:val="20"/>
          <w:szCs w:val="20"/>
        </w:rPr>
        <w:t>. The debt is secured by all of the Company’s domestic assets and</w:t>
      </w:r>
      <w:r>
        <w:rPr>
          <w:sz w:val="20"/>
          <w:szCs w:val="20"/>
        </w:rPr>
        <w:t xml:space="preserve"> </w:t>
      </w:r>
      <w:r>
        <w:rPr>
          <w:sz w:val="20"/>
          <w:szCs w:val="20"/>
        </w:rPr>
        <w:t>65</w:t>
      </w:r>
      <w:r>
        <w:rPr>
          <w:sz w:val="20"/>
          <w:szCs w:val="20"/>
        </w:rPr>
        <w:t>%</w:t>
      </w:r>
      <w:r>
        <w:rPr>
          <w:sz w:val="20"/>
          <w:szCs w:val="20"/>
        </w:rPr>
        <w:t xml:space="preserve"> of the shares in its offshore subsidiaries. Future acquisitions are subject to approval by SVB.</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In connection with the original </w:t>
      </w:r>
      <w:r>
        <w:rPr>
          <w:sz w:val="20"/>
          <w:szCs w:val="20"/>
        </w:rPr>
        <w:t xml:space="preserve">SVB debt agreement, the Company paid SVB approximately </w:t>
      </w:r>
      <w:r>
        <w:rPr>
          <w:sz w:val="20"/>
          <w:szCs w:val="20"/>
        </w:rPr>
        <w:t>$</w:t>
      </w:r>
      <w:r>
        <w:rPr>
          <w:sz w:val="20"/>
          <w:szCs w:val="20"/>
        </w:rPr>
        <w:t>50,00</w:t>
      </w:r>
      <w:r>
        <w:rPr>
          <w:sz w:val="20"/>
          <w:szCs w:val="20"/>
        </w:rPr>
        <w:t>0</w:t>
      </w:r>
      <w:r>
        <w:rPr>
          <w:sz w:val="20"/>
          <w:szCs w:val="20"/>
        </w:rPr>
        <w:t xml:space="preserve"> of fees upfront and issued warrants for SVB to purchase</w:t>
      </w:r>
      <w:r>
        <w:rPr>
          <w:sz w:val="20"/>
          <w:szCs w:val="20"/>
        </w:rPr>
        <w:t xml:space="preserve"> </w:t>
      </w:r>
      <w:r>
        <w:rPr>
          <w:sz w:val="20"/>
          <w:szCs w:val="20"/>
        </w:rPr>
        <w:t>125,00</w:t>
      </w:r>
      <w:r>
        <w:rPr>
          <w:sz w:val="20"/>
          <w:szCs w:val="20"/>
        </w:rPr>
        <w:t>0</w:t>
      </w:r>
      <w:r>
        <w:rPr>
          <w:sz w:val="20"/>
          <w:szCs w:val="20"/>
        </w:rPr>
        <w:t xml:space="preserve"> shares of its common stock, and committed to pay an annual anniversary fee of </w:t>
      </w:r>
      <w:r>
        <w:rPr>
          <w:sz w:val="20"/>
          <w:szCs w:val="20"/>
        </w:rPr>
        <w:t>$</w:t>
      </w:r>
      <w:r>
        <w:rPr>
          <w:sz w:val="20"/>
          <w:szCs w:val="20"/>
        </w:rPr>
        <w:t>50,00</w:t>
      </w:r>
      <w:r>
        <w:rPr>
          <w:sz w:val="20"/>
          <w:szCs w:val="20"/>
        </w:rPr>
        <w:t>0</w:t>
      </w:r>
      <w:r>
        <w:rPr>
          <w:sz w:val="20"/>
          <w:szCs w:val="20"/>
        </w:rPr>
        <w:t xml:space="preserve"> a year. Based on the terms in the original </w:t>
      </w:r>
      <w:r>
        <w:rPr>
          <w:sz w:val="20"/>
          <w:szCs w:val="20"/>
        </w:rPr>
        <w:t xml:space="preserve">SVB credit agreement, these warrants had a strike price equal to </w:t>
      </w:r>
      <w:r>
        <w:rPr>
          <w:sz w:val="20"/>
          <w:szCs w:val="20"/>
        </w:rPr>
        <w:t>$</w:t>
      </w:r>
      <w:r>
        <w:rPr>
          <w:sz w:val="20"/>
          <w:szCs w:val="20"/>
        </w:rPr>
        <w:t>3.9</w:t>
      </w:r>
      <w:r>
        <w:rPr>
          <w:sz w:val="20"/>
          <w:szCs w:val="20"/>
        </w:rPr>
        <w:t>2</w:t>
      </w:r>
      <w:r>
        <w:rPr>
          <w:sz w:val="20"/>
          <w:szCs w:val="20"/>
        </w:rPr>
        <w:t>. They had a</w:t>
      </w:r>
      <w:r>
        <w:rPr>
          <w:sz w:val="20"/>
          <w:szCs w:val="20"/>
        </w:rPr>
        <w:t xml:space="preserve"> </w:t>
      </w:r>
      <w:r>
        <w:rPr>
          <w:sz w:val="20"/>
          <w:szCs w:val="20"/>
        </w:rPr>
        <w:t>fiv</w:t>
      </w:r>
      <w:r>
        <w:rPr>
          <w:sz w:val="20"/>
          <w:szCs w:val="20"/>
        </w:rPr>
        <w:t>e</w:t>
      </w:r>
      <w:r>
        <w:rPr>
          <w:sz w:val="20"/>
          <w:szCs w:val="20"/>
        </w:rPr>
        <w:t xml:space="preserve">-year exercise window and net exercise rights, and were valued at </w:t>
      </w:r>
      <w:r>
        <w:rPr>
          <w:sz w:val="20"/>
          <w:szCs w:val="20"/>
        </w:rPr>
        <w:t>$</w:t>
      </w:r>
      <w:r>
        <w:rPr>
          <w:sz w:val="20"/>
          <w:szCs w:val="20"/>
        </w:rPr>
        <w:t>3.1</w:t>
      </w:r>
      <w:r>
        <w:rPr>
          <w:sz w:val="20"/>
          <w:szCs w:val="20"/>
        </w:rPr>
        <w:t>2</w:t>
      </w:r>
      <w:r>
        <w:rPr>
          <w:sz w:val="20"/>
          <w:szCs w:val="20"/>
        </w:rPr>
        <w:t xml:space="preserve"> per warrant. These warrants were exercised during 2022. As a result of the revision in the SVB cr</w:t>
      </w:r>
      <w:r>
        <w:rPr>
          <w:sz w:val="20"/>
          <w:szCs w:val="20"/>
        </w:rPr>
        <w:t xml:space="preserve">edit line, which increased the credit line from </w:t>
      </w:r>
      <w:r>
        <w:rPr>
          <w:sz w:val="20"/>
          <w:szCs w:val="20"/>
        </w:rPr>
        <w:t>$</w:t>
      </w:r>
      <w:r>
        <w:rPr>
          <w:sz w:val="20"/>
          <w:szCs w:val="20"/>
        </w:rPr>
        <w:t>5</w:t>
      </w:r>
      <w:r>
        <w:rPr>
          <w:sz w:val="20"/>
          <w:szCs w:val="20"/>
        </w:rPr>
        <w:t xml:space="preserve"> million to </w:t>
      </w:r>
      <w:r>
        <w:rPr>
          <w:sz w:val="20"/>
          <w:szCs w:val="20"/>
        </w:rPr>
        <w:t>$</w:t>
      </w:r>
      <w:r>
        <w:rPr>
          <w:sz w:val="20"/>
          <w:szCs w:val="20"/>
        </w:rPr>
        <w:t>1</w:t>
      </w:r>
      <w:r>
        <w:rPr>
          <w:sz w:val="20"/>
          <w:szCs w:val="20"/>
        </w:rPr>
        <w:t>0</w:t>
      </w:r>
      <w:r>
        <w:rPr>
          <w:sz w:val="20"/>
          <w:szCs w:val="20"/>
        </w:rPr>
        <w:t xml:space="preserve"> million and reduced the interest rate by 25 basis points, the Company paid approximately </w:t>
      </w:r>
      <w:r>
        <w:rPr>
          <w:sz w:val="20"/>
          <w:szCs w:val="20"/>
        </w:rPr>
        <w:t>$</w:t>
      </w:r>
      <w:r>
        <w:rPr>
          <w:sz w:val="20"/>
          <w:szCs w:val="20"/>
        </w:rPr>
        <w:t>50,00</w:t>
      </w:r>
      <w:r>
        <w:rPr>
          <w:sz w:val="20"/>
          <w:szCs w:val="20"/>
        </w:rPr>
        <w:t>0</w:t>
      </w:r>
      <w:r>
        <w:rPr>
          <w:sz w:val="20"/>
          <w:szCs w:val="20"/>
        </w:rPr>
        <w:t xml:space="preserve"> of fees upfront and issued an additional</w:t>
      </w:r>
      <w:r>
        <w:rPr>
          <w:sz w:val="20"/>
          <w:szCs w:val="20"/>
        </w:rPr>
        <w:t xml:space="preserve"> </w:t>
      </w:r>
      <w:r>
        <w:rPr>
          <w:sz w:val="20"/>
          <w:szCs w:val="20"/>
        </w:rPr>
        <w:t>28,48</w:t>
      </w:r>
      <w:r>
        <w:rPr>
          <w:sz w:val="20"/>
          <w:szCs w:val="20"/>
        </w:rPr>
        <w:t>9</w:t>
      </w:r>
      <w:r>
        <w:rPr>
          <w:sz w:val="20"/>
          <w:szCs w:val="20"/>
        </w:rPr>
        <w:t xml:space="preserve"> warrants, with a strike price equal to </w:t>
      </w:r>
      <w:r>
        <w:rPr>
          <w:sz w:val="20"/>
          <w:szCs w:val="20"/>
        </w:rPr>
        <w:t>$</w:t>
      </w:r>
      <w:r>
        <w:rPr>
          <w:sz w:val="20"/>
          <w:szCs w:val="20"/>
        </w:rPr>
        <w:t>5.2</w:t>
      </w:r>
      <w:r>
        <w:rPr>
          <w:sz w:val="20"/>
          <w:szCs w:val="20"/>
        </w:rPr>
        <w:t>6</w:t>
      </w:r>
      <w:r>
        <w:rPr>
          <w:sz w:val="20"/>
          <w:szCs w:val="20"/>
        </w:rPr>
        <w:t>,</w:t>
      </w:r>
      <w:r>
        <w:rPr>
          <w:sz w:val="20"/>
          <w:szCs w:val="20"/>
        </w:rPr>
        <w:t xml:space="preserve"> a five-year exercise window and net exercise rights. The additional warrants were valued at </w:t>
      </w:r>
      <w:r>
        <w:rPr>
          <w:sz w:val="20"/>
          <w:szCs w:val="20"/>
        </w:rPr>
        <w:t>$</w:t>
      </w:r>
      <w:r>
        <w:rPr>
          <w:sz w:val="20"/>
          <w:szCs w:val="20"/>
        </w:rPr>
        <w:t>3.5</w:t>
      </w:r>
      <w:r>
        <w:rPr>
          <w:sz w:val="20"/>
          <w:szCs w:val="20"/>
        </w:rPr>
        <w:t>8</w:t>
      </w:r>
      <w:r>
        <w:rPr>
          <w:sz w:val="20"/>
          <w:szCs w:val="20"/>
        </w:rPr>
        <w:t xml:space="preserve"> per warrant. The SVB credit agreement contains various covenants and conditions governing the revolving line of credit including a current annual fee of </w:t>
      </w:r>
      <w:r>
        <w:rPr>
          <w:sz w:val="20"/>
          <w:szCs w:val="20"/>
        </w:rPr>
        <w:t>$</w:t>
      </w:r>
      <w:r>
        <w:rPr>
          <w:sz w:val="20"/>
          <w:szCs w:val="20"/>
        </w:rPr>
        <w:t>100</w:t>
      </w:r>
      <w:r>
        <w:rPr>
          <w:sz w:val="20"/>
          <w:szCs w:val="20"/>
        </w:rPr>
        <w:t>,00</w:t>
      </w:r>
      <w:r>
        <w:rPr>
          <w:sz w:val="20"/>
          <w:szCs w:val="20"/>
        </w:rPr>
        <w:t>0</w:t>
      </w:r>
      <w:r>
        <w:rPr>
          <w:sz w:val="20"/>
          <w:szCs w:val="20"/>
        </w:rPr>
        <w:t>. These covenants include a minimum level of adjusted EBITDA and a minimum liquidity ratio. At December 31, 2022 and 2021, the Company was in compliance with all covenants.</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25523195"/>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During </w:t>
      </w:r>
      <w:r>
        <w:rPr>
          <w:sz w:val="20"/>
          <w:szCs w:val="20"/>
        </w:rPr>
        <w:t>September 2021, the agreement with SVB was modified to include CAC and medSR as borrowers. During January 2022, the agreement with SVB was modified to allow the Company to issue Series B Preferred Stock and pay monthly dividends on this stock, to use a por</w:t>
      </w:r>
      <w:r>
        <w:rPr>
          <w:sz w:val="20"/>
          <w:szCs w:val="20"/>
        </w:rPr>
        <w:t xml:space="preserve">tion of the offering proceeds to redeem a portion of the Series A Preferred Stock that is outstanding and to allow for the potential exchange of shares of Series A Preferred Stock for Series B Preferred Stock. During September 2021, the agreement with SVB </w:t>
      </w:r>
      <w:r>
        <w:rPr>
          <w:sz w:val="20"/>
          <w:szCs w:val="20"/>
        </w:rPr>
        <w:t>was modified to include CAC and medSR as borrowers.</w:t>
      </w:r>
    </w:p>
    <w:p w:rsidR="00000000" w:rsidRDefault="003A6737">
      <w:pPr>
        <w:pStyle w:val="a3"/>
        <w:spacing w:before="0" w:beforeAutospacing="0" w:after="0" w:afterAutospacing="0"/>
        <w:jc w:val="both"/>
        <w:rPr>
          <w:sz w:val="20"/>
          <w:szCs w:val="20"/>
        </w:rPr>
      </w:pPr>
      <w:r>
        <w:rPr>
          <w:i/>
          <w:iCs/>
          <w:sz w:val="20"/>
          <w:szCs w:val="20"/>
        </w:rPr>
        <w:t> </w:t>
      </w:r>
    </w:p>
    <w:p w:rsidR="00000000" w:rsidRDefault="003A6737">
      <w:pPr>
        <w:pStyle w:val="a3"/>
        <w:spacing w:before="0" w:beforeAutospacing="0" w:after="0" w:afterAutospacing="0"/>
        <w:jc w:val="both"/>
        <w:rPr>
          <w:sz w:val="20"/>
          <w:szCs w:val="20"/>
        </w:rPr>
      </w:pPr>
      <w:r>
        <w:rPr>
          <w:i/>
          <w:iCs/>
          <w:sz w:val="20"/>
          <w:szCs w:val="20"/>
        </w:rPr>
        <w:t>Vehicle Financing Notes</w:t>
      </w:r>
      <w:r>
        <w:rPr>
          <w:sz w:val="20"/>
          <w:szCs w:val="20"/>
        </w:rPr>
        <w:t xml:space="preserve"> — The Company financed certain vehicle purchases both in the United States and in Pakistan. The vehicle financing notes have three to</w:t>
      </w:r>
      <w:r>
        <w:rPr>
          <w:sz w:val="20"/>
          <w:szCs w:val="20"/>
        </w:rPr>
        <w:t xml:space="preserve"> </w:t>
      </w:r>
      <w:r>
        <w:rPr>
          <w:sz w:val="20"/>
          <w:szCs w:val="20"/>
        </w:rPr>
        <w:t>six year term</w:t>
      </w:r>
      <w:r>
        <w:rPr>
          <w:sz w:val="20"/>
          <w:szCs w:val="20"/>
        </w:rPr>
        <w:t>s</w:t>
      </w:r>
      <w:r>
        <w:rPr>
          <w:sz w:val="20"/>
          <w:szCs w:val="20"/>
        </w:rPr>
        <w:t xml:space="preserve"> and were issued at current ma</w:t>
      </w:r>
      <w:r>
        <w:rPr>
          <w:sz w:val="20"/>
          <w:szCs w:val="20"/>
        </w:rPr>
        <w:t>rket rates.</w:t>
      </w:r>
    </w:p>
    <w:p w:rsidR="00000000" w:rsidRDefault="003A6737">
      <w:pPr>
        <w:pStyle w:val="a3"/>
        <w:spacing w:before="0" w:beforeAutospacing="0" w:after="0" w:afterAutospacing="0"/>
        <w:jc w:val="both"/>
        <w:rPr>
          <w:sz w:val="20"/>
          <w:szCs w:val="20"/>
        </w:rPr>
      </w:pPr>
      <w:r>
        <w:rPr>
          <w:i/>
          <w:iCs/>
          <w:sz w:val="20"/>
          <w:szCs w:val="20"/>
        </w:rPr>
        <w:t> </w:t>
      </w:r>
    </w:p>
    <w:p w:rsidR="00000000" w:rsidRDefault="003A6737">
      <w:pPr>
        <w:pStyle w:val="a3"/>
        <w:spacing w:before="0" w:beforeAutospacing="0" w:after="0" w:afterAutospacing="0"/>
        <w:jc w:val="both"/>
        <w:rPr>
          <w:sz w:val="20"/>
          <w:szCs w:val="20"/>
        </w:rPr>
      </w:pPr>
      <w:r>
        <w:rPr>
          <w:i/>
          <w:iCs/>
          <w:sz w:val="20"/>
          <w:szCs w:val="20"/>
        </w:rPr>
        <w:t>Insurance Financing</w:t>
      </w:r>
      <w:r>
        <w:rPr>
          <w:sz w:val="20"/>
          <w:szCs w:val="20"/>
        </w:rPr>
        <w:t xml:space="preserve"> — The Company finances certain insurance purchases over the term of the policy life. The interest rate charged is</w:t>
      </w:r>
      <w:r>
        <w:rPr>
          <w:sz w:val="20"/>
          <w:szCs w:val="20"/>
        </w:rPr>
        <w:t xml:space="preserve"> </w:t>
      </w:r>
      <w:r>
        <w:rPr>
          <w:sz w:val="20"/>
          <w:szCs w:val="20"/>
        </w:rPr>
        <w:t>4.55</w:t>
      </w:r>
      <w:r>
        <w:rPr>
          <w:sz w:val="20"/>
          <w:szCs w:val="20"/>
        </w:rPr>
        <w:t>%</w:t>
      </w:r>
      <w:r>
        <w:rPr>
          <w:sz w:val="20"/>
          <w:szCs w:val="20"/>
        </w:rPr>
        <w:t>.</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Maturities of the outstanding notes payable and other obligations as of December 31, 2022 are as fo</w:t>
      </w:r>
      <w:r>
        <w:rPr>
          <w:sz w:val="20"/>
          <w:szCs w:val="20"/>
        </w:rPr>
        <w:t>llows:</w:t>
      </w:r>
    </w:p>
    <w:p w:rsidR="00000000" w:rsidRDefault="003A6737">
      <w:pPr>
        <w:pStyle w:val="a3"/>
        <w:spacing w:before="0" w:beforeAutospacing="0" w:after="0" w:afterAutospacing="0"/>
        <w:jc w:val="both"/>
        <w:rPr>
          <w:sz w:val="20"/>
          <w:szCs w:val="20"/>
        </w:rPr>
      </w:pPr>
      <w:r>
        <w:rPr>
          <w:sz w:val="20"/>
          <w:szCs w:val="20"/>
        </w:rPr>
        <w:t> </w:t>
      </w:r>
      <w:r>
        <w:rPr>
          <w:vanish/>
          <w:sz w:val="20"/>
          <w:szCs w:val="20"/>
        </w:rPr>
        <w:t>SCHEDULE OF MATURITIES OF LONG-TERM DEB</w:t>
      </w:r>
      <w:r>
        <w:rPr>
          <w:vanish/>
          <w:sz w:val="20"/>
          <w:szCs w:val="20"/>
        </w:rPr>
        <w:t>T</w:t>
      </w:r>
    </w:p>
    <w:tbl>
      <w:tblPr>
        <w:tblW w:w="4000" w:type="pct"/>
        <w:tblCellMar>
          <w:left w:w="0" w:type="dxa"/>
          <w:right w:w="0" w:type="dxa"/>
        </w:tblCellMar>
        <w:tblLook w:val="04A0" w:firstRow="1" w:lastRow="0" w:firstColumn="1" w:lastColumn="0" w:noHBand="0" w:noVBand="1"/>
      </w:tblPr>
      <w:tblGrid>
        <w:gridCol w:w="1451"/>
        <w:gridCol w:w="122"/>
        <w:gridCol w:w="101"/>
        <w:gridCol w:w="1052"/>
        <w:gridCol w:w="55"/>
        <w:gridCol w:w="122"/>
        <w:gridCol w:w="101"/>
        <w:gridCol w:w="1052"/>
        <w:gridCol w:w="56"/>
        <w:gridCol w:w="123"/>
        <w:gridCol w:w="101"/>
        <w:gridCol w:w="987"/>
        <w:gridCol w:w="56"/>
        <w:gridCol w:w="123"/>
        <w:gridCol w:w="100"/>
        <w:gridCol w:w="987"/>
        <w:gridCol w:w="56"/>
      </w:tblGrid>
      <w:tr w:rsidR="00000000">
        <w:tc>
          <w:tcPr>
            <w:tcW w:w="0" w:type="auto"/>
            <w:tcBorders>
              <w:bottom w:val="single" w:sz="12" w:space="0" w:color="000000"/>
            </w:tcBorders>
            <w:vAlign w:val="bottom"/>
            <w:hideMark/>
          </w:tcPr>
          <w:p w:rsidR="00000000" w:rsidRDefault="003A6737">
            <w:pPr>
              <w:pStyle w:val="a3"/>
              <w:spacing w:before="0" w:beforeAutospacing="0" w:after="0" w:afterAutospacing="0"/>
              <w:jc w:val="center"/>
              <w:rPr>
                <w:b/>
                <w:bCs/>
                <w:sz w:val="20"/>
                <w:szCs w:val="20"/>
              </w:rPr>
            </w:pPr>
            <w:r>
              <w:rPr>
                <w:b/>
                <w:bCs/>
                <w:sz w:val="20"/>
                <w:szCs w:val="20"/>
              </w:rPr>
              <w:t>Years ending</w:t>
            </w:r>
          </w:p>
          <w:p w:rsidR="00000000" w:rsidRDefault="003A6737">
            <w:pPr>
              <w:pStyle w:val="a3"/>
              <w:spacing w:before="0" w:beforeAutospacing="0" w:after="0" w:afterAutospacing="0"/>
              <w:jc w:val="center"/>
              <w:rPr>
                <w:b/>
                <w:bCs/>
                <w:sz w:val="20"/>
                <w:szCs w:val="20"/>
              </w:rPr>
            </w:pPr>
            <w:r>
              <w:rPr>
                <w:b/>
                <w:bCs/>
                <w:sz w:val="20"/>
                <w:szCs w:val="20"/>
              </w:rPr>
              <w:t>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b/>
                <w:bCs/>
                <w:sz w:val="20"/>
                <w:szCs w:val="20"/>
              </w:rPr>
            </w:pPr>
            <w:r>
              <w:rPr>
                <w:b/>
                <w:bCs/>
                <w:sz w:val="20"/>
                <w:szCs w:val="20"/>
              </w:rPr>
              <w:t>Line of</w:t>
            </w:r>
          </w:p>
          <w:p w:rsidR="00000000" w:rsidRDefault="003A6737">
            <w:pPr>
              <w:pStyle w:val="a3"/>
              <w:spacing w:before="0" w:beforeAutospacing="0" w:after="0" w:afterAutospacing="0"/>
              <w:jc w:val="center"/>
              <w:rPr>
                <w:b/>
                <w:bCs/>
                <w:sz w:val="20"/>
                <w:szCs w:val="20"/>
              </w:rPr>
            </w:pPr>
            <w:r>
              <w:rPr>
                <w:b/>
                <w:bCs/>
                <w:sz w:val="20"/>
                <w:szCs w:val="20"/>
              </w:rPr>
              <w:t>Credit*</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b/>
                <w:bCs/>
                <w:sz w:val="20"/>
                <w:szCs w:val="20"/>
              </w:rPr>
            </w:pPr>
            <w:r>
              <w:rPr>
                <w:b/>
                <w:bCs/>
                <w:sz w:val="20"/>
                <w:szCs w:val="20"/>
              </w:rPr>
              <w:t>Vehicle</w:t>
            </w:r>
          </w:p>
          <w:p w:rsidR="00000000" w:rsidRDefault="003A6737">
            <w:pPr>
              <w:pStyle w:val="a3"/>
              <w:spacing w:before="0" w:beforeAutospacing="0" w:after="0" w:afterAutospacing="0"/>
              <w:jc w:val="center"/>
              <w:rPr>
                <w:b/>
                <w:bCs/>
                <w:sz w:val="20"/>
                <w:szCs w:val="20"/>
              </w:rPr>
            </w:pPr>
            <w:r>
              <w:rPr>
                <w:b/>
                <w:bCs/>
                <w:sz w:val="20"/>
                <w:szCs w:val="20"/>
              </w:rPr>
              <w:t>Financing</w:t>
            </w:r>
          </w:p>
          <w:p w:rsidR="00000000" w:rsidRDefault="003A6737">
            <w:pPr>
              <w:pStyle w:val="a3"/>
              <w:spacing w:before="0" w:beforeAutospacing="0" w:after="0" w:afterAutospacing="0"/>
              <w:jc w:val="center"/>
              <w:rPr>
                <w:b/>
                <w:bCs/>
                <w:sz w:val="20"/>
                <w:szCs w:val="20"/>
              </w:rPr>
            </w:pPr>
            <w:r>
              <w:rPr>
                <w:b/>
                <w:bCs/>
                <w:sz w:val="20"/>
                <w:szCs w:val="20"/>
              </w:rPr>
              <w:t>Notes</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b/>
                <w:bCs/>
                <w:sz w:val="20"/>
                <w:szCs w:val="20"/>
              </w:rPr>
            </w:pPr>
            <w:r>
              <w:rPr>
                <w:b/>
                <w:bCs/>
                <w:sz w:val="20"/>
                <w:szCs w:val="20"/>
              </w:rPr>
              <w:t>Insurance</w:t>
            </w:r>
          </w:p>
          <w:p w:rsidR="00000000" w:rsidRDefault="003A6737">
            <w:pPr>
              <w:pStyle w:val="a3"/>
              <w:spacing w:before="0" w:beforeAutospacing="0" w:after="0" w:afterAutospacing="0"/>
              <w:jc w:val="center"/>
              <w:rPr>
                <w:b/>
                <w:bCs/>
                <w:sz w:val="20"/>
                <w:szCs w:val="20"/>
              </w:rPr>
            </w:pPr>
            <w:r>
              <w:rPr>
                <w:b/>
                <w:bCs/>
                <w:sz w:val="20"/>
                <w:szCs w:val="20"/>
              </w:rPr>
              <w:t>Financing</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14"/>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1100" w:type="pct"/>
            <w:shd w:val="clear" w:color="auto" w:fill="CCEEFF"/>
            <w:vAlign w:val="bottom"/>
            <w:hideMark/>
          </w:tcPr>
          <w:p w:rsidR="00000000" w:rsidRDefault="003A6737">
            <w:pPr>
              <w:rPr>
                <w:rFonts w:eastAsia="Times New Roman"/>
                <w:sz w:val="20"/>
                <w:szCs w:val="20"/>
              </w:rPr>
            </w:pPr>
            <w:r>
              <w:rPr>
                <w:rFonts w:eastAsia="Times New Roman"/>
                <w:sz w:val="20"/>
                <w:szCs w:val="20"/>
              </w:rPr>
              <w:t>2023</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7</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312</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319</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2024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2025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8,000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8,005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2026</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8,000</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20</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312</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8,332</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0"/>
        <w:gridCol w:w="8006"/>
      </w:tblGrid>
      <w:tr w:rsidR="00000000">
        <w:trPr>
          <w:tblCellSpacing w:w="0" w:type="dxa"/>
        </w:trPr>
        <w:tc>
          <w:tcPr>
            <w:tcW w:w="300" w:type="dxa"/>
            <w:hideMark/>
          </w:tcPr>
          <w:p w:rsidR="00000000" w:rsidRDefault="003A6737">
            <w:pPr>
              <w:spacing w:after="120"/>
              <w:jc w:val="right"/>
              <w:rPr>
                <w:rFonts w:eastAsia="Times New Roman"/>
                <w:sz w:val="20"/>
                <w:szCs w:val="20"/>
              </w:rPr>
            </w:pPr>
            <w:r>
              <w:rPr>
                <w:rFonts w:eastAsia="Times New Roman"/>
                <w:sz w:val="20"/>
                <w:szCs w:val="20"/>
              </w:rPr>
              <w:t>*</w:t>
            </w:r>
          </w:p>
        </w:tc>
        <w:tc>
          <w:tcPr>
            <w:tcW w:w="0" w:type="auto"/>
            <w:hideMark/>
          </w:tcPr>
          <w:p w:rsidR="00000000" w:rsidRDefault="003A6737">
            <w:pPr>
              <w:spacing w:after="120"/>
              <w:jc w:val="both"/>
              <w:rPr>
                <w:rFonts w:eastAsia="Times New Roman"/>
                <w:sz w:val="20"/>
                <w:szCs w:val="20"/>
              </w:rPr>
            </w:pPr>
            <w:r>
              <w:rPr>
                <w:rFonts w:eastAsia="Times New Roman"/>
                <w:sz w:val="20"/>
                <w:szCs w:val="20"/>
              </w:rPr>
              <w:t>The line of credit was repaid after the year-end</w:t>
            </w:r>
            <w:r>
              <w:rPr>
                <w:rFonts w:eastAsia="Times New Roman"/>
                <w:sz w:val="20"/>
                <w:szCs w:val="20"/>
              </w:rPr>
              <w:t>.</w:t>
            </w:r>
          </w:p>
        </w:tc>
      </w:tr>
    </w:tbl>
    <w:p w:rsidR="00000000" w:rsidRDefault="003A6737">
      <w:pPr>
        <w:pStyle w:val="a3"/>
        <w:spacing w:before="0" w:beforeAutospacing="0" w:after="0" w:afterAutospacing="0"/>
        <w:ind w:left="475" w:hanging="475"/>
        <w:jc w:val="both"/>
        <w:rPr>
          <w:sz w:val="20"/>
          <w:szCs w:val="20"/>
        </w:rPr>
      </w:pPr>
      <w:r>
        <w:rPr>
          <w:b/>
          <w:bCs/>
          <w:sz w:val="20"/>
          <w:szCs w:val="20"/>
        </w:rPr>
        <w:t> </w:t>
      </w:r>
    </w:p>
    <w:p w:rsidR="00000000" w:rsidRDefault="003A6737">
      <w:pPr>
        <w:pStyle w:val="a3"/>
        <w:spacing w:before="0" w:beforeAutospacing="0" w:after="0" w:afterAutospacing="0"/>
        <w:rPr>
          <w:sz w:val="20"/>
          <w:szCs w:val="20"/>
        </w:rPr>
      </w:pPr>
      <w:r>
        <w:rPr>
          <w:b/>
          <w:bCs/>
          <w:sz w:val="20"/>
          <w:szCs w:val="20"/>
        </w:rPr>
        <w:t>9.</w:t>
      </w:r>
      <w:r>
        <w:rPr>
          <w:sz w:val="20"/>
          <w:szCs w:val="20"/>
        </w:rPr>
        <w:t xml:space="preserve"> </w:t>
      </w:r>
      <w:r>
        <w:rPr>
          <w:b/>
          <w:bCs/>
          <w:sz w:val="20"/>
          <w:szCs w:val="20"/>
        </w:rPr>
        <w:t>REVENU</w:t>
      </w:r>
      <w:r>
        <w:rPr>
          <w:b/>
          <w:bCs/>
          <w:sz w:val="20"/>
          <w:szCs w:val="20"/>
        </w:rPr>
        <w:t>E</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Introduction</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 xml:space="preserve">Company accounts for revenue in accordance with ASC 606, </w:t>
      </w:r>
      <w:r>
        <w:rPr>
          <w:i/>
          <w:iCs/>
          <w:sz w:val="20"/>
          <w:szCs w:val="20"/>
        </w:rPr>
        <w:t>Revenue from Contracts with Customers</w:t>
      </w:r>
      <w:r>
        <w:rPr>
          <w:sz w:val="20"/>
          <w:szCs w:val="20"/>
        </w:rPr>
        <w:t>. All revenue is recognized as our performance obligations are satisfied. A performance obligation is a promise in a contract to transfer a distinct good or servi</w:t>
      </w:r>
      <w:r>
        <w:rPr>
          <w:sz w:val="20"/>
          <w:szCs w:val="20"/>
        </w:rPr>
        <w:t>ce to a customer, and is the unit of account under ASC 606. The Company recognizes revenue when the revenue cycle management services begin on the medical billing claims, which is generally upon receipt of the claim from the provider. For many services the</w:t>
      </w:r>
      <w:r>
        <w:rPr>
          <w:sz w:val="20"/>
          <w:szCs w:val="20"/>
        </w:rPr>
        <w:t xml:space="preserve"> Company recognizes revenue as a percent of the amount the customer collects on the medical billing claims. The Company’s software is utilized at the time the provider sees the patient, and the Company estimates the value of the consideration it will earn </w:t>
      </w:r>
      <w:r>
        <w:rPr>
          <w:sz w:val="20"/>
          <w:szCs w:val="20"/>
        </w:rPr>
        <w:t>over the remaining contractual period as our services are provided and recognizes the fees over the term; this estimation involves predicting the amounts our clients will ultimately collect associated with the services they provided. Certain significant es</w:t>
      </w:r>
      <w:r>
        <w:rPr>
          <w:sz w:val="20"/>
          <w:szCs w:val="20"/>
        </w:rPr>
        <w:t>timates, such as payment-to-charge ratios, effective billing rates and the estimated contractual payment periods are required to measure revenue cycle management revenue under the new standard.</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Most </w:t>
      </w:r>
      <w:r>
        <w:rPr>
          <w:sz w:val="20"/>
          <w:szCs w:val="20"/>
        </w:rPr>
        <w:t xml:space="preserve">of our current contracts with customers contain a single performance obligation. For contracts where we provide multiple services, such as where we perform multiple ancillary services, each service represents its own performance obligation. The standalone </w:t>
      </w:r>
      <w:r>
        <w:rPr>
          <w:sz w:val="20"/>
          <w:szCs w:val="20"/>
        </w:rPr>
        <w:t>selling prices are based on the contractual price for the service.</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i/>
          <w:iCs/>
          <w:sz w:val="20"/>
          <w:szCs w:val="20"/>
        </w:rPr>
      </w:pPr>
      <w:r>
        <w:rPr>
          <w:sz w:val="20"/>
          <w:szCs w:val="20"/>
        </w:rPr>
        <w:t>We apply the portfolio approach as permitted by ASC 606 as a practical expedient to contracts with similar characteristics and we use estimates and assumptions when accounting for those p</w:t>
      </w:r>
      <w:r>
        <w:rPr>
          <w:sz w:val="20"/>
          <w:szCs w:val="20"/>
        </w:rPr>
        <w:t>ortfolios. Our contracts generally include standard commercial payment terms. We have no significant obligations for refunds, warranties or similar obligations and our revenue does not include taxes collected from our customers.</w:t>
      </w:r>
    </w:p>
    <w:p w:rsidR="00000000" w:rsidRDefault="003A6737">
      <w:pPr>
        <w:pStyle w:val="a3"/>
        <w:spacing w:before="0" w:beforeAutospacing="0" w:after="0" w:afterAutospacing="0"/>
        <w:jc w:val="center"/>
        <w:rPr>
          <w:i/>
          <w:iCs/>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79411178"/>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i/>
          <w:iCs/>
          <w:sz w:val="20"/>
          <w:szCs w:val="20"/>
        </w:rPr>
        <w:t> </w:t>
      </w:r>
    </w:p>
    <w:p w:rsidR="00000000" w:rsidRDefault="003A6737">
      <w:pPr>
        <w:pStyle w:val="a3"/>
        <w:spacing w:before="0" w:beforeAutospacing="0" w:after="0" w:afterAutospacing="0"/>
        <w:rPr>
          <w:i/>
          <w:iCs/>
          <w:sz w:val="20"/>
          <w:szCs w:val="20"/>
        </w:rPr>
      </w:pPr>
      <w:r>
        <w:rPr>
          <w:i/>
          <w:iCs/>
          <w:sz w:val="20"/>
          <w:szCs w:val="20"/>
        </w:rPr>
        <w:t>Disaggregatio</w:t>
      </w:r>
      <w:r>
        <w:rPr>
          <w:i/>
          <w:iCs/>
          <w:sz w:val="20"/>
          <w:szCs w:val="20"/>
        </w:rPr>
        <w:t>n of Revenue from Contracts with Customers</w:t>
      </w:r>
    </w:p>
    <w:p w:rsidR="00000000" w:rsidRDefault="003A6737">
      <w:pPr>
        <w:pStyle w:val="a3"/>
        <w:shd w:val="clear" w:color="auto" w:fill="FFFFFF"/>
        <w:spacing w:before="0" w:beforeAutospacing="0" w:after="0" w:afterAutospacing="0"/>
        <w:jc w:val="both"/>
        <w:rPr>
          <w:sz w:val="20"/>
          <w:szCs w:val="20"/>
        </w:rPr>
      </w:pPr>
      <w:r>
        <w:rPr>
          <w:sz w:val="20"/>
          <w:szCs w:val="20"/>
        </w:rPr>
        <w:t>We derive revenue from five primary sources: (1) Technology-enabled business solutions, (2) professional services, (3) printing and mailing services, (4) group purchasing services and (5) medical practice manageme</w:t>
      </w:r>
      <w:r>
        <w:rPr>
          <w:sz w:val="20"/>
          <w:szCs w:val="20"/>
        </w:rPr>
        <w:t>nt services.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The following table represents a disaggregation of revenue for the years ended December 31, 2022 and 2021:</w:t>
      </w:r>
    </w:p>
    <w:p w:rsidR="00000000" w:rsidRDefault="003A6737">
      <w:pPr>
        <w:pStyle w:val="a3"/>
        <w:shd w:val="clear" w:color="auto" w:fill="FFFFFF"/>
        <w:spacing w:before="0" w:beforeAutospacing="0" w:after="0" w:afterAutospacing="0"/>
        <w:jc w:val="both"/>
        <w:rPr>
          <w:sz w:val="20"/>
          <w:szCs w:val="20"/>
        </w:rPr>
      </w:pPr>
      <w:r>
        <w:rPr>
          <w:sz w:val="20"/>
          <w:szCs w:val="20"/>
        </w:rPr>
        <w:t> </w:t>
      </w:r>
      <w:r>
        <w:rPr>
          <w:vanish/>
          <w:sz w:val="20"/>
          <w:szCs w:val="20"/>
        </w:rPr>
        <w:t>SCHEDULE OF DISAGGREGATION OF REVENU</w:t>
      </w:r>
      <w:r>
        <w:rPr>
          <w:vanish/>
          <w:sz w:val="20"/>
          <w:szCs w:val="20"/>
        </w:rPr>
        <w:t>E</w:t>
      </w:r>
    </w:p>
    <w:tbl>
      <w:tblPr>
        <w:tblW w:w="4000" w:type="pct"/>
        <w:tblCellMar>
          <w:left w:w="0" w:type="dxa"/>
          <w:right w:w="0" w:type="dxa"/>
        </w:tblCellMar>
        <w:tblLook w:val="04A0" w:firstRow="1" w:lastRow="0" w:firstColumn="1" w:lastColumn="0" w:noHBand="0" w:noVBand="1"/>
      </w:tblPr>
      <w:tblGrid>
        <w:gridCol w:w="3977"/>
        <w:gridCol w:w="123"/>
        <w:gridCol w:w="100"/>
        <w:gridCol w:w="1053"/>
        <w:gridCol w:w="57"/>
        <w:gridCol w:w="124"/>
        <w:gridCol w:w="100"/>
        <w:gridCol w:w="1054"/>
        <w:gridCol w:w="57"/>
      </w:tblGrid>
      <w:tr w:rsidR="00000000">
        <w:trPr>
          <w:hidden/>
        </w:trPr>
        <w:tc>
          <w:tcPr>
            <w:tcW w:w="0" w:type="auto"/>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b/>
                <w:bCs/>
                <w:sz w:val="20"/>
                <w:szCs w:val="20"/>
              </w:rPr>
            </w:pPr>
            <w:r>
              <w:rPr>
                <w:rFonts w:eastAsia="Times New Roman"/>
                <w:b/>
                <w:bCs/>
                <w:sz w:val="20"/>
                <w:szCs w:val="20"/>
              </w:rPr>
              <w:t>Healthcare IT: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Technology-enabled business solutions</w:t>
            </w:r>
          </w:p>
        </w:tc>
        <w:tc>
          <w:tcPr>
            <w:tcW w:w="10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3A6737">
            <w:pPr>
              <w:jc w:val="right"/>
              <w:rPr>
                <w:rFonts w:eastAsia="Times New Roman"/>
                <w:sz w:val="20"/>
                <w:szCs w:val="20"/>
              </w:rPr>
            </w:pPr>
            <w:r>
              <w:rPr>
                <w:rFonts w:eastAsia="Times New Roman"/>
                <w:sz w:val="20"/>
                <w:szCs w:val="20"/>
              </w:rPr>
              <w:t>88,140</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3A6737">
            <w:pPr>
              <w:jc w:val="right"/>
              <w:rPr>
                <w:rFonts w:eastAsia="Times New Roman"/>
                <w:sz w:val="20"/>
                <w:szCs w:val="20"/>
              </w:rPr>
            </w:pPr>
            <w:r>
              <w:rPr>
                <w:rFonts w:eastAsia="Times New Roman"/>
                <w:sz w:val="20"/>
                <w:szCs w:val="20"/>
              </w:rPr>
              <w:t>105,531</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Professional services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33,984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19,044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Printing and mailing services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2,207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1,538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Group purchasing services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945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967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b/>
                <w:bCs/>
                <w:sz w:val="20"/>
                <w:szCs w:val="20"/>
              </w:rPr>
            </w:pPr>
            <w:r>
              <w:rPr>
                <w:rFonts w:eastAsia="Times New Roman"/>
                <w:b/>
                <w:bCs/>
                <w:sz w:val="20"/>
                <w:szCs w:val="20"/>
              </w:rPr>
              <w:t>Medical Practice Management: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Medical practice management services</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13,550</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12,519</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138,826</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139,599</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rPr>
          <w:hidden/>
        </w:trPr>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Revenues</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vanish/>
                <w:sz w:val="20"/>
                <w:szCs w:val="20"/>
              </w:rPr>
            </w:pPr>
            <w:r>
              <w:rPr>
                <w:rFonts w:eastAsia="Times New Roman"/>
                <w:vanish/>
                <w:sz w:val="20"/>
                <w:szCs w:val="20"/>
              </w:rPr>
              <w:t>138,826</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vanish/>
                <w:sz w:val="20"/>
                <w:szCs w:val="20"/>
              </w:rPr>
            </w:pPr>
            <w:r>
              <w:rPr>
                <w:rFonts w:eastAsia="Times New Roman"/>
                <w:vanish/>
                <w:sz w:val="20"/>
                <w:szCs w:val="20"/>
              </w:rPr>
              <w:t>139,599</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r>
    </w:tbl>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i/>
          <w:iCs/>
          <w:sz w:val="20"/>
          <w:szCs w:val="20"/>
        </w:rPr>
        <w:t>Technology-enabled business solutions:</w:t>
      </w:r>
    </w:p>
    <w:p w:rsidR="00000000" w:rsidRDefault="003A6737">
      <w:pPr>
        <w:pStyle w:val="a3"/>
        <w:spacing w:before="0" w:beforeAutospacing="0" w:after="0" w:afterAutospacing="0"/>
        <w:jc w:val="both"/>
        <w:rPr>
          <w:sz w:val="20"/>
          <w:szCs w:val="20"/>
        </w:rPr>
      </w:pPr>
      <w:r>
        <w:rPr>
          <w:sz w:val="20"/>
          <w:szCs w:val="20"/>
        </w:rPr>
        <w:t>Revenue derived on an on-going basis from our technology-enabled solutions, which typically includes revenue cycle management services, is billed as a percentage of payments collected by our customers. The fee for our</w:t>
      </w:r>
      <w:r>
        <w:rPr>
          <w:sz w:val="20"/>
          <w:szCs w:val="20"/>
        </w:rPr>
        <w:t xml:space="preserve"> services often includes the ability to use our EHR and practice management software as well as RCM as part of the bundled fee.</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Technology-assisted revenue cycle management services are the recurring process of submitting and following up on claims with </w:t>
      </w:r>
      <w:r>
        <w:rPr>
          <w:sz w:val="20"/>
          <w:szCs w:val="20"/>
        </w:rPr>
        <w:t>health insurance companies in order for the healthcare providers to receive payment for the services they rendered. The Company typically invoices customers on a monthly basis based on the actual collections received by its customers and the agreed-upon ra</w:t>
      </w:r>
      <w:r>
        <w:rPr>
          <w:sz w:val="20"/>
          <w:szCs w:val="20"/>
        </w:rPr>
        <w:t>te in the sales contract. The fee for these services typically includes use of practice management software and related tools (on a SaaS basis), electronic health records (on a SaaS basis), medical billing services and use of mobile health solutions. We co</w:t>
      </w:r>
      <w:r>
        <w:rPr>
          <w:sz w:val="20"/>
          <w:szCs w:val="20"/>
        </w:rPr>
        <w:t>nsider the services to be one performance obligation since the promises are not distinct in the context of the contract. The performance obligation consists of a series of distinct services that are substantially the same and have the same periodic pattern</w:t>
      </w:r>
      <w:r>
        <w:rPr>
          <w:sz w:val="20"/>
          <w:szCs w:val="20"/>
        </w:rPr>
        <w:t xml:space="preserve"> of transfer to our customers.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In many cases, our clients may terminate their agreements with 90 days’ notice without cause, thereby limiting the term in which we have enforceable rights and obligations, although this time period can vary between clients</w:t>
      </w:r>
      <w:r>
        <w:rPr>
          <w:sz w:val="20"/>
          <w:szCs w:val="20"/>
        </w:rPr>
        <w:t>. Our payment terms are normally net 30 days. Although our contracts typically have stated terms of one or more years, under ASC 606 our contracts are considered month-to-month and accordingly, there is no financing component.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For the majority of our rev</w:t>
      </w:r>
      <w:r>
        <w:rPr>
          <w:sz w:val="20"/>
          <w:szCs w:val="20"/>
        </w:rPr>
        <w:t>enue cycle management contracts, the total transaction price is variable because our obligation is to process an unknown quantity of claims, as and when requested by our customers over the contract period. When a contract includes variable consideration, w</w:t>
      </w:r>
      <w:r>
        <w:rPr>
          <w:sz w:val="20"/>
          <w:szCs w:val="20"/>
        </w:rPr>
        <w:t>e evaluate the estimate of the variable consideration to determine whether the estimate needs to be constrained; therefore, we include variable consideration in the transaction price only to the extent that it is probable that a significant reversal of the</w:t>
      </w:r>
      <w:r>
        <w:rPr>
          <w:sz w:val="20"/>
          <w:szCs w:val="20"/>
        </w:rPr>
        <w:t xml:space="preserve"> amount of cumulative revenue recognized will not occur when the uncertainty associated with variable consideration is subsequently resolved. Estimates to determine variable consideration such as payment to charge ratios, effective billing rates, and the e</w:t>
      </w:r>
      <w:r>
        <w:rPr>
          <w:sz w:val="20"/>
          <w:szCs w:val="20"/>
        </w:rPr>
        <w:t>stimated contractual payment periods are updated at each reporting date. Revenue is recognized over the performance period using the input method.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proprietary, cloud-based practice management application automates the labor-intensive workflow of a me</w:t>
      </w:r>
      <w:r>
        <w:rPr>
          <w:sz w:val="20"/>
          <w:szCs w:val="20"/>
        </w:rPr>
        <w:t>dical office in a unified and streamlined SaaS platform. The Company has a large number of clients who utilize the Company’s practice management software, electronic health records software, patient experience management solutions, business intelligence so</w:t>
      </w:r>
      <w:r>
        <w:rPr>
          <w:sz w:val="20"/>
          <w:szCs w:val="20"/>
        </w:rPr>
        <w:t>ftware and/or robotic process automation software on a SaaS basis, but who do not utilize the Company’s revenue cycle management services. SaaS fees may be fixed based on the number of providers, or may be variable.</w:t>
      </w:r>
    </w:p>
    <w:p w:rsidR="00000000" w:rsidRDefault="003A6737">
      <w:pPr>
        <w:pStyle w:val="a3"/>
        <w:shd w:val="clear" w:color="auto" w:fill="FFFFFF"/>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78440233"/>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medical billing clearinghouse service takes claim information from customers, checks the claims for errors and sends this information electronically to insurance companies. The Company invoices customers on a monthly basis based on the number of claims sub</w:t>
      </w:r>
      <w:r>
        <w:rPr>
          <w:sz w:val="20"/>
          <w:szCs w:val="20"/>
        </w:rPr>
        <w:t>mitted and the agreed-upon rate in the agreement. This service is provided to medical practices and providers to medical practices who are not revenue cycle management customers. The performance obligation is satisfied once the relevant submissions are com</w:t>
      </w:r>
      <w:r>
        <w:rPr>
          <w:sz w:val="20"/>
          <w:szCs w:val="20"/>
        </w:rPr>
        <w:t>pleted.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Additional services such as coding and transcription are rendered in connection with the delivery of revenue cycle management and related medical services. The Company invoices customers monthly, based on the actual amount of services performed a</w:t>
      </w:r>
      <w:r>
        <w:rPr>
          <w:sz w:val="20"/>
          <w:szCs w:val="20"/>
        </w:rPr>
        <w:t>t the agreed-upon rate in the contract. These services are only offered to revenue cycle management customers. These services do not represent a material right because the services are optional to the customer and customers electing these services are char</w:t>
      </w:r>
      <w:r>
        <w:rPr>
          <w:sz w:val="20"/>
          <w:szCs w:val="20"/>
        </w:rPr>
        <w:t>ged the same price for those services as if they were on a standalone basis. Each individual coding or transcription transaction processed represents a performance obligation, which is satisfied over time as that individual service is rendered.</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Digital h</w:t>
      </w:r>
      <w:r>
        <w:rPr>
          <w:i/>
          <w:iCs/>
          <w:sz w:val="20"/>
          <w:szCs w:val="20"/>
        </w:rPr>
        <w:t>ealth services:</w:t>
      </w:r>
    </w:p>
    <w:p w:rsidR="00000000" w:rsidRDefault="003A6737">
      <w:pPr>
        <w:pStyle w:val="a3"/>
        <w:shd w:val="clear" w:color="auto" w:fill="FFFFFF"/>
        <w:spacing w:before="0" w:beforeAutospacing="0" w:after="0" w:afterAutospacing="0"/>
        <w:jc w:val="both"/>
        <w:rPr>
          <w:sz w:val="20"/>
          <w:szCs w:val="20"/>
        </w:rPr>
      </w:pPr>
      <w:r>
        <w:rPr>
          <w:sz w:val="20"/>
          <w:szCs w:val="20"/>
        </w:rPr>
        <w:t>Our digital health services, which began generating revenue in 2022, include chronic care management, where a care manager has remote visits with patients with one or more chronic conditions under the supervision of a physician who is our c</w:t>
      </w:r>
      <w:r>
        <w:rPr>
          <w:sz w:val="20"/>
          <w:szCs w:val="20"/>
        </w:rPr>
        <w:t>lient. It also includes remote patient monitoring where our system monitors recordings from FDA approved internet connected devices. These devices record patient trends and alerts the physician to changes which might trigger the need for additional follow-</w:t>
      </w:r>
      <w:r>
        <w:rPr>
          <w:sz w:val="20"/>
          <w:szCs w:val="20"/>
        </w:rPr>
        <w:t xml:space="preserve">up visits. The performance obligation for chronic care management is satisfied at a point in time once the patient receives the services. The performance obligation for remote patient monitoring is satisfied over time as the patient receives the services. </w:t>
      </w:r>
      <w:r>
        <w:rPr>
          <w:sz w:val="20"/>
          <w:szCs w:val="20"/>
        </w:rPr>
        <w:t>The revenue for these services for the year ended December 31, 2022 was not material.</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i/>
          <w:iCs/>
          <w:sz w:val="20"/>
          <w:szCs w:val="20"/>
        </w:rPr>
        <w:t>Professional services:</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Our professional services include an extensive set of services including EHR vendor-agnostic optimization and activation, project management, IT </w:t>
      </w:r>
      <w:r>
        <w:rPr>
          <w:sz w:val="20"/>
          <w:szCs w:val="20"/>
        </w:rPr>
        <w:t>transformation consulting, process improvement, training, education and staffing for large healthcare organizations including health systems and hospitals. The performance obligation is satisfied over time using the input method. The revenue is recorded on</w:t>
      </w:r>
      <w:r>
        <w:rPr>
          <w:sz w:val="20"/>
          <w:szCs w:val="20"/>
        </w:rPr>
        <w:t xml:space="preserve"> a monthly basis as the professional services are rendered.</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i/>
          <w:iCs/>
          <w:sz w:val="20"/>
          <w:szCs w:val="20"/>
        </w:rPr>
        <w:t>Printing and mailing services:</w:t>
      </w:r>
    </w:p>
    <w:p w:rsidR="00000000" w:rsidRDefault="003A6737">
      <w:pPr>
        <w:pStyle w:val="a3"/>
        <w:shd w:val="clear" w:color="auto" w:fill="FFFFFF"/>
        <w:spacing w:before="0" w:beforeAutospacing="0" w:after="0" w:afterAutospacing="0"/>
        <w:jc w:val="both"/>
        <w:rPr>
          <w:sz w:val="20"/>
          <w:szCs w:val="20"/>
        </w:rPr>
      </w:pPr>
      <w:r>
        <w:rPr>
          <w:sz w:val="20"/>
          <w:szCs w:val="20"/>
        </w:rPr>
        <w:t>The Company provides printing and mailing services for both revenue cycle management customers and a non- revenue cycle management customer, and invoices on a mont</w:t>
      </w:r>
      <w:r>
        <w:rPr>
          <w:sz w:val="20"/>
          <w:szCs w:val="20"/>
        </w:rPr>
        <w:t>hly basis based on the number of prints, the agreed-upon rate per print and the postage incurred. The performance obligation is satisfied once the printing and mailing is completed.</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i/>
          <w:iCs/>
          <w:sz w:val="20"/>
          <w:szCs w:val="20"/>
        </w:rPr>
        <w:t>Group purchasing services:</w:t>
      </w:r>
    </w:p>
    <w:p w:rsidR="00000000" w:rsidRDefault="003A6737">
      <w:pPr>
        <w:pStyle w:val="a3"/>
        <w:shd w:val="clear" w:color="auto" w:fill="FFFFFF"/>
        <w:spacing w:before="0" w:beforeAutospacing="0" w:after="0" w:afterAutospacing="0"/>
        <w:jc w:val="both"/>
        <w:rPr>
          <w:sz w:val="20"/>
          <w:szCs w:val="20"/>
        </w:rPr>
      </w:pPr>
      <w:r>
        <w:rPr>
          <w:sz w:val="20"/>
          <w:szCs w:val="20"/>
        </w:rPr>
        <w:t>The Company provides group purchasing service</w:t>
      </w:r>
      <w:r>
        <w:rPr>
          <w:sz w:val="20"/>
          <w:szCs w:val="20"/>
        </w:rPr>
        <w:t>s which enable medical providers to purchase various vaccines directly from selected pharmaceutical companies at a discounted price. Currently, there are approximately 4,000 medical providers who are members of the program. Revenue is recognized as the vac</w:t>
      </w:r>
      <w:r>
        <w:rPr>
          <w:sz w:val="20"/>
          <w:szCs w:val="20"/>
        </w:rPr>
        <w:t>cine shipments are made to the medical providers. Fees from the pharmaceutical companies are paid either quarterly or annually and the Company adjusts its revenue accrual at the time of payment. The Company makes significant judgments regarding the variabl</w:t>
      </w:r>
      <w:r>
        <w:rPr>
          <w:sz w:val="20"/>
          <w:szCs w:val="20"/>
        </w:rPr>
        <w:t>e consideration which we expect to be entitled to for the group purchasing services which includes the anticipated shipments to the members enrolled in the program, anticipated volumes of purchases made by the members, and the changes in the number of memb</w:t>
      </w:r>
      <w:r>
        <w:rPr>
          <w:sz w:val="20"/>
          <w:szCs w:val="20"/>
        </w:rPr>
        <w:t>ers. The amounts recorded are constrained by estimates of decreases in shipments and loss of members to avoid a significant revenue reversal in the subsequent period. The only performance obligation is to provide the pharmaceutical companies with the medic</w:t>
      </w:r>
      <w:r>
        <w:rPr>
          <w:sz w:val="20"/>
          <w:szCs w:val="20"/>
        </w:rPr>
        <w:t>al providers who want to become members in order to purchase vaccines. The performance obligation is satisfied once the medical provider agrees to purchase a specific quantity of vaccines and the medical provider’s information is forwarded to the vaccine s</w:t>
      </w:r>
      <w:r>
        <w:rPr>
          <w:sz w:val="20"/>
          <w:szCs w:val="20"/>
        </w:rPr>
        <w:t>uppliers. The Company records a contract asset for revenue earned and not paid as the ultimate payment is conditioned on achieving certain volume thresholds.</w:t>
      </w:r>
    </w:p>
    <w:p w:rsidR="00000000" w:rsidRDefault="003A6737">
      <w:pPr>
        <w:pStyle w:val="a3"/>
        <w:shd w:val="clear" w:color="auto" w:fill="FFFFFF"/>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34102203"/>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For </w:t>
      </w:r>
      <w:r>
        <w:rPr>
          <w:sz w:val="20"/>
          <w:szCs w:val="20"/>
        </w:rPr>
        <w:t>all of the above revenue streams other than group purchasing services, revenue is recognized over time, which is typically one month or less, which closely matches the point in time that the customer simultaneously receives and consumes the benefits provid</w:t>
      </w:r>
      <w:r>
        <w:rPr>
          <w:sz w:val="20"/>
          <w:szCs w:val="20"/>
        </w:rPr>
        <w:t>ed by the Company. For the group purchasing services, revenue is recognized at a point in time. Each service is substantially the same and has the same periodic pattern of transfer to the customer. Each of the services provided above is considered a separa</w:t>
      </w:r>
      <w:r>
        <w:rPr>
          <w:sz w:val="20"/>
          <w:szCs w:val="20"/>
        </w:rPr>
        <w:t>te performance obligation.</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i/>
          <w:iCs/>
          <w:sz w:val="20"/>
          <w:szCs w:val="20"/>
        </w:rPr>
        <w:t>Medical practice management services:</w:t>
      </w:r>
    </w:p>
    <w:p w:rsidR="00000000" w:rsidRDefault="003A6737">
      <w:pPr>
        <w:pStyle w:val="a3"/>
        <w:shd w:val="clear" w:color="auto" w:fill="FFFFFF"/>
        <w:spacing w:before="0" w:beforeAutospacing="0" w:after="0" w:afterAutospacing="0"/>
        <w:jc w:val="both"/>
        <w:rPr>
          <w:sz w:val="20"/>
          <w:szCs w:val="20"/>
        </w:rPr>
      </w:pPr>
      <w:r>
        <w:rPr>
          <w:sz w:val="20"/>
          <w:szCs w:val="20"/>
        </w:rPr>
        <w:t>The Company also provides medical practice management services under long-term management service agreements to three medical practices. We provide the medical practices with the nurses, ad</w:t>
      </w:r>
      <w:r>
        <w:rPr>
          <w:sz w:val="20"/>
          <w:szCs w:val="20"/>
        </w:rPr>
        <w:t xml:space="preserve">ministrative support, facilities, supplies, equipment, marketing, RCM, accounting, and other non-clinical services needed to efficiently operate their practices. Revenue is recognized as the services are provided to the medical practices. Revenue recorded </w:t>
      </w:r>
      <w:r>
        <w:rPr>
          <w:sz w:val="20"/>
          <w:szCs w:val="20"/>
        </w:rPr>
        <w:t>in the consolidated statements of operations represents the reimbursement of costs paid by the Company for the practices and the management fee earned each month for managing the practice. The management fee is based on either a fixed fee or a percentage o</w:t>
      </w:r>
      <w:r>
        <w:rPr>
          <w:sz w:val="20"/>
          <w:szCs w:val="20"/>
        </w:rPr>
        <w:t>f the net operating income.</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The Company assumes all financial risk for the performance of the managed medical practices. Revenue is impacted by the amount of the costs incurred by the practices and their operating income. The gross billing of the practic</w:t>
      </w:r>
      <w:r>
        <w:rPr>
          <w:sz w:val="20"/>
          <w:szCs w:val="20"/>
        </w:rPr>
        <w:t>es is impacted by billing rates, changes in current procedural terminology code reimbursement and collection trends which in turn impacts the management fee that the Company is entitled to. Billing rates are reviewed at least annually and adjusted based on</w:t>
      </w:r>
      <w:r>
        <w:rPr>
          <w:sz w:val="20"/>
          <w:szCs w:val="20"/>
        </w:rPr>
        <w:t xml:space="preserve"> current insurer reimbursement practices. The performance obligation is satisfied as the management services are provided.</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Our contracts for medical practice management services have approximately an additional 16 years remaining and are only cancellable</w:t>
      </w:r>
      <w:r>
        <w:rPr>
          <w:sz w:val="20"/>
          <w:szCs w:val="20"/>
        </w:rPr>
        <w:t xml:space="preserve"> under very limited circumstances. The Company receives a management fee each month for managing the day-to-day business operations of each medical group as a fixed fee or a percentage payment of the net operating income which is included in revenue in the</w:t>
      </w:r>
      <w:r>
        <w:rPr>
          <w:sz w:val="20"/>
          <w:szCs w:val="20"/>
        </w:rPr>
        <w:t xml:space="preserve"> consolidated statements of operations.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Our medical practice management services obligations consist of a series of distinct services that are substantially the same and have the same periodic pattern of transfer to our customers. Revenue is recognized o</w:t>
      </w:r>
      <w:r>
        <w:rPr>
          <w:sz w:val="20"/>
          <w:szCs w:val="20"/>
        </w:rPr>
        <w:t>ver time, however for reporting and convenience purposes, the management fee is computed at each month end.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i/>
          <w:iCs/>
          <w:sz w:val="20"/>
          <w:szCs w:val="20"/>
        </w:rPr>
        <w:t>Information about contract balances:</w:t>
      </w:r>
    </w:p>
    <w:p w:rsidR="00000000" w:rsidRDefault="003A6737">
      <w:pPr>
        <w:pStyle w:val="a3"/>
        <w:spacing w:before="0" w:beforeAutospacing="0" w:after="0" w:afterAutospacing="0"/>
        <w:jc w:val="both"/>
        <w:rPr>
          <w:sz w:val="20"/>
          <w:szCs w:val="20"/>
        </w:rPr>
      </w:pPr>
      <w:r>
        <w:rPr>
          <w:sz w:val="20"/>
          <w:szCs w:val="20"/>
        </w:rPr>
        <w:t>As of December 31, 2022, the estimated revenue expected to be recognized in the future related to the remaini</w:t>
      </w:r>
      <w:r>
        <w:rPr>
          <w:sz w:val="20"/>
          <w:szCs w:val="20"/>
        </w:rPr>
        <w:t xml:space="preserve">ng revenue cycle management performance obligations outstanding was approximately </w:t>
      </w:r>
      <w:r>
        <w:rPr>
          <w:sz w:val="20"/>
          <w:szCs w:val="20"/>
        </w:rPr>
        <w:t>$</w:t>
      </w:r>
      <w:r>
        <w:rPr>
          <w:sz w:val="20"/>
          <w:szCs w:val="20"/>
        </w:rPr>
        <w:t>4</w:t>
      </w:r>
      <w:r>
        <w:rPr>
          <w:sz w:val="20"/>
          <w:szCs w:val="20"/>
        </w:rPr>
        <w:t xml:space="preserve"> million. We expect to recognize substantially all of the revenue for the remaining performance obligations over the next</w:t>
      </w:r>
      <w:r>
        <w:rPr>
          <w:sz w:val="20"/>
          <w:szCs w:val="20"/>
        </w:rPr>
        <w:t xml:space="preserve"> </w:t>
      </w:r>
      <w:r>
        <w:rPr>
          <w:sz w:val="20"/>
          <w:szCs w:val="20"/>
        </w:rPr>
        <w:t>three month</w:t>
      </w:r>
      <w:r>
        <w:rPr>
          <w:sz w:val="20"/>
          <w:szCs w:val="20"/>
        </w:rPr>
        <w:t>s</w:t>
      </w:r>
      <w:r>
        <w:rPr>
          <w:sz w:val="20"/>
          <w:szCs w:val="20"/>
        </w:rPr>
        <w:t xml:space="preserve">. Approximately </w:t>
      </w:r>
      <w:r>
        <w:rPr>
          <w:sz w:val="20"/>
          <w:szCs w:val="20"/>
        </w:rPr>
        <w:t>$</w:t>
      </w:r>
      <w:r>
        <w:rPr>
          <w:sz w:val="20"/>
          <w:szCs w:val="20"/>
        </w:rPr>
        <w:t>371,00</w:t>
      </w:r>
      <w:r>
        <w:rPr>
          <w:sz w:val="20"/>
          <w:szCs w:val="20"/>
        </w:rPr>
        <w:t>0</w:t>
      </w:r>
      <w:r>
        <w:rPr>
          <w:sz w:val="20"/>
          <w:szCs w:val="20"/>
        </w:rPr>
        <w:t xml:space="preserve"> of the contra</w:t>
      </w:r>
      <w:r>
        <w:rPr>
          <w:sz w:val="20"/>
          <w:szCs w:val="20"/>
        </w:rPr>
        <w:t>ct asset represents revenue earned, not paid, from the group purchasing services.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Amounts </w:t>
      </w:r>
      <w:r>
        <w:rPr>
          <w:sz w:val="20"/>
          <w:szCs w:val="20"/>
        </w:rPr>
        <w:t>that we are entitled to collect under the applicable contract are recorded as accounts receivable. Invoicing is performed at the end of each month when the services have been provided. The contract asset includes our right to payment for services already t</w:t>
      </w:r>
      <w:r>
        <w:rPr>
          <w:sz w:val="20"/>
          <w:szCs w:val="20"/>
        </w:rPr>
        <w:t xml:space="preserve">ransferred to a customer when the right to payment is conditional on something other than the passage of time. For example, contracts for revenue cycle management services where we recognize revenue over time but do not have a contractual right to payment </w:t>
      </w:r>
      <w:r>
        <w:rPr>
          <w:sz w:val="20"/>
          <w:szCs w:val="20"/>
        </w:rPr>
        <w:t>until the customer receives payment of their claim from the insurance provider. The contract asset also includes the revenue accrued, not received, for the group purchasing services.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Changes in the contract asset are recorded as adjustments to net revenu</w:t>
      </w:r>
      <w:r>
        <w:rPr>
          <w:sz w:val="20"/>
          <w:szCs w:val="20"/>
        </w:rPr>
        <w:t>e. The changes primarily result from providing services to revenue cycle management customers that result in additional consideration and are offset by our right to payment for services becoming unconditional and changes in the revenue accrued for the grou</w:t>
      </w:r>
      <w:r>
        <w:rPr>
          <w:sz w:val="20"/>
          <w:szCs w:val="20"/>
        </w:rPr>
        <w:t>p purchasing services. The contract asset for our group purchasing services is reduced when we receive payments from vaccine manufacturers and is increased for revenue earned, not received. The opening and closing balances of the Company’s accounts receiva</w:t>
      </w:r>
      <w:r>
        <w:rPr>
          <w:sz w:val="20"/>
          <w:szCs w:val="20"/>
        </w:rPr>
        <w:t>ble, contract asset and deferred revenue are as follows:</w:t>
      </w:r>
    </w:p>
    <w:p w:rsidR="00000000" w:rsidRDefault="003A6737">
      <w:pPr>
        <w:pStyle w:val="a3"/>
        <w:spacing w:before="0" w:beforeAutospacing="0" w:after="0" w:afterAutospacing="0"/>
        <w:jc w:val="both"/>
        <w:rPr>
          <w:sz w:val="20"/>
          <w:szCs w:val="20"/>
        </w:rPr>
      </w:pPr>
      <w:r>
        <w:rPr>
          <w:sz w:val="20"/>
          <w:szCs w:val="20"/>
        </w:rPr>
        <w:t> </w:t>
      </w:r>
      <w:r>
        <w:rPr>
          <w:vanish/>
          <w:sz w:val="20"/>
          <w:szCs w:val="20"/>
        </w:rPr>
        <w:t>SCHEDULE OF ACCOUNTS RECEIVABLE, CONTRACT ASSET AND DEFERRED REVENU</w:t>
      </w:r>
      <w:r>
        <w:rPr>
          <w:vanish/>
          <w:sz w:val="20"/>
          <w:szCs w:val="20"/>
        </w:rPr>
        <w:t>E</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7"/>
        <w:gridCol w:w="160"/>
        <w:gridCol w:w="101"/>
        <w:gridCol w:w="908"/>
        <w:gridCol w:w="78"/>
        <w:gridCol w:w="161"/>
        <w:gridCol w:w="101"/>
        <w:gridCol w:w="909"/>
        <w:gridCol w:w="78"/>
        <w:gridCol w:w="161"/>
        <w:gridCol w:w="101"/>
        <w:gridCol w:w="909"/>
        <w:gridCol w:w="78"/>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b/>
                <w:bCs/>
                <w:sz w:val="20"/>
                <w:szCs w:val="20"/>
              </w:rPr>
            </w:pPr>
            <w:r>
              <w:rPr>
                <w:b/>
                <w:bCs/>
                <w:sz w:val="20"/>
                <w:szCs w:val="20"/>
              </w:rPr>
              <w:t>Accounts</w:t>
            </w:r>
          </w:p>
          <w:p w:rsidR="00000000" w:rsidRDefault="003A6737">
            <w:pPr>
              <w:pStyle w:val="a3"/>
              <w:spacing w:before="0" w:beforeAutospacing="0" w:after="0" w:afterAutospacing="0"/>
              <w:jc w:val="center"/>
              <w:rPr>
                <w:b/>
                <w:bCs/>
                <w:sz w:val="20"/>
                <w:szCs w:val="20"/>
              </w:rPr>
            </w:pPr>
            <w:r>
              <w:rPr>
                <w:b/>
                <w:bCs/>
                <w:sz w:val="20"/>
                <w:szCs w:val="20"/>
              </w:rPr>
              <w:t>Receivable, Net</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b/>
                <w:bCs/>
                <w:sz w:val="20"/>
                <w:szCs w:val="20"/>
              </w:rPr>
            </w:pPr>
            <w:r>
              <w:rPr>
                <w:b/>
                <w:bCs/>
                <w:sz w:val="20"/>
                <w:szCs w:val="20"/>
              </w:rPr>
              <w:t>Contract</w:t>
            </w:r>
          </w:p>
          <w:p w:rsidR="00000000" w:rsidRDefault="003A6737">
            <w:pPr>
              <w:pStyle w:val="a3"/>
              <w:spacing w:before="0" w:beforeAutospacing="0" w:after="0" w:afterAutospacing="0"/>
              <w:jc w:val="center"/>
              <w:rPr>
                <w:b/>
                <w:bCs/>
                <w:sz w:val="20"/>
                <w:szCs w:val="20"/>
              </w:rPr>
            </w:pPr>
            <w:r>
              <w:rPr>
                <w:b/>
                <w:bCs/>
                <w:sz w:val="20"/>
                <w:szCs w:val="20"/>
              </w:rPr>
              <w:t>Asset</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b/>
                <w:bCs/>
                <w:sz w:val="20"/>
                <w:szCs w:val="20"/>
              </w:rPr>
            </w:pPr>
            <w:r>
              <w:rPr>
                <w:b/>
                <w:bCs/>
                <w:sz w:val="20"/>
                <w:szCs w:val="20"/>
              </w:rPr>
              <w:t>Deferred Revenue</w:t>
            </w:r>
          </w:p>
          <w:p w:rsidR="00000000" w:rsidRDefault="003A6737">
            <w:pPr>
              <w:pStyle w:val="a3"/>
              <w:spacing w:before="0" w:beforeAutospacing="0" w:after="0" w:afterAutospacing="0"/>
              <w:jc w:val="center"/>
              <w:rPr>
                <w:b/>
                <w:bCs/>
                <w:sz w:val="20"/>
                <w:szCs w:val="20"/>
              </w:rPr>
            </w:pPr>
            <w:r>
              <w:rPr>
                <w:b/>
                <w:bCs/>
                <w:sz w:val="20"/>
                <w:szCs w:val="20"/>
              </w:rPr>
              <w:t>(current)</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b/>
                <w:bCs/>
                <w:sz w:val="20"/>
                <w:szCs w:val="20"/>
              </w:rPr>
            </w:pPr>
            <w:r>
              <w:rPr>
                <w:b/>
                <w:bCs/>
                <w:sz w:val="20"/>
                <w:szCs w:val="20"/>
              </w:rPr>
              <w:t>Deferred Revenue</w:t>
            </w:r>
          </w:p>
          <w:p w:rsidR="00000000" w:rsidRDefault="003A6737">
            <w:pPr>
              <w:pStyle w:val="a3"/>
              <w:spacing w:before="0" w:beforeAutospacing="0" w:after="0" w:afterAutospacing="0"/>
              <w:jc w:val="center"/>
              <w:rPr>
                <w:b/>
                <w:bCs/>
                <w:sz w:val="20"/>
                <w:szCs w:val="20"/>
              </w:rPr>
            </w:pPr>
            <w:r>
              <w:rPr>
                <w:b/>
                <w:bCs/>
                <w:sz w:val="20"/>
                <w:szCs w:val="20"/>
              </w:rPr>
              <w:t>(long term)</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14"/>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3A6737">
            <w:pPr>
              <w:rPr>
                <w:rFonts w:eastAsia="Times New Roman"/>
                <w:sz w:val="20"/>
                <w:szCs w:val="20"/>
              </w:rPr>
            </w:pPr>
            <w:r>
              <w:rPr>
                <w:rFonts w:eastAsia="Times New Roman"/>
                <w:sz w:val="20"/>
                <w:szCs w:val="20"/>
              </w:rPr>
              <w:t>Balance as of January 1, 2022</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17,006</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4,725</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1,085</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341</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medSR acquisition</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(Decrease) increase, net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(2,233</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(326</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301</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Balance as of December 31, 2022</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14,773</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4,399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1,386</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342</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Balance as of January 1, 2021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12,089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4,105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1,173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305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xml:space="preserve">Beginning Balance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12,089</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4,105</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1,173</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305</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medSR acquisition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5,187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(Decrease) increase, net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(270</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620</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(108</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36</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Balance as of December 31, 2021</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17,006</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4,725</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1,085</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341</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rPr>
          <w:hidden/>
        </w:trPr>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Ending Balance</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vanish/>
                <w:sz w:val="20"/>
                <w:szCs w:val="20"/>
              </w:rPr>
            </w:pPr>
            <w:r>
              <w:rPr>
                <w:rFonts w:eastAsia="Times New Roman"/>
                <w:vanish/>
                <w:sz w:val="20"/>
                <w:szCs w:val="20"/>
              </w:rPr>
              <w:t>17,006</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vanish/>
                <w:sz w:val="20"/>
                <w:szCs w:val="20"/>
              </w:rPr>
            </w:pPr>
            <w:r>
              <w:rPr>
                <w:rFonts w:eastAsia="Times New Roman"/>
                <w:vanish/>
                <w:sz w:val="20"/>
                <w:szCs w:val="20"/>
              </w:rPr>
              <w:t>4,725</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vanish/>
                <w:sz w:val="20"/>
                <w:szCs w:val="20"/>
              </w:rPr>
            </w:pPr>
            <w:r>
              <w:rPr>
                <w:rFonts w:eastAsia="Times New Roman"/>
                <w:vanish/>
                <w:sz w:val="20"/>
                <w:szCs w:val="20"/>
              </w:rPr>
              <w:t>1,085</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vanish/>
                <w:sz w:val="20"/>
                <w:szCs w:val="20"/>
              </w:rPr>
            </w:pPr>
            <w:r>
              <w:rPr>
                <w:rFonts w:eastAsia="Times New Roman"/>
                <w:vanish/>
                <w:sz w:val="20"/>
                <w:szCs w:val="20"/>
              </w:rPr>
              <w:t>341</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45528833"/>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i/>
          <w:iCs/>
          <w:sz w:val="20"/>
          <w:szCs w:val="20"/>
        </w:rPr>
        <w:t> </w:t>
      </w:r>
    </w:p>
    <w:p w:rsidR="00000000" w:rsidRDefault="003A6737">
      <w:pPr>
        <w:pStyle w:val="a3"/>
        <w:spacing w:before="0" w:beforeAutospacing="0" w:after="0" w:afterAutospacing="0"/>
        <w:jc w:val="both"/>
        <w:rPr>
          <w:sz w:val="20"/>
          <w:szCs w:val="20"/>
        </w:rPr>
      </w:pPr>
      <w:r>
        <w:rPr>
          <w:i/>
          <w:iCs/>
          <w:sz w:val="20"/>
          <w:szCs w:val="20"/>
        </w:rPr>
        <w:t>Deferred commissions:</w:t>
      </w:r>
    </w:p>
    <w:p w:rsidR="00000000" w:rsidRDefault="003A6737">
      <w:pPr>
        <w:pStyle w:val="a3"/>
        <w:spacing w:before="0" w:beforeAutospacing="0" w:after="0" w:afterAutospacing="0"/>
        <w:jc w:val="both"/>
        <w:rPr>
          <w:sz w:val="20"/>
          <w:szCs w:val="20"/>
        </w:rPr>
      </w:pPr>
      <w:r>
        <w:rPr>
          <w:sz w:val="20"/>
          <w:szCs w:val="20"/>
        </w:rPr>
        <w:t xml:space="preserve">Our </w:t>
      </w:r>
      <w:r>
        <w:rPr>
          <w:sz w:val="20"/>
          <w:szCs w:val="20"/>
        </w:rPr>
        <w:t>sales incentive plans include commissions payable to employees and third parties at the time of the initial contract execution that are capitalized as incremental costs to obtain a contract. The capitalized commissions are amortized over the period the rel</w:t>
      </w:r>
      <w:r>
        <w:rPr>
          <w:sz w:val="20"/>
          <w:szCs w:val="20"/>
        </w:rPr>
        <w:t xml:space="preserve">ated services are transferred. As we do not offer commissions on contract renewals, we have determined the amortization period to be the estimated client life, which is three years. Deferred commissions were approximately </w:t>
      </w:r>
      <w:r>
        <w:rPr>
          <w:sz w:val="20"/>
          <w:szCs w:val="20"/>
        </w:rPr>
        <w:t>$</w:t>
      </w:r>
      <w:r>
        <w:rPr>
          <w:sz w:val="20"/>
          <w:szCs w:val="20"/>
        </w:rPr>
        <w:t>643,00</w:t>
      </w:r>
      <w:r>
        <w:rPr>
          <w:sz w:val="20"/>
          <w:szCs w:val="20"/>
        </w:rPr>
        <w:t>0</w:t>
      </w:r>
      <w:r>
        <w:rPr>
          <w:sz w:val="20"/>
          <w:szCs w:val="20"/>
        </w:rPr>
        <w:t xml:space="preserve"> and </w:t>
      </w:r>
      <w:r>
        <w:rPr>
          <w:sz w:val="20"/>
          <w:szCs w:val="20"/>
        </w:rPr>
        <w:t>$</w:t>
      </w:r>
      <w:r>
        <w:rPr>
          <w:sz w:val="20"/>
          <w:szCs w:val="20"/>
        </w:rPr>
        <w:t>931,00</w:t>
      </w:r>
      <w:r>
        <w:rPr>
          <w:sz w:val="20"/>
          <w:szCs w:val="20"/>
        </w:rPr>
        <w:t>0</w:t>
      </w:r>
      <w:r>
        <w:rPr>
          <w:sz w:val="20"/>
          <w:szCs w:val="20"/>
        </w:rPr>
        <w:t xml:space="preserve"> at December </w:t>
      </w:r>
      <w:r>
        <w:rPr>
          <w:sz w:val="20"/>
          <w:szCs w:val="20"/>
        </w:rPr>
        <w:t>31, 2022 and 2021, respectively, and are included in the other assets amounts in the consolidated balance sheets.</w:t>
      </w:r>
    </w:p>
    <w:p w:rsidR="00000000" w:rsidRDefault="003A6737">
      <w:pPr>
        <w:pStyle w:val="a3"/>
        <w:shd w:val="clear" w:color="auto" w:fill="FFFFFF"/>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sz w:val="20"/>
          <w:szCs w:val="20"/>
        </w:rPr>
      </w:pPr>
      <w:r>
        <w:rPr>
          <w:b/>
          <w:bCs/>
          <w:sz w:val="20"/>
          <w:szCs w:val="20"/>
        </w:rPr>
        <w:t>10.</w:t>
      </w:r>
      <w:r>
        <w:rPr>
          <w:sz w:val="20"/>
          <w:szCs w:val="20"/>
        </w:rPr>
        <w:t xml:space="preserve"> </w:t>
      </w:r>
      <w:r>
        <w:rPr>
          <w:b/>
          <w:bCs/>
          <w:sz w:val="20"/>
          <w:szCs w:val="20"/>
        </w:rPr>
        <w:t>SHAREHOLDERS’ EQUIT</w:t>
      </w:r>
      <w:r>
        <w:rPr>
          <w:b/>
          <w:bCs/>
          <w:sz w:val="20"/>
          <w:szCs w:val="20"/>
        </w:rPr>
        <w:t>Y</w:t>
      </w:r>
    </w:p>
    <w:p w:rsidR="00000000" w:rsidRDefault="003A6737">
      <w:pPr>
        <w:pStyle w:val="a3"/>
        <w:spacing w:before="0" w:beforeAutospacing="0" w:after="0" w:afterAutospacing="0"/>
        <w:rPr>
          <w:sz w:val="20"/>
          <w:szCs w:val="20"/>
        </w:rPr>
      </w:pPr>
      <w:r>
        <w:rPr>
          <w:i/>
          <w:iCs/>
          <w:sz w:val="20"/>
          <w:szCs w:val="20"/>
        </w:rPr>
        <w:t> </w:t>
      </w:r>
    </w:p>
    <w:p w:rsidR="00000000" w:rsidRDefault="003A6737">
      <w:pPr>
        <w:pStyle w:val="a3"/>
        <w:spacing w:before="0" w:beforeAutospacing="0" w:after="0" w:afterAutospacing="0"/>
        <w:rPr>
          <w:sz w:val="20"/>
          <w:szCs w:val="20"/>
        </w:rPr>
      </w:pPr>
      <w:r>
        <w:rPr>
          <w:i/>
          <w:iCs/>
          <w:sz w:val="20"/>
          <w:szCs w:val="20"/>
          <w:u w:val="single"/>
        </w:rPr>
        <w:t>Treasury stock</w:t>
      </w:r>
    </w:p>
    <w:p w:rsidR="00000000" w:rsidRDefault="003A6737">
      <w:pPr>
        <w:pStyle w:val="a3"/>
        <w:spacing w:before="0" w:beforeAutospacing="0" w:after="0" w:afterAutospacing="0"/>
        <w:jc w:val="both"/>
        <w:rPr>
          <w:sz w:val="20"/>
          <w:szCs w:val="20"/>
        </w:rPr>
      </w:pPr>
      <w:r>
        <w:rPr>
          <w:sz w:val="20"/>
          <w:szCs w:val="20"/>
        </w:rPr>
        <w:t>The Board of Directors of the Company previously approved common stock repurchase programs. The la</w:t>
      </w:r>
      <w:r>
        <w:rPr>
          <w:sz w:val="20"/>
          <w:szCs w:val="20"/>
        </w:rPr>
        <w:t>st program expired</w:t>
      </w:r>
      <w:r>
        <w:rPr>
          <w:sz w:val="20"/>
          <w:szCs w:val="20"/>
        </w:rPr>
        <w:t xml:space="preserve"> </w:t>
      </w:r>
      <w:r>
        <w:rPr>
          <w:sz w:val="20"/>
          <w:szCs w:val="20"/>
        </w:rPr>
        <w:t>January 25, 201</w:t>
      </w:r>
      <w:r>
        <w:rPr>
          <w:sz w:val="20"/>
          <w:szCs w:val="20"/>
        </w:rPr>
        <w:t>7</w:t>
      </w:r>
      <w:r>
        <w:rPr>
          <w:sz w:val="20"/>
          <w:szCs w:val="20"/>
        </w:rPr>
        <w:t>. As a result of these stock repurchases, the Company has</w:t>
      </w:r>
      <w:r>
        <w:rPr>
          <w:sz w:val="20"/>
          <w:szCs w:val="20"/>
        </w:rPr>
        <w:t xml:space="preserve"> </w:t>
      </w:r>
      <w:r>
        <w:rPr>
          <w:sz w:val="20"/>
          <w:szCs w:val="20"/>
        </w:rPr>
        <w:t>740,79</w:t>
      </w:r>
      <w:r>
        <w:rPr>
          <w:sz w:val="20"/>
          <w:szCs w:val="20"/>
        </w:rPr>
        <w:t>9</w:t>
      </w:r>
      <w:r>
        <w:rPr>
          <w:sz w:val="20"/>
          <w:szCs w:val="20"/>
        </w:rPr>
        <w:t xml:space="preserve"> common shares held as treasury stock at an aggregate cost of </w:t>
      </w:r>
      <w:r>
        <w:rPr>
          <w:sz w:val="20"/>
          <w:szCs w:val="20"/>
        </w:rPr>
        <w:t>$</w:t>
      </w:r>
      <w:r>
        <w:rPr>
          <w:sz w:val="20"/>
          <w:szCs w:val="20"/>
        </w:rPr>
        <w:t>662,00</w:t>
      </w:r>
      <w:r>
        <w:rPr>
          <w:sz w:val="20"/>
          <w:szCs w:val="20"/>
        </w:rPr>
        <w:t>0</w:t>
      </w:r>
      <w:r>
        <w:rPr>
          <w:sz w:val="20"/>
          <w:szCs w:val="20"/>
        </w:rPr>
        <w:t>.</w:t>
      </w:r>
    </w:p>
    <w:p w:rsidR="00000000" w:rsidRDefault="003A6737">
      <w:pPr>
        <w:pStyle w:val="a3"/>
        <w:spacing w:before="0" w:beforeAutospacing="0" w:after="0" w:afterAutospacing="0"/>
        <w:rPr>
          <w:sz w:val="20"/>
          <w:szCs w:val="20"/>
        </w:rPr>
      </w:pPr>
      <w:r>
        <w:rPr>
          <w:i/>
          <w:iCs/>
          <w:sz w:val="20"/>
          <w:szCs w:val="20"/>
        </w:rPr>
        <w:t> </w:t>
      </w:r>
    </w:p>
    <w:p w:rsidR="00000000" w:rsidRDefault="003A6737">
      <w:pPr>
        <w:pStyle w:val="a3"/>
        <w:spacing w:before="0" w:beforeAutospacing="0" w:after="0" w:afterAutospacing="0"/>
        <w:rPr>
          <w:sz w:val="20"/>
          <w:szCs w:val="20"/>
        </w:rPr>
      </w:pPr>
      <w:r>
        <w:rPr>
          <w:i/>
          <w:iCs/>
          <w:sz w:val="20"/>
          <w:szCs w:val="20"/>
          <w:u w:val="single"/>
        </w:rPr>
        <w:t>Common stock</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 xml:space="preserve">Company has the right to sell up to </w:t>
      </w:r>
      <w:r>
        <w:rPr>
          <w:sz w:val="20"/>
          <w:szCs w:val="20"/>
        </w:rPr>
        <w:t>$</w:t>
      </w:r>
      <w:r>
        <w:rPr>
          <w:sz w:val="20"/>
          <w:szCs w:val="20"/>
        </w:rPr>
        <w:t>5</w:t>
      </w:r>
      <w:r>
        <w:rPr>
          <w:sz w:val="20"/>
          <w:szCs w:val="20"/>
        </w:rPr>
        <w:t>0</w:t>
      </w:r>
      <w:r>
        <w:rPr>
          <w:sz w:val="20"/>
          <w:szCs w:val="20"/>
        </w:rPr>
        <w:t xml:space="preserve"> million of its common stock using an “at-the-market” facility (“ATM”). The underwriter receives</w:t>
      </w:r>
      <w:r>
        <w:rPr>
          <w:sz w:val="20"/>
          <w:szCs w:val="20"/>
        </w:rPr>
        <w:t xml:space="preserve"> </w:t>
      </w:r>
      <w:r>
        <w:rPr>
          <w:sz w:val="20"/>
          <w:szCs w:val="20"/>
        </w:rPr>
        <w:t>3</w:t>
      </w:r>
      <w:r>
        <w:rPr>
          <w:sz w:val="20"/>
          <w:szCs w:val="20"/>
        </w:rPr>
        <w:t>%</w:t>
      </w:r>
      <w:r>
        <w:rPr>
          <w:sz w:val="20"/>
          <w:szCs w:val="20"/>
        </w:rPr>
        <w:t xml:space="preserve"> of the gross proceeds. During the year ended December 31, 2022,</w:t>
      </w:r>
      <w:r>
        <w:rPr>
          <w:sz w:val="20"/>
          <w:szCs w:val="20"/>
        </w:rPr>
        <w:t xml:space="preserve"> </w:t>
      </w:r>
      <w:r>
        <w:rPr>
          <w:sz w:val="20"/>
          <w:szCs w:val="20"/>
        </w:rPr>
        <w:t>n</w:t>
      </w:r>
      <w:r>
        <w:rPr>
          <w:sz w:val="20"/>
          <w:szCs w:val="20"/>
        </w:rPr>
        <w:t>o</w:t>
      </w:r>
      <w:r>
        <w:rPr>
          <w:sz w:val="20"/>
          <w:szCs w:val="20"/>
        </w:rPr>
        <w:t xml:space="preserve"> shares of common stock were issued under this ATM.</w:t>
      </w:r>
      <w:r>
        <w:rPr>
          <w:sz w:val="20"/>
          <w:szCs w:val="20"/>
        </w:rPr>
        <w:t xml:space="preserve"> During the year ended December 31, 2021, the Company sold</w:t>
      </w:r>
      <w:r>
        <w:rPr>
          <w:sz w:val="20"/>
          <w:szCs w:val="20"/>
        </w:rPr>
        <w:t xml:space="preserve"> </w:t>
      </w:r>
      <w:r>
        <w:rPr>
          <w:sz w:val="20"/>
          <w:szCs w:val="20"/>
        </w:rPr>
        <w:t>346,38</w:t>
      </w:r>
      <w:r>
        <w:rPr>
          <w:sz w:val="20"/>
          <w:szCs w:val="20"/>
        </w:rPr>
        <w:t>9</w:t>
      </w:r>
      <w:r>
        <w:rPr>
          <w:sz w:val="20"/>
          <w:szCs w:val="20"/>
        </w:rPr>
        <w:t xml:space="preserve"> shares of common stock under its ATM and received net proceeds of approximately </w:t>
      </w:r>
      <w:r>
        <w:rPr>
          <w:sz w:val="20"/>
          <w:szCs w:val="20"/>
        </w:rPr>
        <w:t>$</w:t>
      </w:r>
      <w:r>
        <w:rPr>
          <w:sz w:val="20"/>
          <w:szCs w:val="20"/>
        </w:rPr>
        <w:t>2.</w:t>
      </w:r>
      <w:r>
        <w:rPr>
          <w:sz w:val="20"/>
          <w:szCs w:val="20"/>
        </w:rPr>
        <w:t>7</w:t>
      </w:r>
      <w:r>
        <w:rPr>
          <w:sz w:val="20"/>
          <w:szCs w:val="20"/>
        </w:rPr>
        <w:t xml:space="preserve"> million.</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Holders of our common stock are entitled to one vote for each share held on all matters prope</w:t>
      </w:r>
      <w:r>
        <w:rPr>
          <w:sz w:val="20"/>
          <w:szCs w:val="20"/>
        </w:rPr>
        <w:t>rly submitted to a vote of shareholders on which holders of common stock are entitled to vote. Holders of common stocks are entitled to receive dividends only at times and amounts as determined by the Board of Directors. The common stock is not entitled to</w:t>
      </w:r>
      <w:r>
        <w:rPr>
          <w:sz w:val="20"/>
          <w:szCs w:val="20"/>
        </w:rPr>
        <w:t xml:space="preserve"> pre-emptive rights, and is not subject to conversion, redemption or sinking fund provisions. The common stock is listed on the Nasdaq Global Market under the trading symbol “CCLD.”</w:t>
      </w:r>
    </w:p>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rPr>
          <w:sz w:val="20"/>
          <w:szCs w:val="20"/>
        </w:rPr>
      </w:pPr>
      <w:r>
        <w:rPr>
          <w:i/>
          <w:iCs/>
          <w:sz w:val="20"/>
          <w:szCs w:val="20"/>
          <w:u w:val="single"/>
        </w:rPr>
        <w:t>Preferred stock</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Company has seven million authorized shares of preferred stock of which</w:t>
      </w:r>
      <w:r>
        <w:rPr>
          <w:sz w:val="20"/>
          <w:szCs w:val="20"/>
        </w:rPr>
        <w:t xml:space="preserve"> </w:t>
      </w:r>
      <w:r>
        <w:rPr>
          <w:sz w:val="20"/>
          <w:szCs w:val="20"/>
        </w:rPr>
        <w:t>5,360,00</w:t>
      </w:r>
      <w:r>
        <w:rPr>
          <w:sz w:val="20"/>
          <w:szCs w:val="20"/>
        </w:rPr>
        <w:t>0</w:t>
      </w:r>
      <w:r>
        <w:rPr>
          <w:sz w:val="20"/>
          <w:szCs w:val="20"/>
        </w:rPr>
        <w:t xml:space="preserve"> have been designated as Series A shares and the balance have been designated as Series B shares.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Company has the right to sell up to </w:t>
      </w:r>
      <w:r>
        <w:rPr>
          <w:sz w:val="20"/>
          <w:szCs w:val="20"/>
        </w:rPr>
        <w:t>$</w:t>
      </w:r>
      <w:r>
        <w:rPr>
          <w:sz w:val="20"/>
          <w:szCs w:val="20"/>
        </w:rPr>
        <w:t>3</w:t>
      </w:r>
      <w:r>
        <w:rPr>
          <w:sz w:val="20"/>
          <w:szCs w:val="20"/>
        </w:rPr>
        <w:t>5</w:t>
      </w:r>
      <w:r>
        <w:rPr>
          <w:sz w:val="20"/>
          <w:szCs w:val="20"/>
        </w:rPr>
        <w:t xml:space="preserve"> million of its Series B Preferr</w:t>
      </w:r>
      <w:r>
        <w:rPr>
          <w:sz w:val="20"/>
          <w:szCs w:val="20"/>
        </w:rPr>
        <w:t>ed Stock using an ATM facility. The underwriter receives</w:t>
      </w:r>
      <w:r>
        <w:rPr>
          <w:sz w:val="20"/>
          <w:szCs w:val="20"/>
        </w:rPr>
        <w:t xml:space="preserve"> </w:t>
      </w:r>
      <w:r>
        <w:rPr>
          <w:sz w:val="20"/>
          <w:szCs w:val="20"/>
        </w:rPr>
        <w:t>3</w:t>
      </w:r>
      <w:r>
        <w:rPr>
          <w:sz w:val="20"/>
          <w:szCs w:val="20"/>
        </w:rPr>
        <w:t>%</w:t>
      </w:r>
      <w:r>
        <w:rPr>
          <w:sz w:val="20"/>
          <w:szCs w:val="20"/>
        </w:rPr>
        <w:t xml:space="preserve"> of the gross proceeds. During the year ended December 31, 2022, the Company sold</w:t>
      </w:r>
      <w:r>
        <w:rPr>
          <w:sz w:val="20"/>
          <w:szCs w:val="20"/>
        </w:rPr>
        <w:t xml:space="preserve"> </w:t>
      </w:r>
      <w:r>
        <w:rPr>
          <w:sz w:val="20"/>
          <w:szCs w:val="20"/>
        </w:rPr>
        <w:t>1,324,85</w:t>
      </w:r>
      <w:r>
        <w:rPr>
          <w:sz w:val="20"/>
          <w:szCs w:val="20"/>
        </w:rPr>
        <w:t>8</w:t>
      </w:r>
      <w:r>
        <w:rPr>
          <w:sz w:val="20"/>
          <w:szCs w:val="20"/>
        </w:rPr>
        <w:t xml:space="preserve"> of shares of Series B Preferred Stock and received net proceeds of approximately </w:t>
      </w:r>
      <w:r>
        <w:rPr>
          <w:sz w:val="20"/>
          <w:szCs w:val="20"/>
        </w:rPr>
        <w:t>$</w:t>
      </w:r>
      <w:r>
        <w:rPr>
          <w:sz w:val="20"/>
          <w:szCs w:val="20"/>
        </w:rPr>
        <w:t>30.9</w:t>
      </w:r>
      <w:r>
        <w:rPr>
          <w:sz w:val="20"/>
          <w:szCs w:val="20"/>
        </w:rPr>
        <w:t xml:space="preserve"> </w:t>
      </w:r>
      <w:r>
        <w:rPr>
          <w:sz w:val="20"/>
          <w:szCs w:val="20"/>
        </w:rPr>
        <w:t>million. This incl</w:t>
      </w:r>
      <w:r>
        <w:rPr>
          <w:sz w:val="20"/>
          <w:szCs w:val="20"/>
        </w:rPr>
        <w:t>udes</w:t>
      </w:r>
      <w:r>
        <w:rPr>
          <w:sz w:val="20"/>
          <w:szCs w:val="20"/>
        </w:rPr>
        <w:t xml:space="preserve"> </w:t>
      </w:r>
      <w:r>
        <w:rPr>
          <w:sz w:val="20"/>
          <w:szCs w:val="20"/>
        </w:rPr>
        <w:t>224,04</w:t>
      </w:r>
      <w:r>
        <w:rPr>
          <w:sz w:val="20"/>
          <w:szCs w:val="20"/>
        </w:rPr>
        <w:t>8</w:t>
      </w:r>
      <w:r>
        <w:rPr>
          <w:sz w:val="20"/>
          <w:szCs w:val="20"/>
        </w:rPr>
        <w:t xml:space="preserve"> shares sold under the Company’s ATM. On March 18, 2022, the Company used a portion of the proceeds from selling Series B Preferred Stock to redeem</w:t>
      </w:r>
      <w:r>
        <w:rPr>
          <w:sz w:val="20"/>
          <w:szCs w:val="20"/>
        </w:rPr>
        <w:t xml:space="preserve"> </w:t>
      </w:r>
      <w:r>
        <w:rPr>
          <w:sz w:val="20"/>
          <w:szCs w:val="20"/>
        </w:rPr>
        <w:t>800,00</w:t>
      </w:r>
      <w:r>
        <w:rPr>
          <w:sz w:val="20"/>
          <w:szCs w:val="20"/>
        </w:rPr>
        <w:t>0</w:t>
      </w:r>
      <w:r>
        <w:rPr>
          <w:sz w:val="20"/>
          <w:szCs w:val="20"/>
        </w:rPr>
        <w:t xml:space="preserve"> shares of Series A Preferred Stock for </w:t>
      </w:r>
      <w:r>
        <w:rPr>
          <w:sz w:val="20"/>
          <w:szCs w:val="20"/>
        </w:rPr>
        <w:t>$</w:t>
      </w:r>
      <w:r>
        <w:rPr>
          <w:sz w:val="20"/>
          <w:szCs w:val="20"/>
        </w:rPr>
        <w:t>25.0</w:t>
      </w:r>
      <w:r>
        <w:rPr>
          <w:sz w:val="20"/>
          <w:szCs w:val="20"/>
        </w:rPr>
        <w:t>0</w:t>
      </w:r>
      <w:r>
        <w:rPr>
          <w:sz w:val="20"/>
          <w:szCs w:val="20"/>
        </w:rPr>
        <w:t xml:space="preserve"> per share, plus all accrued and unpaid div</w:t>
      </w:r>
      <w:r>
        <w:rPr>
          <w:sz w:val="20"/>
          <w:szCs w:val="20"/>
        </w:rPr>
        <w:t>idends to, but not including, the redemption date.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During the year ended December 31, 2021, the Company cancelled</w:t>
      </w:r>
      <w:r>
        <w:rPr>
          <w:sz w:val="20"/>
          <w:szCs w:val="20"/>
        </w:rPr>
        <w:t xml:space="preserve"> </w:t>
      </w:r>
      <w:r>
        <w:rPr>
          <w:sz w:val="20"/>
          <w:szCs w:val="20"/>
        </w:rPr>
        <w:t>215,82</w:t>
      </w:r>
      <w:r>
        <w:rPr>
          <w:sz w:val="20"/>
          <w:szCs w:val="20"/>
        </w:rPr>
        <w:t>2</w:t>
      </w:r>
      <w:r>
        <w:rPr>
          <w:sz w:val="20"/>
          <w:szCs w:val="20"/>
        </w:rPr>
        <w:t xml:space="preserve"> shares of Series A Preferred Stock that were held in escrow from the CCH acquisition as the matters related to the escrow were settl</w:t>
      </w:r>
      <w:r>
        <w:rPr>
          <w:sz w:val="20"/>
          <w:szCs w:val="20"/>
        </w:rPr>
        <w:t>ed in cash.</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Since November 4, 2020, the Company may redeem, at its option, the Series A Preferred Stock, in whole or in part, at a cash redemption price of </w:t>
      </w:r>
      <w:r>
        <w:rPr>
          <w:sz w:val="20"/>
          <w:szCs w:val="20"/>
        </w:rPr>
        <w:t>$</w:t>
      </w:r>
      <w:r>
        <w:rPr>
          <w:sz w:val="20"/>
          <w:szCs w:val="20"/>
        </w:rPr>
        <w:t>25.0</w:t>
      </w:r>
      <w:r>
        <w:rPr>
          <w:sz w:val="20"/>
          <w:szCs w:val="20"/>
        </w:rPr>
        <w:t>0</w:t>
      </w:r>
      <w:r>
        <w:rPr>
          <w:sz w:val="20"/>
          <w:szCs w:val="20"/>
        </w:rPr>
        <w:t xml:space="preserve"> per share, plus all accrued and unpaid dividends to, but not including, the redemption date</w:t>
      </w:r>
      <w:r>
        <w:rPr>
          <w:sz w:val="20"/>
          <w:szCs w:val="20"/>
        </w:rPr>
        <w:t xml:space="preserve">. The Series A Preferred Stock has no stated maturity, is not subject to any sinking fund or other mandatory redemption, and is not convertible into or exchangeable for any of the Company’s other securities. Holders of the Series A Preferred Stock have no </w:t>
      </w:r>
      <w:r>
        <w:rPr>
          <w:sz w:val="20"/>
          <w:szCs w:val="20"/>
        </w:rPr>
        <w:t>voting rights except for limited voting rights if dividends payable on the Series A Preferred Stock are in arrears for eighteen or more consecutive or non-consecutive monthly dividend periods. If the Company were to liquidate, dissolve or wind up, the hold</w:t>
      </w:r>
      <w:r>
        <w:rPr>
          <w:sz w:val="20"/>
          <w:szCs w:val="20"/>
        </w:rPr>
        <w:t xml:space="preserve">ers of the Series A Preferred Stock will have the right to receive </w:t>
      </w:r>
      <w:r>
        <w:rPr>
          <w:sz w:val="20"/>
          <w:szCs w:val="20"/>
        </w:rPr>
        <w:t>$</w:t>
      </w:r>
      <w:r>
        <w:rPr>
          <w:sz w:val="20"/>
          <w:szCs w:val="20"/>
        </w:rPr>
        <w:t>25.0</w:t>
      </w:r>
      <w:r>
        <w:rPr>
          <w:sz w:val="20"/>
          <w:szCs w:val="20"/>
        </w:rPr>
        <w:t>0</w:t>
      </w:r>
      <w:r>
        <w:rPr>
          <w:sz w:val="20"/>
          <w:szCs w:val="20"/>
        </w:rPr>
        <w:t xml:space="preserve"> per share, plus any accumulated and unpaid dividends to, but not including, the date of payment, before any payment is made to the holders of the common stock. The Series A Preferred</w:t>
      </w:r>
      <w:r>
        <w:rPr>
          <w:sz w:val="20"/>
          <w:szCs w:val="20"/>
        </w:rPr>
        <w:t xml:space="preserve"> Stock is listed on the Nasdaq Global Market under the trading symbol “CCLDP.”</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Commencing on February 15, 2024 and prior to February 15, 2025, we may redeem, at our option, the Series B Preferred Stock, in whole or in part, at a cash redemption price of </w:t>
      </w:r>
      <w:r>
        <w:rPr>
          <w:sz w:val="20"/>
          <w:szCs w:val="20"/>
        </w:rPr>
        <w:t>$</w:t>
      </w:r>
      <w:r>
        <w:rPr>
          <w:sz w:val="20"/>
          <w:szCs w:val="20"/>
        </w:rPr>
        <w:t>25.7</w:t>
      </w:r>
      <w:r>
        <w:rPr>
          <w:sz w:val="20"/>
          <w:szCs w:val="20"/>
        </w:rPr>
        <w:t>5</w:t>
      </w:r>
      <w:r>
        <w:rPr>
          <w:sz w:val="20"/>
          <w:szCs w:val="20"/>
        </w:rPr>
        <w:t xml:space="preserve"> per share, plus all accrued and unpaid dividends to, but not including, the redemption date. On or after February 15, 2025 and prior to February 15, 2026, we may redeem, at our option, the Series B Preferred Stock, in whole or in part, at a cash red</w:t>
      </w:r>
      <w:r>
        <w:rPr>
          <w:sz w:val="20"/>
          <w:szCs w:val="20"/>
        </w:rPr>
        <w:t xml:space="preserve">emption price of </w:t>
      </w:r>
      <w:r>
        <w:rPr>
          <w:sz w:val="20"/>
          <w:szCs w:val="20"/>
        </w:rPr>
        <w:t>$</w:t>
      </w:r>
      <w:r>
        <w:rPr>
          <w:sz w:val="20"/>
          <w:szCs w:val="20"/>
        </w:rPr>
        <w:t>25.5</w:t>
      </w:r>
      <w:r>
        <w:rPr>
          <w:sz w:val="20"/>
          <w:szCs w:val="20"/>
        </w:rPr>
        <w:t>0</w:t>
      </w:r>
      <w:r>
        <w:rPr>
          <w:sz w:val="20"/>
          <w:szCs w:val="20"/>
        </w:rPr>
        <w:t xml:space="preserve"> per share, plus all accrued and unpaid dividends to, but not including, the redemption date. On or after February 15, 2026 and prior to February 15, 2027, we may redeem, at our option, the Series B Preferred Stock, in whole or in pa</w:t>
      </w:r>
      <w:r>
        <w:rPr>
          <w:sz w:val="20"/>
          <w:szCs w:val="20"/>
        </w:rPr>
        <w:t xml:space="preserve">rt, at a cash redemption price of </w:t>
      </w:r>
      <w:r>
        <w:rPr>
          <w:sz w:val="20"/>
          <w:szCs w:val="20"/>
        </w:rPr>
        <w:t>$</w:t>
      </w:r>
      <w:r>
        <w:rPr>
          <w:sz w:val="20"/>
          <w:szCs w:val="20"/>
        </w:rPr>
        <w:t>25.2</w:t>
      </w:r>
      <w:r>
        <w:rPr>
          <w:sz w:val="20"/>
          <w:szCs w:val="20"/>
        </w:rPr>
        <w:t>5</w:t>
      </w:r>
      <w:r>
        <w:rPr>
          <w:sz w:val="20"/>
          <w:szCs w:val="20"/>
        </w:rPr>
        <w:t xml:space="preserve"> per share, plus all accrued and unpaid dividends to, but not including, the redemption date. On or after February 15, 2027, we may redeem, at our option, the Series B Preferred Stock, in whole or in part, at a cash </w:t>
      </w:r>
      <w:r>
        <w:rPr>
          <w:sz w:val="20"/>
          <w:szCs w:val="20"/>
        </w:rPr>
        <w:t xml:space="preserve">redemption price of </w:t>
      </w:r>
      <w:r>
        <w:rPr>
          <w:sz w:val="20"/>
          <w:szCs w:val="20"/>
        </w:rPr>
        <w:t>$</w:t>
      </w:r>
      <w:r>
        <w:rPr>
          <w:sz w:val="20"/>
          <w:szCs w:val="20"/>
        </w:rPr>
        <w:t>25.0</w:t>
      </w:r>
      <w:r>
        <w:rPr>
          <w:sz w:val="20"/>
          <w:szCs w:val="20"/>
        </w:rPr>
        <w:t>0</w:t>
      </w:r>
      <w:r>
        <w:rPr>
          <w:sz w:val="20"/>
          <w:szCs w:val="20"/>
        </w:rPr>
        <w:t xml:space="preserve"> per share, plus all accrued and unpaid dividends to, but not including, the redemption date. The Series B Preferred Stock is listed on the Nasdaq Global Market under the trading symbol “CCLDO.”</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9372517"/>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Dividends on the Seri</w:t>
      </w:r>
      <w:r>
        <w:rPr>
          <w:sz w:val="20"/>
          <w:szCs w:val="20"/>
        </w:rPr>
        <w:t xml:space="preserve">es A and Series B Preferred Stock of </w:t>
      </w:r>
      <w:r>
        <w:rPr>
          <w:sz w:val="20"/>
          <w:szCs w:val="20"/>
        </w:rPr>
        <w:t>$</w:t>
      </w:r>
      <w:r>
        <w:rPr>
          <w:sz w:val="20"/>
          <w:szCs w:val="20"/>
        </w:rPr>
        <w:t>2.7</w:t>
      </w:r>
      <w:r>
        <w:rPr>
          <w:sz w:val="20"/>
          <w:szCs w:val="20"/>
        </w:rPr>
        <w:t>5</w:t>
      </w:r>
      <w:r>
        <w:rPr>
          <w:sz w:val="20"/>
          <w:szCs w:val="20"/>
        </w:rPr>
        <w:t xml:space="preserve"> and </w:t>
      </w:r>
      <w:r>
        <w:rPr>
          <w:sz w:val="20"/>
          <w:szCs w:val="20"/>
        </w:rPr>
        <w:t>$</w:t>
      </w:r>
      <w:r>
        <w:rPr>
          <w:sz w:val="20"/>
          <w:szCs w:val="20"/>
        </w:rPr>
        <w:t>2.1</w:t>
      </w:r>
      <w:r>
        <w:rPr>
          <w:sz w:val="20"/>
          <w:szCs w:val="20"/>
        </w:rPr>
        <w:t>9</w:t>
      </w:r>
      <w:r>
        <w:rPr>
          <w:sz w:val="20"/>
          <w:szCs w:val="20"/>
        </w:rPr>
        <w:t>, respectively, annually per share are cumulative from the date of issue and are payable each month when, as and if declared by the Company’s Board of Directors. As of December 31, 2022, the Board of Dire</w:t>
      </w:r>
      <w:r>
        <w:rPr>
          <w:sz w:val="20"/>
          <w:szCs w:val="20"/>
        </w:rPr>
        <w:t>ctors has declared monthly dividends on the Series A and Series B Preferred Stock payable through February 2023.</w:t>
      </w:r>
    </w:p>
    <w:p w:rsidR="00000000" w:rsidRDefault="003A6737">
      <w:pPr>
        <w:pStyle w:val="a3"/>
        <w:spacing w:before="0" w:beforeAutospacing="0" w:after="0" w:afterAutospacing="0"/>
        <w:rPr>
          <w:sz w:val="20"/>
          <w:szCs w:val="20"/>
        </w:rPr>
      </w:pPr>
      <w:r>
        <w:rPr>
          <w:i/>
          <w:iCs/>
          <w:sz w:val="20"/>
          <w:szCs w:val="20"/>
        </w:rPr>
        <w:t> </w:t>
      </w:r>
    </w:p>
    <w:p w:rsidR="00000000" w:rsidRDefault="003A6737">
      <w:pPr>
        <w:pStyle w:val="a3"/>
        <w:spacing w:before="0" w:beforeAutospacing="0" w:after="0" w:afterAutospacing="0"/>
        <w:rPr>
          <w:sz w:val="20"/>
          <w:szCs w:val="20"/>
        </w:rPr>
      </w:pPr>
      <w:r>
        <w:rPr>
          <w:i/>
          <w:iCs/>
          <w:sz w:val="20"/>
          <w:szCs w:val="20"/>
          <w:u w:val="single"/>
        </w:rPr>
        <w:t>Warrants</w:t>
      </w:r>
    </w:p>
    <w:p w:rsidR="00000000" w:rsidRDefault="003A6737">
      <w:pPr>
        <w:pStyle w:val="a3"/>
        <w:spacing w:before="0" w:beforeAutospacing="0" w:after="0" w:afterAutospacing="0"/>
        <w:jc w:val="both"/>
        <w:rPr>
          <w:sz w:val="20"/>
          <w:szCs w:val="20"/>
        </w:rPr>
      </w:pPr>
      <w:r>
        <w:rPr>
          <w:sz w:val="20"/>
          <w:szCs w:val="20"/>
        </w:rPr>
        <w:t>The Company has issued</w:t>
      </w:r>
      <w:r>
        <w:rPr>
          <w:sz w:val="20"/>
          <w:szCs w:val="20"/>
        </w:rPr>
        <w:t xml:space="preserve"> </w:t>
      </w:r>
      <w:r>
        <w:rPr>
          <w:sz w:val="20"/>
          <w:szCs w:val="20"/>
        </w:rPr>
        <w:t>6,603,48</w:t>
      </w:r>
      <w:r>
        <w:rPr>
          <w:sz w:val="20"/>
          <w:szCs w:val="20"/>
        </w:rPr>
        <w:t>9</w:t>
      </w:r>
      <w:r>
        <w:rPr>
          <w:sz w:val="20"/>
          <w:szCs w:val="20"/>
        </w:rPr>
        <w:t xml:space="preserve"> warrants for its common stock, of which</w:t>
      </w:r>
      <w:r>
        <w:rPr>
          <w:sz w:val="20"/>
          <w:szCs w:val="20"/>
        </w:rPr>
        <w:t xml:space="preserve"> </w:t>
      </w:r>
      <w:r>
        <w:rPr>
          <w:sz w:val="20"/>
          <w:szCs w:val="20"/>
        </w:rPr>
        <w:t>1,128,48</w:t>
      </w:r>
      <w:r>
        <w:rPr>
          <w:sz w:val="20"/>
          <w:szCs w:val="20"/>
        </w:rPr>
        <w:t>9</w:t>
      </w:r>
      <w:r>
        <w:rPr>
          <w:sz w:val="20"/>
          <w:szCs w:val="20"/>
        </w:rPr>
        <w:t xml:space="preserve"> </w:t>
      </w:r>
      <w:r>
        <w:rPr>
          <w:sz w:val="20"/>
          <w:szCs w:val="20"/>
        </w:rPr>
        <w:t>remained outstanding at December 31, 2022. The outstanding warrants consist of</w:t>
      </w:r>
      <w:r>
        <w:rPr>
          <w:sz w:val="20"/>
          <w:szCs w:val="20"/>
        </w:rPr>
        <w:t xml:space="preserve"> </w:t>
      </w:r>
      <w:r>
        <w:rPr>
          <w:sz w:val="20"/>
          <w:szCs w:val="20"/>
        </w:rPr>
        <w:t>1,000,00</w:t>
      </w:r>
      <w:r>
        <w:rPr>
          <w:sz w:val="20"/>
          <w:szCs w:val="20"/>
        </w:rPr>
        <w:t>0</w:t>
      </w:r>
      <w:r>
        <w:rPr>
          <w:sz w:val="20"/>
          <w:szCs w:val="20"/>
        </w:rPr>
        <w:t xml:space="preserve"> warrants at a </w:t>
      </w:r>
      <w:r>
        <w:rPr>
          <w:sz w:val="20"/>
          <w:szCs w:val="20"/>
        </w:rPr>
        <w:t>$</w:t>
      </w:r>
      <w:r>
        <w:rPr>
          <w:sz w:val="20"/>
          <w:szCs w:val="20"/>
        </w:rPr>
        <w:t>10.0</w:t>
      </w:r>
      <w:r>
        <w:rPr>
          <w:sz w:val="20"/>
          <w:szCs w:val="20"/>
        </w:rPr>
        <w:t>0</w:t>
      </w:r>
      <w:r>
        <w:rPr>
          <w:sz w:val="20"/>
          <w:szCs w:val="20"/>
        </w:rPr>
        <w:t xml:space="preserve"> exercise price which expired in</w:t>
      </w:r>
      <w:r>
        <w:rPr>
          <w:sz w:val="20"/>
          <w:szCs w:val="20"/>
        </w:rPr>
        <w:t xml:space="preserve"> </w:t>
      </w:r>
      <w:r>
        <w:rPr>
          <w:sz w:val="20"/>
          <w:szCs w:val="20"/>
        </w:rPr>
        <w:t>January 202</w:t>
      </w:r>
      <w:r>
        <w:rPr>
          <w:sz w:val="20"/>
          <w:szCs w:val="20"/>
        </w:rPr>
        <w:t>3</w:t>
      </w:r>
      <w:r>
        <w:rPr>
          <w:sz w:val="20"/>
          <w:szCs w:val="20"/>
        </w:rPr>
        <w:t>,</w:t>
      </w:r>
      <w:r>
        <w:rPr>
          <w:sz w:val="20"/>
          <w:szCs w:val="20"/>
        </w:rPr>
        <w:t xml:space="preserve"> </w:t>
      </w:r>
      <w:r>
        <w:rPr>
          <w:sz w:val="20"/>
          <w:szCs w:val="20"/>
        </w:rPr>
        <w:t>100,00</w:t>
      </w:r>
      <w:r>
        <w:rPr>
          <w:sz w:val="20"/>
          <w:szCs w:val="20"/>
        </w:rPr>
        <w:t>0</w:t>
      </w:r>
      <w:r>
        <w:rPr>
          <w:sz w:val="20"/>
          <w:szCs w:val="20"/>
        </w:rPr>
        <w:t xml:space="preserve"> warrants at a </w:t>
      </w:r>
      <w:r>
        <w:rPr>
          <w:sz w:val="20"/>
          <w:szCs w:val="20"/>
        </w:rPr>
        <w:t>$</w:t>
      </w:r>
      <w:r>
        <w:rPr>
          <w:sz w:val="20"/>
          <w:szCs w:val="20"/>
        </w:rPr>
        <w:t>5.0</w:t>
      </w:r>
      <w:r>
        <w:rPr>
          <w:sz w:val="20"/>
          <w:szCs w:val="20"/>
        </w:rPr>
        <w:t>0</w:t>
      </w:r>
      <w:r>
        <w:rPr>
          <w:sz w:val="20"/>
          <w:szCs w:val="20"/>
        </w:rPr>
        <w:t xml:space="preserve"> exercise price which will expire in</w:t>
      </w:r>
      <w:r>
        <w:rPr>
          <w:sz w:val="20"/>
          <w:szCs w:val="20"/>
        </w:rPr>
        <w:t xml:space="preserve"> </w:t>
      </w:r>
      <w:r>
        <w:rPr>
          <w:sz w:val="20"/>
          <w:szCs w:val="20"/>
        </w:rPr>
        <w:t>July 202</w:t>
      </w:r>
      <w:r>
        <w:rPr>
          <w:sz w:val="20"/>
          <w:szCs w:val="20"/>
        </w:rPr>
        <w:t>3</w:t>
      </w:r>
      <w:r>
        <w:rPr>
          <w:sz w:val="20"/>
          <w:szCs w:val="20"/>
        </w:rPr>
        <w:t>, and</w:t>
      </w:r>
      <w:r>
        <w:rPr>
          <w:sz w:val="20"/>
          <w:szCs w:val="20"/>
        </w:rPr>
        <w:t xml:space="preserve"> </w:t>
      </w:r>
      <w:r>
        <w:rPr>
          <w:sz w:val="20"/>
          <w:szCs w:val="20"/>
        </w:rPr>
        <w:t>28,48</w:t>
      </w:r>
      <w:r>
        <w:rPr>
          <w:sz w:val="20"/>
          <w:szCs w:val="20"/>
        </w:rPr>
        <w:t>9</w:t>
      </w:r>
      <w:r>
        <w:rPr>
          <w:sz w:val="20"/>
          <w:szCs w:val="20"/>
        </w:rPr>
        <w:t xml:space="preserve"> warrants at a </w:t>
      </w:r>
      <w:r>
        <w:rPr>
          <w:sz w:val="20"/>
          <w:szCs w:val="20"/>
        </w:rPr>
        <w:t>$</w:t>
      </w:r>
      <w:r>
        <w:rPr>
          <w:sz w:val="20"/>
          <w:szCs w:val="20"/>
        </w:rPr>
        <w:t>5.2</w:t>
      </w:r>
      <w:r>
        <w:rPr>
          <w:sz w:val="20"/>
          <w:szCs w:val="20"/>
        </w:rPr>
        <w:t>6</w:t>
      </w:r>
      <w:r>
        <w:rPr>
          <w:sz w:val="20"/>
          <w:szCs w:val="20"/>
        </w:rPr>
        <w:t xml:space="preserve"> exercise price which will expire in</w:t>
      </w:r>
      <w:r>
        <w:rPr>
          <w:sz w:val="20"/>
          <w:szCs w:val="20"/>
        </w:rPr>
        <w:t xml:space="preserve"> </w:t>
      </w:r>
      <w:r>
        <w:rPr>
          <w:sz w:val="20"/>
          <w:szCs w:val="20"/>
        </w:rPr>
        <w:t>September 202</w:t>
      </w:r>
      <w:r>
        <w:rPr>
          <w:sz w:val="20"/>
          <w:szCs w:val="20"/>
        </w:rPr>
        <w:t>3</w:t>
      </w:r>
      <w:r>
        <w:rPr>
          <w:sz w:val="20"/>
          <w:szCs w:val="20"/>
        </w:rPr>
        <w:t>. During the years ended December 31, 2022 and 2021,</w:t>
      </w:r>
      <w:r>
        <w:rPr>
          <w:sz w:val="20"/>
          <w:szCs w:val="20"/>
        </w:rPr>
        <w:t xml:space="preserve"> </w:t>
      </w:r>
      <w:r>
        <w:rPr>
          <w:sz w:val="20"/>
          <w:szCs w:val="20"/>
        </w:rPr>
        <w:t>125,00</w:t>
      </w:r>
      <w:r>
        <w:rPr>
          <w:sz w:val="20"/>
          <w:szCs w:val="20"/>
        </w:rPr>
        <w:t>0</w:t>
      </w:r>
      <w:r>
        <w:rPr>
          <w:sz w:val="20"/>
          <w:szCs w:val="20"/>
        </w:rPr>
        <w:t xml:space="preserve"> and</w:t>
      </w:r>
      <w:r>
        <w:rPr>
          <w:sz w:val="20"/>
          <w:szCs w:val="20"/>
        </w:rPr>
        <w:t xml:space="preserve"> </w:t>
      </w:r>
      <w:r>
        <w:rPr>
          <w:sz w:val="20"/>
          <w:szCs w:val="20"/>
        </w:rPr>
        <w:t>858,00</w:t>
      </w:r>
      <w:r>
        <w:rPr>
          <w:sz w:val="20"/>
          <w:szCs w:val="20"/>
        </w:rPr>
        <w:t>0</w:t>
      </w:r>
      <w:r>
        <w:rPr>
          <w:sz w:val="20"/>
          <w:szCs w:val="20"/>
        </w:rPr>
        <w:t xml:space="preserve"> warrants, respectively, were exercised at a </w:t>
      </w:r>
      <w:r>
        <w:rPr>
          <w:sz w:val="20"/>
          <w:szCs w:val="20"/>
        </w:rPr>
        <w:t>$</w:t>
      </w:r>
      <w:r>
        <w:rPr>
          <w:sz w:val="20"/>
          <w:szCs w:val="20"/>
        </w:rPr>
        <w:t>3.9</w:t>
      </w:r>
      <w:r>
        <w:rPr>
          <w:sz w:val="20"/>
          <w:szCs w:val="20"/>
        </w:rPr>
        <w:t>2</w:t>
      </w:r>
      <w:r>
        <w:rPr>
          <w:sz w:val="20"/>
          <w:szCs w:val="20"/>
        </w:rPr>
        <w:t xml:space="preserve"> and </w:t>
      </w:r>
      <w:r>
        <w:rPr>
          <w:sz w:val="20"/>
          <w:szCs w:val="20"/>
        </w:rPr>
        <w:t>$</w:t>
      </w:r>
      <w:r>
        <w:rPr>
          <w:sz w:val="20"/>
          <w:szCs w:val="20"/>
        </w:rPr>
        <w:t>7.5</w:t>
      </w:r>
      <w:r>
        <w:rPr>
          <w:sz w:val="20"/>
          <w:szCs w:val="20"/>
        </w:rPr>
        <w:t>0</w:t>
      </w:r>
      <w:r>
        <w:rPr>
          <w:sz w:val="20"/>
          <w:szCs w:val="20"/>
        </w:rPr>
        <w:t xml:space="preserve"> exercise price for total proceeds of approximately </w:t>
      </w:r>
      <w:r>
        <w:rPr>
          <w:sz w:val="20"/>
          <w:szCs w:val="20"/>
        </w:rPr>
        <w:t>$</w:t>
      </w:r>
      <w:r>
        <w:rPr>
          <w:sz w:val="20"/>
          <w:szCs w:val="20"/>
        </w:rPr>
        <w:t>6,435,00</w:t>
      </w:r>
      <w:r>
        <w:rPr>
          <w:sz w:val="20"/>
          <w:szCs w:val="20"/>
        </w:rPr>
        <w:t>0</w:t>
      </w:r>
      <w:r>
        <w:rPr>
          <w:sz w:val="20"/>
          <w:szCs w:val="20"/>
        </w:rPr>
        <w:t xml:space="preserve"> in 20</w:t>
      </w:r>
      <w:r>
        <w:rPr>
          <w:sz w:val="20"/>
          <w:szCs w:val="20"/>
        </w:rPr>
        <w:t>21. The warrants exercised in 2022 were a cashless exercise.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Company incurs common and preferred stock offering costs which consist principally of professional fees, primarily legal and accounting, and other costs such as printing and registration co</w:t>
      </w:r>
      <w:r>
        <w:rPr>
          <w:sz w:val="20"/>
          <w:szCs w:val="20"/>
        </w:rPr>
        <w:t xml:space="preserve">sts. In connection with the 2022 and 2021 equity offerings, the Company incurred approximately </w:t>
      </w:r>
      <w:r>
        <w:rPr>
          <w:sz w:val="20"/>
          <w:szCs w:val="20"/>
        </w:rPr>
        <w:t>$</w:t>
      </w:r>
      <w:r>
        <w:rPr>
          <w:sz w:val="20"/>
          <w:szCs w:val="20"/>
        </w:rPr>
        <w:t>2.</w:t>
      </w:r>
      <w:r>
        <w:rPr>
          <w:sz w:val="20"/>
          <w:szCs w:val="20"/>
        </w:rPr>
        <w:t>3</w:t>
      </w:r>
      <w:r>
        <w:rPr>
          <w:sz w:val="20"/>
          <w:szCs w:val="20"/>
        </w:rPr>
        <w:t xml:space="preserve"> million and </w:t>
      </w:r>
      <w:r>
        <w:rPr>
          <w:sz w:val="20"/>
          <w:szCs w:val="20"/>
        </w:rPr>
        <w:t>$</w:t>
      </w:r>
      <w:r>
        <w:rPr>
          <w:sz w:val="20"/>
          <w:szCs w:val="20"/>
        </w:rPr>
        <w:t>223,00</w:t>
      </w:r>
      <w:r>
        <w:rPr>
          <w:sz w:val="20"/>
          <w:szCs w:val="20"/>
        </w:rPr>
        <w:t>0</w:t>
      </w:r>
      <w:r>
        <w:rPr>
          <w:sz w:val="20"/>
          <w:szCs w:val="20"/>
        </w:rPr>
        <w:t>, respectively, of such costs, excluding underwriting commissions and placement agent fees which are recorded in additional paid-in capi</w:t>
      </w:r>
      <w:r>
        <w:rPr>
          <w:sz w:val="20"/>
          <w:szCs w:val="20"/>
        </w:rPr>
        <w:t>tal in the consolidated balance sheets.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caps/>
          <w:sz w:val="20"/>
          <w:szCs w:val="20"/>
        </w:rPr>
      </w:pPr>
      <w:r>
        <w:rPr>
          <w:b/>
          <w:bCs/>
          <w:caps/>
          <w:sz w:val="20"/>
          <w:szCs w:val="20"/>
        </w:rPr>
        <w:t>11.</w:t>
      </w:r>
      <w:r>
        <w:rPr>
          <w:caps/>
          <w:sz w:val="20"/>
          <w:szCs w:val="20"/>
        </w:rPr>
        <w:t xml:space="preserve"> </w:t>
      </w:r>
      <w:r>
        <w:rPr>
          <w:b/>
          <w:bCs/>
          <w:caps/>
          <w:sz w:val="20"/>
          <w:szCs w:val="20"/>
        </w:rPr>
        <w:t>COMMITMENTS AND CONTINGENCIE</w:t>
      </w:r>
      <w:r>
        <w:rPr>
          <w:b/>
          <w:bCs/>
          <w:caps/>
          <w:sz w:val="20"/>
          <w:szCs w:val="20"/>
        </w:rPr>
        <w:t>S</w:t>
      </w:r>
    </w:p>
    <w:p w:rsidR="00000000" w:rsidRDefault="003A6737">
      <w:pPr>
        <w:pStyle w:val="a3"/>
        <w:spacing w:before="0" w:beforeAutospacing="0" w:after="0" w:afterAutospacing="0"/>
        <w:jc w:val="both"/>
        <w:rPr>
          <w:sz w:val="20"/>
          <w:szCs w:val="20"/>
        </w:rPr>
      </w:pPr>
      <w:r>
        <w:rPr>
          <w:b/>
          <w:bCs/>
          <w:sz w:val="20"/>
          <w:szCs w:val="20"/>
        </w:rPr>
        <w:t> </w:t>
      </w:r>
    </w:p>
    <w:p w:rsidR="00000000" w:rsidRDefault="003A6737">
      <w:pPr>
        <w:pStyle w:val="a3"/>
        <w:spacing w:before="0" w:beforeAutospacing="0" w:after="0" w:afterAutospacing="0"/>
        <w:jc w:val="both"/>
        <w:rPr>
          <w:sz w:val="20"/>
          <w:szCs w:val="20"/>
        </w:rPr>
      </w:pPr>
      <w:r>
        <w:rPr>
          <w:b/>
          <w:bCs/>
          <w:sz w:val="20"/>
          <w:szCs w:val="20"/>
        </w:rPr>
        <w:t>Legal Proceedings</w:t>
      </w:r>
      <w:r>
        <w:rPr>
          <w:sz w:val="20"/>
          <w:szCs w:val="20"/>
        </w:rPr>
        <w:t xml:space="preserve"> — On December 9, 2022, an arbitrator rendered a decision in favor of MTBC Acquisition Corp. (“MAC”) and dismissed the claims brought against MAC by Randolph Pai</w:t>
      </w:r>
      <w:r>
        <w:rPr>
          <w:sz w:val="20"/>
          <w:szCs w:val="20"/>
        </w:rPr>
        <w:t>n Relief and Wellness Center (“RPRWC”), determining that RPRWC failed to prove any breach of the applicable billing services agreement and failed to prove that any alleged damages were due. RPRWC has until April 5, 2023 to file a summary action in Superior</w:t>
      </w:r>
      <w:r>
        <w:rPr>
          <w:sz w:val="20"/>
          <w:szCs w:val="20"/>
        </w:rPr>
        <w:t xml:space="preserve"> Court of New Jersey should it seek to have the decision overturned.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RPRWC was a client of Millennium Practice Management Associates, Inc. (“MPMA”), a subsidiary of MediGain, Inc., whose assets were purchased by MAC on October 3, 2016, after RPRWC termin</w:t>
      </w:r>
      <w:r>
        <w:rPr>
          <w:sz w:val="20"/>
          <w:szCs w:val="20"/>
        </w:rPr>
        <w:t>ated its billing services agreement with MPMA. After MAC’s purchase of MediGain’s assets, RPRWC demanded an arbitration proceeding against CareCloud and MAC before the American Arbitration Association for damages they alleged were caused by MPMA prior to t</w:t>
      </w:r>
      <w:r>
        <w:rPr>
          <w:sz w:val="20"/>
          <w:szCs w:val="20"/>
        </w:rPr>
        <w:t>he asset purchase.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On May 30, 2018, the Superior Court of New Jersey, Chancery Division, Somerset County (the “Chancery Court”) denied CareCloud’s and MAC’s request to enjoin the arbitration proceeding demanded by RPRWC.</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CareCloud and MAC filed an appe</w:t>
      </w:r>
      <w:r>
        <w:rPr>
          <w:sz w:val="20"/>
          <w:szCs w:val="20"/>
        </w:rPr>
        <w:t xml:space="preserve">al of the Chancery Court’s decision with the New Jersey Superior Court, Appellate Division. The Chancery Court stayed the arbitration pending the appeal. On appeal, CareCloud and MAC contended they were never party to the billing services agreement giving </w:t>
      </w:r>
      <w:r>
        <w:rPr>
          <w:sz w:val="20"/>
          <w:szCs w:val="20"/>
        </w:rPr>
        <w:t>rise to the arbitration claim, did not assume the obligations of MPMA under such agreement, and any agreement to arbitrate disputes arising under such agreement did not apply to CareCloud or MAC as RPRWC terminated the agreement before the applicable asset</w:t>
      </w:r>
      <w:r>
        <w:rPr>
          <w:sz w:val="20"/>
          <w:szCs w:val="20"/>
        </w:rPr>
        <w:t xml:space="preserve"> purchase agreement took effect.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On April 23, 2019, the Appellate Division affirmed in part and reversed in part the Chancery Court’s order. The Appellate Division upheld the portion of the Chancery Court’s order requiring MAC to participate in the arbit</w:t>
      </w:r>
      <w:r>
        <w:rPr>
          <w:sz w:val="20"/>
          <w:szCs w:val="20"/>
        </w:rPr>
        <w:t>ration based on the Chancery Court’s finding that MAC had assumed MPMA’s contractual responsibilities. The Appellate Division, however, reversed the Chancery Court’s order requiring CareCloud to participate in the arbitration on the grounds that insufficie</w:t>
      </w:r>
      <w:r>
        <w:rPr>
          <w:sz w:val="20"/>
          <w:szCs w:val="20"/>
        </w:rPr>
        <w:t>nt facts had been provided by RPRWC from which the court could conclude CareCloud was required to participate in the arbitration and remanded the matter back to the Chancery Court for further proceedings.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On February 6, 2020, the Chancery Court held that</w:t>
      </w:r>
      <w:r>
        <w:rPr>
          <w:sz w:val="20"/>
          <w:szCs w:val="20"/>
        </w:rPr>
        <w:t xml:space="preserve"> CareCloud cannot be compelled to participate in the arbitration. On March 25, 2020, the Chancery Court lifted the stay of arbitration relative to RPRWC and MAC. In its arbitration demand, RPRWC alleged that MPMA, a subsidiary of MediGain, LLC, breached th</w:t>
      </w:r>
      <w:r>
        <w:rPr>
          <w:sz w:val="20"/>
          <w:szCs w:val="20"/>
        </w:rPr>
        <w:t xml:space="preserve">e terms of the billing services agreement the parties had entered into and sought compensatory damages of </w:t>
      </w:r>
      <w:r>
        <w:rPr>
          <w:sz w:val="20"/>
          <w:szCs w:val="20"/>
        </w:rPr>
        <w:t>$</w:t>
      </w:r>
      <w:r>
        <w:rPr>
          <w:sz w:val="20"/>
          <w:szCs w:val="20"/>
        </w:rPr>
        <w:t>6.</w:t>
      </w:r>
      <w:r>
        <w:rPr>
          <w:sz w:val="20"/>
          <w:szCs w:val="20"/>
        </w:rPr>
        <w:t>6</w:t>
      </w:r>
      <w:r>
        <w:rPr>
          <w:sz w:val="20"/>
          <w:szCs w:val="20"/>
        </w:rPr>
        <w:t xml:space="preserve"> million and costs.</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58316267"/>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During </w:t>
      </w:r>
      <w:r>
        <w:rPr>
          <w:sz w:val="20"/>
          <w:szCs w:val="20"/>
        </w:rPr>
        <w:t xml:space="preserve">the discovery phase of the arbitration, RPRWC served expert reports whereby RPRWC’s expert alleged that damages were estimated to be in the range of </w:t>
      </w:r>
      <w:r>
        <w:rPr>
          <w:sz w:val="20"/>
          <w:szCs w:val="20"/>
        </w:rPr>
        <w:t>$</w:t>
      </w:r>
      <w:r>
        <w:rPr>
          <w:sz w:val="20"/>
          <w:szCs w:val="20"/>
        </w:rPr>
        <w:t>9.</w:t>
      </w:r>
      <w:r>
        <w:rPr>
          <w:sz w:val="20"/>
          <w:szCs w:val="20"/>
        </w:rPr>
        <w:t>8</w:t>
      </w:r>
      <w:r>
        <w:rPr>
          <w:sz w:val="20"/>
          <w:szCs w:val="20"/>
        </w:rPr>
        <w:t xml:space="preserve"> million to </w:t>
      </w:r>
      <w:r>
        <w:rPr>
          <w:sz w:val="20"/>
          <w:szCs w:val="20"/>
        </w:rPr>
        <w:t>$</w:t>
      </w:r>
      <w:r>
        <w:rPr>
          <w:sz w:val="20"/>
          <w:szCs w:val="20"/>
        </w:rPr>
        <w:t>10.</w:t>
      </w:r>
      <w:r>
        <w:rPr>
          <w:sz w:val="20"/>
          <w:szCs w:val="20"/>
        </w:rPr>
        <w:t>8</w:t>
      </w:r>
      <w:r>
        <w:rPr>
          <w:sz w:val="20"/>
          <w:szCs w:val="20"/>
        </w:rPr>
        <w:t xml:space="preserve"> million. MAC served an expert report refuting the alleged damages.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In the event RPR</w:t>
      </w:r>
      <w:r>
        <w:rPr>
          <w:sz w:val="20"/>
          <w:szCs w:val="20"/>
        </w:rPr>
        <w:t>WC files a summary action, MAC will continue to vigorously defend against RPRWC’s claim. It remains that since MAC is not a significant subsidiary of CareCloud pursuant to Rule 1-02(w) of Regulation S-X and CareCloud is not a party to this proceeding, we d</w:t>
      </w:r>
      <w:r>
        <w:rPr>
          <w:sz w:val="20"/>
          <w:szCs w:val="20"/>
        </w:rPr>
        <w:t>o not expect any outcome to have a material impact on the Company’s consolidated financial statements.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From time to time, we may become involved in other legal proceedings arising in the ordinary course of our business. Including the proceeding described</w:t>
      </w:r>
      <w:r>
        <w:rPr>
          <w:sz w:val="20"/>
          <w:szCs w:val="20"/>
        </w:rPr>
        <w:t xml:space="preserve"> above, we are not presently a party to any legal proceedings that, in the opinion of our management, would individually or taken together have a material adverse effect on our business, consolidated results of operations, financial position or cash flows </w:t>
      </w:r>
      <w:r>
        <w:rPr>
          <w:sz w:val="20"/>
          <w:szCs w:val="20"/>
        </w:rPr>
        <w:t>of the Company.</w:t>
      </w:r>
    </w:p>
    <w:p w:rsidR="00000000" w:rsidRDefault="003A6737">
      <w:pPr>
        <w:pStyle w:val="a3"/>
        <w:spacing w:before="0" w:beforeAutospacing="0" w:after="0" w:afterAutospacing="0"/>
        <w:ind w:left="475" w:hanging="475"/>
        <w:rPr>
          <w:b/>
          <w:bCs/>
          <w:caps/>
          <w:sz w:val="20"/>
          <w:szCs w:val="20"/>
        </w:rPr>
      </w:pPr>
      <w:r>
        <w:rPr>
          <w:b/>
          <w:bCs/>
          <w:caps/>
          <w:sz w:val="20"/>
          <w:szCs w:val="20"/>
        </w:rPr>
        <w:t> </w:t>
      </w:r>
    </w:p>
    <w:p w:rsidR="00000000" w:rsidRDefault="003A6737">
      <w:pPr>
        <w:pStyle w:val="a3"/>
        <w:spacing w:before="0" w:beforeAutospacing="0" w:after="0" w:afterAutospacing="0"/>
        <w:rPr>
          <w:caps/>
          <w:sz w:val="20"/>
          <w:szCs w:val="20"/>
        </w:rPr>
      </w:pPr>
      <w:r>
        <w:rPr>
          <w:b/>
          <w:bCs/>
          <w:caps/>
          <w:sz w:val="20"/>
          <w:szCs w:val="20"/>
        </w:rPr>
        <w:t>12.</w:t>
      </w:r>
      <w:r>
        <w:rPr>
          <w:caps/>
          <w:sz w:val="20"/>
          <w:szCs w:val="20"/>
        </w:rPr>
        <w:t xml:space="preserve"> </w:t>
      </w:r>
      <w:r>
        <w:rPr>
          <w:b/>
          <w:bCs/>
          <w:caps/>
          <w:sz w:val="20"/>
          <w:szCs w:val="20"/>
        </w:rPr>
        <w:t>LEASE</w:t>
      </w:r>
      <w:r>
        <w:rPr>
          <w:b/>
          <w:bCs/>
          <w:caps/>
          <w:sz w:val="20"/>
          <w:szCs w:val="20"/>
        </w:rPr>
        <w: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We determine if an arrangement is a lease at inception. We have operating leases for office and temporary living space as well as for some office equipment. Operating leases are included in operating lease ROU assets, current</w:t>
      </w:r>
      <w:r>
        <w:rPr>
          <w:sz w:val="20"/>
          <w:szCs w:val="20"/>
        </w:rPr>
        <w:t xml:space="preserve"> operating lease liability and non-current operating lease liability in our consolidated balance sheets as of December 31, 2022 and 2021. The Company does not have any finance leases.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ROU assets represent our right to use an underlying asset for the leas</w:t>
      </w:r>
      <w:r>
        <w:rPr>
          <w:sz w:val="20"/>
          <w:szCs w:val="20"/>
        </w:rPr>
        <w:t>e term and lease liabilities represent our obligation to make lease payments arising from the lease. ROU assets and liabilities are recognized at the lease commencement date based on the estimated present value of the lease payments over the lease term.</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As most of our leases do not provide an implicit rate, we use our estimated incremental borrowing rates, which are derived from information available at the lease commencement date, in determining the present value of lease payments. We give consideration </w:t>
      </w:r>
      <w:r>
        <w:rPr>
          <w:sz w:val="20"/>
          <w:szCs w:val="20"/>
        </w:rPr>
        <w:t>to our bank financing arrangements, geographical location and collateralization of assets when calculating our incremental borrowing rates.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Our </w:t>
      </w:r>
      <w:r>
        <w:rPr>
          <w:sz w:val="20"/>
          <w:szCs w:val="20"/>
        </w:rPr>
        <w:t>lease terms include options to extend the lease when it is reasonably certain that we will exercise that option.</w:t>
      </w:r>
      <w:r>
        <w:rPr>
          <w:sz w:val="20"/>
          <w:szCs w:val="20"/>
        </w:rPr>
        <w:t xml:space="preserve"> </w:t>
      </w:r>
      <w:r>
        <w:rPr>
          <w:sz w:val="20"/>
          <w:szCs w:val="20"/>
        </w:rPr>
        <w:t>Leases with a term of less than 12 months are not recorded in the consolidated balance sheet</w:t>
      </w:r>
      <w:r>
        <w:rPr>
          <w:sz w:val="20"/>
          <w:szCs w:val="20"/>
        </w:rPr>
        <w:t>s</w:t>
      </w:r>
      <w:r>
        <w:rPr>
          <w:sz w:val="20"/>
          <w:szCs w:val="20"/>
        </w:rPr>
        <w:t>. Our lease agreements do not contain any residual</w:t>
      </w:r>
      <w:r>
        <w:rPr>
          <w:sz w:val="20"/>
          <w:szCs w:val="20"/>
        </w:rPr>
        <w:t xml:space="preserve"> value guarantees. For real estate leases, we account for the lease and non-lease components as a single lease component. Some leases include escalation clauses and termination options that are factored in the determination of the lease payments when appro</w:t>
      </w:r>
      <w:r>
        <w:rPr>
          <w:sz w:val="20"/>
          <w:szCs w:val="20"/>
        </w:rPr>
        <w:t>priate.</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If a lease is modified after the effective date, the operating lease ROU asset and liability is re-measured using the current incremental borrowing rate. There were</w:t>
      </w:r>
      <w:r>
        <w:rPr>
          <w:sz w:val="20"/>
          <w:szCs w:val="20"/>
        </w:rPr>
        <w:t xml:space="preserve"> </w:t>
      </w:r>
      <w:r>
        <w:rPr>
          <w:sz w:val="20"/>
          <w:szCs w:val="20"/>
        </w:rPr>
        <w:t>n</w:t>
      </w:r>
      <w:r>
        <w:rPr>
          <w:sz w:val="20"/>
          <w:szCs w:val="20"/>
        </w:rPr>
        <w:t>o</w:t>
      </w:r>
      <w:r>
        <w:rPr>
          <w:sz w:val="20"/>
          <w:szCs w:val="20"/>
        </w:rPr>
        <w:t xml:space="preserve"> lease modifications during the years ended December 31, 2022 and 2021. The ant</w:t>
      </w:r>
      <w:r>
        <w:rPr>
          <w:sz w:val="20"/>
          <w:szCs w:val="20"/>
        </w:rPr>
        <w:t xml:space="preserve">icipated renewal for one lease was reassessed, resulting in an increase in ROU assets and liabilities of approximately </w:t>
      </w:r>
      <w:r>
        <w:rPr>
          <w:sz w:val="20"/>
          <w:szCs w:val="20"/>
        </w:rPr>
        <w:t>$</w:t>
      </w:r>
      <w:r>
        <w:rPr>
          <w:sz w:val="20"/>
          <w:szCs w:val="20"/>
        </w:rPr>
        <w:t>150,00</w:t>
      </w:r>
      <w:r>
        <w:rPr>
          <w:sz w:val="20"/>
          <w:szCs w:val="20"/>
        </w:rPr>
        <w:t>0</w:t>
      </w:r>
      <w:r>
        <w:rPr>
          <w:sz w:val="20"/>
          <w:szCs w:val="20"/>
        </w:rPr>
        <w:t>. We review our incremental borrowing rate for our portfolio of leases on a quarterly basis.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During the years ended December 31</w:t>
      </w:r>
      <w:r>
        <w:rPr>
          <w:sz w:val="20"/>
          <w:szCs w:val="20"/>
        </w:rPr>
        <w:t xml:space="preserve">, 2022 and 2021, there were approximately </w:t>
      </w:r>
      <w:r>
        <w:rPr>
          <w:sz w:val="20"/>
          <w:szCs w:val="20"/>
        </w:rPr>
        <w:t>$</w:t>
      </w:r>
      <w:r>
        <w:rPr>
          <w:sz w:val="20"/>
          <w:szCs w:val="20"/>
        </w:rPr>
        <w:t>1.</w:t>
      </w:r>
      <w:r>
        <w:rPr>
          <w:sz w:val="20"/>
          <w:szCs w:val="20"/>
        </w:rPr>
        <w:t>0</w:t>
      </w:r>
      <w:r>
        <w:rPr>
          <w:sz w:val="20"/>
          <w:szCs w:val="20"/>
        </w:rPr>
        <w:t xml:space="preserve"> million and </w:t>
      </w:r>
      <w:r>
        <w:rPr>
          <w:sz w:val="20"/>
          <w:szCs w:val="20"/>
        </w:rPr>
        <w:t>$</w:t>
      </w:r>
      <w:r>
        <w:rPr>
          <w:sz w:val="20"/>
          <w:szCs w:val="20"/>
        </w:rPr>
        <w:t>959,00</w:t>
      </w:r>
      <w:r>
        <w:rPr>
          <w:sz w:val="20"/>
          <w:szCs w:val="20"/>
        </w:rPr>
        <w:t>0</w:t>
      </w:r>
      <w:r>
        <w:rPr>
          <w:sz w:val="20"/>
          <w:szCs w:val="20"/>
        </w:rPr>
        <w:t xml:space="preserve">, respectively, of unoccupied lease charges for two of the Company’s facilities. During the year ended December 31, 2021, the Company recorded approximately </w:t>
      </w:r>
      <w:r>
        <w:rPr>
          <w:sz w:val="20"/>
          <w:szCs w:val="20"/>
        </w:rPr>
        <w:t>$</w:t>
      </w:r>
      <w:r>
        <w:rPr>
          <w:sz w:val="20"/>
          <w:szCs w:val="20"/>
        </w:rPr>
        <w:t>775,00</w:t>
      </w:r>
      <w:r>
        <w:rPr>
          <w:sz w:val="20"/>
          <w:szCs w:val="20"/>
        </w:rPr>
        <w:t>0</w:t>
      </w:r>
      <w:r>
        <w:rPr>
          <w:sz w:val="20"/>
          <w:szCs w:val="20"/>
        </w:rPr>
        <w:t xml:space="preserve"> of impairment charges o</w:t>
      </w:r>
      <w:r>
        <w:rPr>
          <w:sz w:val="20"/>
          <w:szCs w:val="20"/>
        </w:rPr>
        <w:t xml:space="preserve">n a vendor contract and recorded a lease impairment of approximately </w:t>
      </w:r>
      <w:r>
        <w:rPr>
          <w:sz w:val="20"/>
          <w:szCs w:val="20"/>
        </w:rPr>
        <w:t>$</w:t>
      </w:r>
      <w:r>
        <w:rPr>
          <w:sz w:val="20"/>
          <w:szCs w:val="20"/>
        </w:rPr>
        <w:t>68,00</w:t>
      </w:r>
      <w:r>
        <w:rPr>
          <w:sz w:val="20"/>
          <w:szCs w:val="20"/>
        </w:rPr>
        <w:t>0</w:t>
      </w:r>
      <w:r>
        <w:rPr>
          <w:sz w:val="20"/>
          <w:szCs w:val="20"/>
        </w:rPr>
        <w:t xml:space="preserve"> since the Company is no longer using certain leased facilities. There was no lease impairment recorded for the year ended December 31, 2022.</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During the year ended December 31, 2</w:t>
      </w:r>
      <w:r>
        <w:rPr>
          <w:sz w:val="20"/>
          <w:szCs w:val="20"/>
        </w:rPr>
        <w:t xml:space="preserve">022, there was a gain on lease termination of approximately </w:t>
      </w:r>
      <w:r>
        <w:rPr>
          <w:sz w:val="20"/>
          <w:szCs w:val="20"/>
        </w:rPr>
        <w:t>$</w:t>
      </w:r>
      <w:r>
        <w:rPr>
          <w:sz w:val="20"/>
          <w:szCs w:val="20"/>
        </w:rPr>
        <w:t>105,00</w:t>
      </w:r>
      <w:r>
        <w:rPr>
          <w:sz w:val="20"/>
          <w:szCs w:val="20"/>
        </w:rPr>
        <w:t>0</w:t>
      </w:r>
      <w:r>
        <w:rPr>
          <w:sz w:val="20"/>
          <w:szCs w:val="20"/>
        </w:rPr>
        <w:t xml:space="preserve">. Additionally, a facility lease was terminated in conjunction with the Company ceasing its document storage services resulting in additional costs of approximately </w:t>
      </w:r>
      <w:r>
        <w:rPr>
          <w:sz w:val="20"/>
          <w:szCs w:val="20"/>
        </w:rPr>
        <w:t>$</w:t>
      </w:r>
      <w:r>
        <w:rPr>
          <w:sz w:val="20"/>
          <w:szCs w:val="20"/>
        </w:rPr>
        <w:t>203,00</w:t>
      </w:r>
      <w:r>
        <w:rPr>
          <w:sz w:val="20"/>
          <w:szCs w:val="20"/>
        </w:rPr>
        <w:t>0</w:t>
      </w:r>
      <w:r>
        <w:rPr>
          <w:sz w:val="20"/>
          <w:szCs w:val="20"/>
        </w:rPr>
        <w:t>. These amounts</w:t>
      </w:r>
      <w:r>
        <w:rPr>
          <w:sz w:val="20"/>
          <w:szCs w:val="20"/>
        </w:rPr>
        <w:t xml:space="preserve"> are included in net loss on lease terminations, impairment and unoccupied lease charges in the consolidated statements of operations.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During the year ended December 31, 2021, the Company decided to terminate one of its leases in Pakistan which expired a</w:t>
      </w:r>
      <w:r>
        <w:rPr>
          <w:sz w:val="20"/>
          <w:szCs w:val="20"/>
        </w:rPr>
        <w:t xml:space="preserve">s of the end of the year. The Company did not renew this lease and consolidated its employees into the remaining facilities. As a result of the termination, the Company incurred a loss of approximately </w:t>
      </w:r>
      <w:r>
        <w:rPr>
          <w:sz w:val="20"/>
          <w:szCs w:val="20"/>
        </w:rPr>
        <w:t>$</w:t>
      </w:r>
      <w:r>
        <w:rPr>
          <w:sz w:val="20"/>
          <w:szCs w:val="20"/>
        </w:rPr>
        <w:t>18,00</w:t>
      </w:r>
      <w:r>
        <w:rPr>
          <w:sz w:val="20"/>
          <w:szCs w:val="20"/>
        </w:rPr>
        <w:t>0</w:t>
      </w:r>
      <w:r>
        <w:rPr>
          <w:sz w:val="20"/>
          <w:szCs w:val="20"/>
        </w:rPr>
        <w:t xml:space="preserve"> which has been included in net loss on lease t</w:t>
      </w:r>
      <w:r>
        <w:rPr>
          <w:sz w:val="20"/>
          <w:szCs w:val="20"/>
        </w:rPr>
        <w:t>ermination, impairment and unoccupied lease charges in the consolidated statements of operations.</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24494751"/>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Lease expense is included in direct operating costs and general and administrative expenses in the consolidated statements of operations based o</w:t>
      </w:r>
      <w:r>
        <w:rPr>
          <w:sz w:val="20"/>
          <w:szCs w:val="20"/>
        </w:rPr>
        <w:t>n the nature of the expense. As of December 31, 2022, we had 31 leased properties, five in Medical Practice Management and 26 in Healthcare IT, with the remaining terms ranging from less than one year to thirteen years. Our lease terms are determined takin</w:t>
      </w:r>
      <w:r>
        <w:rPr>
          <w:sz w:val="20"/>
          <w:szCs w:val="20"/>
        </w:rPr>
        <w:t>g into account lease renewal options, the Company’s anticipated operating plans and leases that are on a month-to-month basis. We also have some related party leases – see Note 13.</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components of lease expense were as follows:</w:t>
      </w:r>
    </w:p>
    <w:p w:rsidR="00000000" w:rsidRDefault="003A6737">
      <w:pPr>
        <w:pStyle w:val="a3"/>
        <w:spacing w:before="0" w:beforeAutospacing="0" w:after="0" w:afterAutospacing="0"/>
        <w:jc w:val="both"/>
        <w:rPr>
          <w:sz w:val="20"/>
          <w:szCs w:val="20"/>
        </w:rPr>
      </w:pPr>
      <w:r>
        <w:rPr>
          <w:vanish/>
          <w:sz w:val="20"/>
          <w:szCs w:val="20"/>
        </w:rPr>
        <w:t>SCHEDULE OF LEASE EXPENS</w:t>
      </w:r>
      <w:r>
        <w:rPr>
          <w:vanish/>
          <w:sz w:val="20"/>
          <w:szCs w:val="20"/>
        </w:rPr>
        <w:t>E</w:t>
      </w:r>
    </w:p>
    <w:tbl>
      <w:tblPr>
        <w:tblW w:w="3500" w:type="pct"/>
        <w:tblCellMar>
          <w:left w:w="0" w:type="dxa"/>
          <w:right w:w="0" w:type="dxa"/>
        </w:tblCellMar>
        <w:tblLook w:val="04A0" w:firstRow="1" w:lastRow="0" w:firstColumn="1" w:lastColumn="0" w:noHBand="0" w:noVBand="1"/>
      </w:tblPr>
      <w:tblGrid>
        <w:gridCol w:w="3010"/>
        <w:gridCol w:w="103"/>
        <w:gridCol w:w="100"/>
        <w:gridCol w:w="1150"/>
        <w:gridCol w:w="50"/>
        <w:gridCol w:w="100"/>
        <w:gridCol w:w="100"/>
        <w:gridCol w:w="1151"/>
        <w:gridCol w:w="50"/>
      </w:tblGrid>
      <w:tr w:rsidR="00000000">
        <w:trPr>
          <w:hidden/>
        </w:trPr>
        <w:tc>
          <w:tcPr>
            <w:tcW w:w="0" w:type="auto"/>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3A6737">
            <w:pPr>
              <w:rPr>
                <w:rFonts w:eastAsia="Times New Roman"/>
                <w:sz w:val="20"/>
                <w:szCs w:val="20"/>
              </w:rPr>
            </w:pPr>
            <w:r>
              <w:rPr>
                <w:rFonts w:eastAsia="Times New Roman"/>
                <w:sz w:val="20"/>
                <w:szCs w:val="20"/>
              </w:rPr>
              <w:t>Operating lease cost</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3,714</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4,232</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Short-term lease cost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92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Variable lease cost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29</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31</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Total - net lease cost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3,835</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4,317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Short-term </w:t>
      </w:r>
      <w:r>
        <w:rPr>
          <w:sz w:val="20"/>
          <w:szCs w:val="20"/>
        </w:rPr>
        <w:t>lease cost represents leases that were not capitalized as the lease term as of the later of January 1, 2022 or the beginning of the lease was less than 12 months. Variable lease costs include utilities, real estate taxes and common area maintenance costs.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Supplemental balance sheet information related to leases was as follows:</w:t>
      </w:r>
    </w:p>
    <w:p w:rsidR="00000000" w:rsidRDefault="003A6737">
      <w:pPr>
        <w:pStyle w:val="a3"/>
        <w:spacing w:before="0" w:beforeAutospacing="0" w:after="0" w:afterAutospacing="0"/>
        <w:jc w:val="both"/>
        <w:rPr>
          <w:sz w:val="20"/>
          <w:szCs w:val="20"/>
        </w:rPr>
      </w:pPr>
      <w:r>
        <w:rPr>
          <w:vanish/>
          <w:sz w:val="20"/>
          <w:szCs w:val="20"/>
        </w:rPr>
        <w:t>SCHEDULE OF SUPPLEMENTAL BALANCE SHEET INFORMATION RELATED TO LEASE</w:t>
      </w:r>
      <w:r>
        <w:rPr>
          <w:vanish/>
          <w:sz w:val="20"/>
          <w:szCs w:val="20"/>
        </w:rPr>
        <w:t>S</w:t>
      </w:r>
    </w:p>
    <w:tbl>
      <w:tblPr>
        <w:tblW w:w="4250" w:type="pct"/>
        <w:tblCellMar>
          <w:left w:w="0" w:type="dxa"/>
          <w:right w:w="0" w:type="dxa"/>
        </w:tblCellMar>
        <w:tblLook w:val="04A0" w:firstRow="1" w:lastRow="0" w:firstColumn="1" w:lastColumn="0" w:noHBand="0" w:noVBand="1"/>
      </w:tblPr>
      <w:tblGrid>
        <w:gridCol w:w="3903"/>
        <w:gridCol w:w="90"/>
        <w:gridCol w:w="101"/>
        <w:gridCol w:w="1220"/>
        <w:gridCol w:w="167"/>
        <w:gridCol w:w="90"/>
        <w:gridCol w:w="101"/>
        <w:gridCol w:w="1221"/>
        <w:gridCol w:w="167"/>
      </w:tblGrid>
      <w:tr w:rsidR="00000000">
        <w:tc>
          <w:tcPr>
            <w:tcW w:w="0" w:type="auto"/>
            <w:vAlign w:val="bottom"/>
            <w:hideMark/>
          </w:tcPr>
          <w:p w:rsidR="00000000" w:rsidRDefault="003A6737">
            <w:pPr>
              <w:rPr>
                <w:rFonts w:eastAsia="Times New Roman"/>
                <w:b/>
                <w:bCs/>
                <w:i/>
                <w:iCs/>
                <w:sz w:val="20"/>
                <w:szCs w:val="20"/>
              </w:rPr>
            </w:pPr>
            <w:r>
              <w:rPr>
                <w:rFonts w:eastAsia="Times New Roman"/>
                <w:b/>
                <w:bCs/>
                <w:i/>
                <w:i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December 31, 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December 31, 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2800" w:type="pct"/>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Operating lease ROU assets, net</w:t>
            </w:r>
          </w:p>
        </w:tc>
        <w:tc>
          <w:tcPr>
            <w:tcW w:w="10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3A6737">
            <w:pPr>
              <w:jc w:val="right"/>
              <w:rPr>
                <w:rFonts w:eastAsia="Times New Roman"/>
                <w:sz w:val="20"/>
                <w:szCs w:val="20"/>
              </w:rPr>
            </w:pPr>
            <w:r>
              <w:rPr>
                <w:rFonts w:eastAsia="Times New Roman"/>
                <w:sz w:val="20"/>
                <w:szCs w:val="20"/>
              </w:rPr>
              <w:t>4,921</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3A6737">
            <w:pPr>
              <w:jc w:val="right"/>
              <w:rPr>
                <w:rFonts w:eastAsia="Times New Roman"/>
                <w:sz w:val="20"/>
                <w:szCs w:val="20"/>
              </w:rPr>
            </w:pPr>
            <w:r>
              <w:rPr>
                <w:rFonts w:eastAsia="Times New Roman"/>
                <w:sz w:val="20"/>
                <w:szCs w:val="20"/>
              </w:rPr>
              <w:t>6,940</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Current operating lease liabilities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2,273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3,963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rPr>
          <w:hidden/>
        </w:trPr>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vanish/>
                <w:sz w:val="20"/>
                <w:szCs w:val="20"/>
              </w:rPr>
            </w:pPr>
            <w:r>
              <w:rPr>
                <w:rFonts w:eastAsia="Times New Roman"/>
                <w:vanish/>
                <w:sz w:val="20"/>
                <w:szCs w:val="20"/>
              </w:rPr>
              <w:t>Operating lease liability (current portion)</w:t>
            </w:r>
          </w:p>
        </w:tc>
        <w:tc>
          <w:tcPr>
            <w:tcW w:w="0" w:type="auto"/>
            <w:shd w:val="clear" w:color="auto" w:fill="FFFF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3A6737">
            <w:pPr>
              <w:jc w:val="right"/>
              <w:rPr>
                <w:rFonts w:eastAsia="Times New Roman"/>
                <w:vanish/>
                <w:sz w:val="20"/>
                <w:szCs w:val="20"/>
              </w:rPr>
            </w:pPr>
            <w:r>
              <w:rPr>
                <w:rFonts w:eastAsia="Times New Roman"/>
                <w:vanish/>
                <w:sz w:val="20"/>
                <w:szCs w:val="20"/>
              </w:rPr>
              <w:t>2,273</w:t>
            </w:r>
          </w:p>
        </w:tc>
        <w:tc>
          <w:tcPr>
            <w:tcW w:w="0" w:type="auto"/>
            <w:shd w:val="clear" w:color="auto" w:fill="FFFF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3A6737">
            <w:pPr>
              <w:jc w:val="right"/>
              <w:rPr>
                <w:rFonts w:eastAsia="Times New Roman"/>
                <w:vanish/>
                <w:sz w:val="20"/>
                <w:szCs w:val="20"/>
              </w:rPr>
            </w:pPr>
            <w:r>
              <w:rPr>
                <w:rFonts w:eastAsia="Times New Roman"/>
                <w:vanish/>
                <w:sz w:val="20"/>
                <w:szCs w:val="20"/>
              </w:rPr>
              <w:t>3,963</w:t>
            </w:r>
          </w:p>
        </w:tc>
        <w:tc>
          <w:tcPr>
            <w:tcW w:w="0" w:type="auto"/>
            <w:shd w:val="clear" w:color="auto" w:fill="FFFFFF"/>
            <w:vAlign w:val="bottom"/>
            <w:hideMark/>
          </w:tcPr>
          <w:p w:rsidR="00000000" w:rsidRDefault="003A6737">
            <w:pPr>
              <w:rPr>
                <w:rFonts w:eastAsia="Times New Roman"/>
                <w:vanish/>
                <w:sz w:val="20"/>
                <w:szCs w:val="20"/>
              </w:rPr>
            </w:pPr>
            <w:r>
              <w:rPr>
                <w:rFonts w:eastAsia="Times New Roman"/>
                <w:vanish/>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Non-current operating lease liabilities</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3,207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4,545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rPr>
          <w:hidden/>
        </w:trPr>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Operating lease liability</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3,207</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4,545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r>
      <w:tr w:rsidR="00000000">
        <w:tc>
          <w:tcPr>
            <w:tcW w:w="0" w:type="auto"/>
            <w:shd w:val="clear" w:color="auto" w:fill="FFFFFF"/>
            <w:tcMar>
              <w:top w:w="0" w:type="dxa"/>
              <w:left w:w="40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Total operating lease liabilities</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5,480</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8,508</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ROU assets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8,293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10,535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Asset lease expense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(3,286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(3,574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Foreign exchange loss</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(86</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(21</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ROU assets, net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4,921</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6,940</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rPr>
          <w:hidden/>
        </w:trPr>
        <w:tc>
          <w:tcPr>
            <w:tcW w:w="0" w:type="auto"/>
            <w:shd w:val="clear" w:color="auto" w:fill="FFFFFF"/>
            <w:tcMar>
              <w:top w:w="0" w:type="dxa"/>
              <w:left w:w="40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Operating lease right-of-use assets</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vanish/>
                <w:sz w:val="20"/>
                <w:szCs w:val="20"/>
              </w:rPr>
            </w:pPr>
            <w:r>
              <w:rPr>
                <w:rFonts w:eastAsia="Times New Roman"/>
                <w:vanish/>
                <w:sz w:val="20"/>
                <w:szCs w:val="20"/>
              </w:rPr>
              <w:t>4,921</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vanish/>
                <w:sz w:val="20"/>
                <w:szCs w:val="20"/>
              </w:rPr>
            </w:pPr>
            <w:r>
              <w:rPr>
                <w:rFonts w:eastAsia="Times New Roman"/>
                <w:vanish/>
                <w:sz w:val="20"/>
                <w:szCs w:val="20"/>
              </w:rPr>
              <w:t>6,940</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Weighted average remaining lease term (in years):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w:t>
            </w:r>
            <w:r>
              <w:rPr>
                <w:rFonts w:eastAsia="Times New Roman"/>
                <w:sz w:val="20"/>
                <w:szCs w:val="20"/>
              </w:rPr>
              <w:t>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w:t>
            </w:r>
            <w:r>
              <w:rPr>
                <w:rFonts w:eastAsia="Times New Roman"/>
                <w:sz w:val="20"/>
                <w:szCs w:val="20"/>
              </w:rPr>
              <w:t>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Weighted average discount rate: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7.9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rPr>
          <w:hidden/>
        </w:trPr>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vanish/>
                <w:sz w:val="20"/>
                <w:szCs w:val="20"/>
              </w:rPr>
            </w:pPr>
            <w:r>
              <w:rPr>
                <w:rFonts w:eastAsia="Times New Roman"/>
                <w:vanish/>
                <w:sz w:val="20"/>
                <w:szCs w:val="20"/>
              </w:rPr>
              <w:t xml:space="preserve">Weighted </w:t>
            </w:r>
            <w:r>
              <w:rPr>
                <w:rFonts w:eastAsia="Times New Roman"/>
                <w:vanish/>
                <w:sz w:val="20"/>
                <w:szCs w:val="20"/>
              </w:rPr>
              <w:t>average discount rate: Operating leases</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7.9</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A6737">
            <w:pPr>
              <w:jc w:val="right"/>
              <w:rPr>
                <w:rFonts w:eastAsia="Times New Roman"/>
                <w:vanish/>
                <w:sz w:val="20"/>
                <w:szCs w:val="20"/>
              </w:rPr>
            </w:pPr>
            <w:r>
              <w:rPr>
                <w:rFonts w:eastAsia="Times New Roman"/>
                <w:vanish/>
                <w:sz w:val="20"/>
                <w:szCs w:val="20"/>
              </w:rPr>
              <w:t>6.8</w:t>
            </w:r>
          </w:p>
        </w:tc>
        <w:tc>
          <w:tcPr>
            <w:tcW w:w="0" w:type="auto"/>
            <w:shd w:val="clear" w:color="auto" w:fill="CCEEFF"/>
            <w:vAlign w:val="bottom"/>
            <w:hideMark/>
          </w:tcPr>
          <w:p w:rsidR="00000000" w:rsidRDefault="003A6737">
            <w:pPr>
              <w:rPr>
                <w:rFonts w:eastAsia="Times New Roman"/>
                <w:vanish/>
                <w:sz w:val="20"/>
                <w:szCs w:val="20"/>
              </w:rPr>
            </w:pPr>
            <w:r>
              <w:rPr>
                <w:rFonts w:eastAsia="Times New Roman"/>
                <w:vanish/>
                <w:sz w:val="20"/>
                <w:szCs w:val="20"/>
              </w:rPr>
              <w:t>%</w:t>
            </w:r>
          </w:p>
        </w:tc>
      </w:tr>
    </w:tbl>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64890255"/>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Supplemental cash flow and other information related to leases was as follows:</w:t>
      </w:r>
    </w:p>
    <w:p w:rsidR="00000000" w:rsidRDefault="003A6737">
      <w:pPr>
        <w:pStyle w:val="a3"/>
        <w:spacing w:before="0" w:beforeAutospacing="0" w:after="0" w:afterAutospacing="0"/>
        <w:jc w:val="both"/>
        <w:rPr>
          <w:sz w:val="20"/>
          <w:szCs w:val="20"/>
        </w:rPr>
      </w:pPr>
      <w:r>
        <w:rPr>
          <w:vanish/>
          <w:sz w:val="20"/>
          <w:szCs w:val="20"/>
        </w:rPr>
        <w:t xml:space="preserve">SCHEDULE </w:t>
      </w:r>
      <w:r>
        <w:rPr>
          <w:vanish/>
          <w:sz w:val="20"/>
          <w:szCs w:val="20"/>
        </w:rPr>
        <w:t>OF SUPPLEMENTAL CASH FLOW AND OTHER INFORMATION RELATED TO LEASE</w:t>
      </w:r>
      <w:r>
        <w:rPr>
          <w:vanish/>
          <w:sz w:val="20"/>
          <w:szCs w:val="20"/>
        </w:rPr>
        <w:t>S</w:t>
      </w:r>
    </w:p>
    <w:tbl>
      <w:tblPr>
        <w:tblW w:w="4750" w:type="pct"/>
        <w:tblCellMar>
          <w:left w:w="0" w:type="dxa"/>
          <w:right w:w="0" w:type="dxa"/>
        </w:tblCellMar>
        <w:tblLook w:val="04A0" w:firstRow="1" w:lastRow="0" w:firstColumn="1" w:lastColumn="0" w:noHBand="0" w:noVBand="1"/>
      </w:tblPr>
      <w:tblGrid>
        <w:gridCol w:w="4728"/>
        <w:gridCol w:w="151"/>
        <w:gridCol w:w="100"/>
        <w:gridCol w:w="1257"/>
        <w:gridCol w:w="73"/>
        <w:gridCol w:w="152"/>
        <w:gridCol w:w="100"/>
        <w:gridCol w:w="1257"/>
        <w:gridCol w:w="73"/>
      </w:tblGrid>
      <w:tr w:rsidR="00000000">
        <w:trPr>
          <w:hidden/>
        </w:trPr>
        <w:tc>
          <w:tcPr>
            <w:tcW w:w="0" w:type="auto"/>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Cash paid for amounts included in the measurement of lease liabilities: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Operating cash flows from operating leases</w:t>
            </w:r>
          </w:p>
        </w:tc>
        <w:tc>
          <w:tcPr>
            <w:tcW w:w="10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3A6737">
            <w:pPr>
              <w:jc w:val="right"/>
              <w:rPr>
                <w:rFonts w:eastAsia="Times New Roman"/>
                <w:sz w:val="20"/>
                <w:szCs w:val="20"/>
              </w:rPr>
            </w:pPr>
            <w:r>
              <w:rPr>
                <w:rFonts w:eastAsia="Times New Roman"/>
                <w:sz w:val="20"/>
                <w:szCs w:val="20"/>
              </w:rPr>
              <w:t>4,743</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3A6737">
            <w:pPr>
              <w:jc w:val="right"/>
              <w:rPr>
                <w:rFonts w:eastAsia="Times New Roman"/>
                <w:sz w:val="20"/>
                <w:szCs w:val="20"/>
              </w:rPr>
            </w:pPr>
            <w:r>
              <w:rPr>
                <w:rFonts w:eastAsia="Times New Roman"/>
                <w:sz w:val="20"/>
                <w:szCs w:val="20"/>
              </w:rPr>
              <w:t>5,351</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ROU assets obtained in exchange for lease liabilities: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Operating leases, excluding impairments and terminations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1,569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2,790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Maturities of lease liabilities are as follows: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vanish/>
          <w:sz w:val="20"/>
          <w:szCs w:val="20"/>
        </w:rPr>
        <w:t xml:space="preserve">SCHEDULE </w:t>
      </w:r>
      <w:r>
        <w:rPr>
          <w:vanish/>
          <w:sz w:val="20"/>
          <w:szCs w:val="20"/>
        </w:rPr>
        <w:t>OF MATURITIES OF LEASE LIABILITIE</w:t>
      </w:r>
      <w:r>
        <w:rPr>
          <w:vanish/>
          <w:sz w:val="20"/>
          <w:szCs w:val="20"/>
        </w:rPr>
        <w:t>S</w:t>
      </w:r>
    </w:p>
    <w:tbl>
      <w:tblPr>
        <w:tblW w:w="3500" w:type="pct"/>
        <w:tblCellMar>
          <w:left w:w="0" w:type="dxa"/>
          <w:right w:w="0" w:type="dxa"/>
        </w:tblCellMar>
        <w:tblLook w:val="04A0" w:firstRow="1" w:lastRow="0" w:firstColumn="1" w:lastColumn="0" w:noHBand="0" w:noVBand="1"/>
      </w:tblPr>
      <w:tblGrid>
        <w:gridCol w:w="3475"/>
        <w:gridCol w:w="917"/>
        <w:gridCol w:w="103"/>
        <w:gridCol w:w="101"/>
        <w:gridCol w:w="1151"/>
        <w:gridCol w:w="67"/>
      </w:tblGrid>
      <w:tr w:rsidR="00000000">
        <w:tc>
          <w:tcPr>
            <w:tcW w:w="0" w:type="auto"/>
            <w:tcBorders>
              <w:bottom w:val="single" w:sz="12" w:space="0" w:color="000000"/>
            </w:tcBorders>
            <w:vAlign w:val="bottom"/>
            <w:hideMark/>
          </w:tcPr>
          <w:p w:rsidR="00000000" w:rsidRDefault="003A6737">
            <w:pPr>
              <w:jc w:val="both"/>
              <w:rPr>
                <w:rFonts w:eastAsia="Times New Roman"/>
                <w:b/>
                <w:bCs/>
                <w:sz w:val="20"/>
                <w:szCs w:val="20"/>
              </w:rPr>
            </w:pPr>
            <w:r>
              <w:rPr>
                <w:rFonts w:eastAsia="Times New Roman"/>
                <w:b/>
                <w:bCs/>
                <w:sz w:val="20"/>
                <w:szCs w:val="20"/>
              </w:rPr>
              <w:t>Operating leases - Years ending December 31,</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3A6737">
            <w:pPr>
              <w:jc w:val="both"/>
              <w:rPr>
                <w:rFonts w:eastAsia="Times New Roman"/>
                <w:sz w:val="20"/>
                <w:szCs w:val="20"/>
              </w:rPr>
            </w:pPr>
            <w:r>
              <w:rPr>
                <w:rFonts w:eastAsia="Times New Roman"/>
                <w:sz w:val="20"/>
                <w:szCs w:val="20"/>
              </w:rPr>
              <w:t>2023</w:t>
            </w:r>
          </w:p>
        </w:tc>
        <w:tc>
          <w:tcPr>
            <w:tcW w:w="8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2,613</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jc w:val="both"/>
              <w:rPr>
                <w:rFonts w:eastAsia="Times New Roman"/>
                <w:sz w:val="20"/>
                <w:szCs w:val="20"/>
              </w:rPr>
            </w:pPr>
            <w:r>
              <w:rPr>
                <w:rFonts w:eastAsia="Times New Roman"/>
                <w:sz w:val="20"/>
                <w:szCs w:val="20"/>
              </w:rPr>
              <w:t>2024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1,333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jc w:val="both"/>
              <w:rPr>
                <w:rFonts w:eastAsia="Times New Roman"/>
                <w:sz w:val="20"/>
                <w:szCs w:val="20"/>
              </w:rPr>
            </w:pPr>
            <w:r>
              <w:rPr>
                <w:rFonts w:eastAsia="Times New Roman"/>
                <w:sz w:val="20"/>
                <w:szCs w:val="20"/>
              </w:rPr>
              <w:t>2025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821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jc w:val="both"/>
              <w:rPr>
                <w:rFonts w:eastAsia="Times New Roman"/>
                <w:sz w:val="20"/>
                <w:szCs w:val="20"/>
              </w:rPr>
            </w:pPr>
            <w:r>
              <w:rPr>
                <w:rFonts w:eastAsia="Times New Roman"/>
                <w:sz w:val="20"/>
                <w:szCs w:val="20"/>
              </w:rPr>
              <w:t>2026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286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jc w:val="both"/>
              <w:rPr>
                <w:rFonts w:eastAsia="Times New Roman"/>
                <w:sz w:val="20"/>
                <w:szCs w:val="20"/>
              </w:rPr>
            </w:pPr>
            <w:r>
              <w:rPr>
                <w:rFonts w:eastAsia="Times New Roman"/>
                <w:sz w:val="20"/>
                <w:szCs w:val="20"/>
              </w:rPr>
              <w:t>2027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231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jc w:val="both"/>
              <w:rPr>
                <w:rFonts w:eastAsia="Times New Roman"/>
                <w:sz w:val="20"/>
                <w:szCs w:val="20"/>
              </w:rPr>
            </w:pPr>
            <w:r>
              <w:rPr>
                <w:rFonts w:eastAsia="Times New Roman"/>
                <w:sz w:val="20"/>
                <w:szCs w:val="20"/>
              </w:rPr>
              <w:t>Thereafter</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1,637</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jc w:val="both"/>
              <w:rPr>
                <w:rFonts w:eastAsia="Times New Roman"/>
                <w:sz w:val="20"/>
                <w:szCs w:val="20"/>
              </w:rPr>
            </w:pPr>
            <w:r>
              <w:rPr>
                <w:rFonts w:eastAsia="Times New Roman"/>
                <w:sz w:val="20"/>
                <w:szCs w:val="20"/>
              </w:rPr>
              <w:t>Total lease payments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6,921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jc w:val="both"/>
              <w:rPr>
                <w:rFonts w:eastAsia="Times New Roman"/>
                <w:sz w:val="20"/>
                <w:szCs w:val="20"/>
              </w:rPr>
            </w:pPr>
            <w:r>
              <w:rPr>
                <w:rFonts w:eastAsia="Times New Roman"/>
                <w:sz w:val="20"/>
                <w:szCs w:val="20"/>
              </w:rPr>
              <w:t>Less: imputed interest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(1,441</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3A6737">
            <w:pPr>
              <w:jc w:val="both"/>
              <w:rPr>
                <w:rFonts w:eastAsia="Times New Roman"/>
                <w:sz w:val="20"/>
                <w:szCs w:val="20"/>
              </w:rPr>
            </w:pPr>
            <w:r>
              <w:rPr>
                <w:rFonts w:eastAsia="Times New Roman"/>
                <w:sz w:val="20"/>
                <w:szCs w:val="20"/>
              </w:rPr>
              <w:t>Total lease obligations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5,480</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jc w:val="both"/>
              <w:rPr>
                <w:rFonts w:eastAsia="Times New Roman"/>
                <w:sz w:val="20"/>
                <w:szCs w:val="20"/>
              </w:rPr>
            </w:pPr>
            <w:r>
              <w:rPr>
                <w:rFonts w:eastAsia="Times New Roman"/>
                <w:sz w:val="20"/>
                <w:szCs w:val="20"/>
              </w:rPr>
              <w:t>Less: current obligations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(2,273</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3A6737">
            <w:pPr>
              <w:jc w:val="both"/>
              <w:rPr>
                <w:rFonts w:eastAsia="Times New Roman"/>
                <w:sz w:val="20"/>
                <w:szCs w:val="20"/>
              </w:rPr>
            </w:pPr>
            <w:r>
              <w:rPr>
                <w:rFonts w:eastAsia="Times New Roman"/>
                <w:sz w:val="20"/>
                <w:szCs w:val="20"/>
              </w:rPr>
              <w:t>Long-term lease obligations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3,207</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caps/>
          <w:sz w:val="20"/>
          <w:szCs w:val="20"/>
        </w:rPr>
      </w:pPr>
      <w:r>
        <w:rPr>
          <w:b/>
          <w:bCs/>
          <w:caps/>
          <w:sz w:val="20"/>
          <w:szCs w:val="20"/>
        </w:rPr>
        <w:t>13.</w:t>
      </w:r>
      <w:r>
        <w:rPr>
          <w:caps/>
          <w:sz w:val="20"/>
          <w:szCs w:val="20"/>
        </w:rPr>
        <w:t xml:space="preserve"> </w:t>
      </w:r>
      <w:r>
        <w:rPr>
          <w:b/>
          <w:bCs/>
          <w:caps/>
          <w:sz w:val="20"/>
          <w:szCs w:val="20"/>
        </w:rPr>
        <w:t>RELATED PARTIE</w:t>
      </w:r>
      <w:r>
        <w:rPr>
          <w:b/>
          <w:bCs/>
          <w:caps/>
          <w:sz w:val="20"/>
          <w:szCs w:val="20"/>
        </w:rPr>
        <w: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 xml:space="preserve">Company had sales to a related party, a physician who is the wife of the Executive Chairman. Revenues from this customer were approximately </w:t>
      </w:r>
      <w:r>
        <w:rPr>
          <w:sz w:val="20"/>
          <w:szCs w:val="20"/>
        </w:rPr>
        <w:t>$</w:t>
      </w:r>
      <w:r>
        <w:rPr>
          <w:sz w:val="20"/>
          <w:szCs w:val="20"/>
        </w:rPr>
        <w:t>58,00</w:t>
      </w:r>
      <w:r>
        <w:rPr>
          <w:sz w:val="20"/>
          <w:szCs w:val="20"/>
        </w:rPr>
        <w:t>0</w:t>
      </w:r>
      <w:r>
        <w:rPr>
          <w:sz w:val="20"/>
          <w:szCs w:val="20"/>
        </w:rPr>
        <w:t xml:space="preserve"> for the year ended December 31, 2022 and approximately </w:t>
      </w:r>
      <w:r>
        <w:rPr>
          <w:sz w:val="20"/>
          <w:szCs w:val="20"/>
        </w:rPr>
        <w:t>$</w:t>
      </w:r>
      <w:r>
        <w:rPr>
          <w:sz w:val="20"/>
          <w:szCs w:val="20"/>
        </w:rPr>
        <w:t>23,00</w:t>
      </w:r>
      <w:r>
        <w:rPr>
          <w:sz w:val="20"/>
          <w:szCs w:val="20"/>
        </w:rPr>
        <w:t>0</w:t>
      </w:r>
      <w:r>
        <w:rPr>
          <w:sz w:val="20"/>
          <w:szCs w:val="20"/>
        </w:rPr>
        <w:t xml:space="preserve"> for the year ended December 31, 2021. As of D</w:t>
      </w:r>
      <w:r>
        <w:rPr>
          <w:sz w:val="20"/>
          <w:szCs w:val="20"/>
        </w:rPr>
        <w:t xml:space="preserve">ecember 31, 2022 and 2021, the accounts receivable balance due from this customer was approximately </w:t>
      </w:r>
      <w:r>
        <w:rPr>
          <w:sz w:val="20"/>
          <w:szCs w:val="20"/>
        </w:rPr>
        <w:t>$</w:t>
      </w:r>
      <w:r>
        <w:rPr>
          <w:sz w:val="20"/>
          <w:szCs w:val="20"/>
        </w:rPr>
        <w:t>10,00</w:t>
      </w:r>
      <w:r>
        <w:rPr>
          <w:sz w:val="20"/>
          <w:szCs w:val="20"/>
        </w:rPr>
        <w:t>0</w:t>
      </w:r>
      <w:r>
        <w:rPr>
          <w:sz w:val="20"/>
          <w:szCs w:val="20"/>
        </w:rPr>
        <w:t xml:space="preserve"> and </w:t>
      </w:r>
      <w:r>
        <w:rPr>
          <w:sz w:val="20"/>
          <w:szCs w:val="20"/>
        </w:rPr>
        <w:t>$</w:t>
      </w:r>
      <w:r>
        <w:rPr>
          <w:sz w:val="20"/>
          <w:szCs w:val="20"/>
        </w:rPr>
        <w:t>3,00</w:t>
      </w:r>
      <w:r>
        <w:rPr>
          <w:sz w:val="20"/>
          <w:szCs w:val="20"/>
        </w:rPr>
        <w:t>0</w:t>
      </w:r>
      <w:r>
        <w:rPr>
          <w:sz w:val="20"/>
          <w:szCs w:val="20"/>
        </w:rPr>
        <w:t xml:space="preserve"> respectively, and is included in accounts receivable - net in the consolidated balance sheets.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Company leases its corporate offices</w:t>
      </w:r>
      <w:r>
        <w:rPr>
          <w:sz w:val="20"/>
          <w:szCs w:val="20"/>
        </w:rPr>
        <w:t xml:space="preserve"> in New Jersey, its temporary housing for its foreign visitors, a storage facility, its backup operations center in Bagh, Pakistan and an apartment for temporary housing in Dubai, the UAE, from the Executive Chairman. The related party rent expense for the</w:t>
      </w:r>
      <w:r>
        <w:rPr>
          <w:sz w:val="20"/>
          <w:szCs w:val="20"/>
        </w:rPr>
        <w:t xml:space="preserve"> years ended December 31, 2022 and 2021 was approximately </w:t>
      </w:r>
      <w:r>
        <w:rPr>
          <w:sz w:val="20"/>
          <w:szCs w:val="20"/>
        </w:rPr>
        <w:t>$</w:t>
      </w:r>
      <w:r>
        <w:rPr>
          <w:sz w:val="20"/>
          <w:szCs w:val="20"/>
        </w:rPr>
        <w:t>198,00</w:t>
      </w:r>
      <w:r>
        <w:rPr>
          <w:sz w:val="20"/>
          <w:szCs w:val="20"/>
        </w:rPr>
        <w:t>0</w:t>
      </w:r>
      <w:r>
        <w:rPr>
          <w:sz w:val="20"/>
          <w:szCs w:val="20"/>
        </w:rPr>
        <w:t xml:space="preserve"> and </w:t>
      </w:r>
      <w:r>
        <w:rPr>
          <w:sz w:val="20"/>
          <w:szCs w:val="20"/>
        </w:rPr>
        <w:t>$</w:t>
      </w:r>
      <w:r>
        <w:rPr>
          <w:sz w:val="20"/>
          <w:szCs w:val="20"/>
        </w:rPr>
        <w:t>186,00</w:t>
      </w:r>
      <w:r>
        <w:rPr>
          <w:sz w:val="20"/>
          <w:szCs w:val="20"/>
        </w:rPr>
        <w:t>0</w:t>
      </w:r>
      <w:r>
        <w:rPr>
          <w:sz w:val="20"/>
          <w:szCs w:val="20"/>
        </w:rPr>
        <w:t>, respectively, and is included in direct operating costs and general and administrative expense in the consolidated statements of operations. During the years ended December 31</w:t>
      </w:r>
      <w:r>
        <w:rPr>
          <w:sz w:val="20"/>
          <w:szCs w:val="20"/>
        </w:rPr>
        <w:t xml:space="preserve">, 2022 and 2021, the Company spent approximately </w:t>
      </w:r>
      <w:r>
        <w:rPr>
          <w:sz w:val="20"/>
          <w:szCs w:val="20"/>
        </w:rPr>
        <w:t>$</w:t>
      </w:r>
      <w:r>
        <w:rPr>
          <w:sz w:val="20"/>
          <w:szCs w:val="20"/>
        </w:rPr>
        <w:t>941,00</w:t>
      </w:r>
      <w:r>
        <w:rPr>
          <w:sz w:val="20"/>
          <w:szCs w:val="20"/>
        </w:rPr>
        <w:t>0</w:t>
      </w:r>
      <w:r>
        <w:rPr>
          <w:sz w:val="20"/>
          <w:szCs w:val="20"/>
        </w:rPr>
        <w:t xml:space="preserve"> and </w:t>
      </w:r>
      <w:r>
        <w:rPr>
          <w:sz w:val="20"/>
          <w:szCs w:val="20"/>
        </w:rPr>
        <w:t>$</w:t>
      </w:r>
      <w:r>
        <w:rPr>
          <w:sz w:val="20"/>
          <w:szCs w:val="20"/>
        </w:rPr>
        <w:t>2</w:t>
      </w:r>
      <w:r>
        <w:rPr>
          <w:sz w:val="20"/>
          <w:szCs w:val="20"/>
        </w:rPr>
        <w:t>.0 million, respectively, to upgrade the related party leased facilities. Current assets-related party in the consolidated balance sheets includes security deposits related to the leases of th</w:t>
      </w:r>
      <w:r>
        <w:rPr>
          <w:sz w:val="20"/>
          <w:szCs w:val="20"/>
        </w:rPr>
        <w:t xml:space="preserve">e Company’s corporate offices in the amount of approximately </w:t>
      </w:r>
      <w:r>
        <w:rPr>
          <w:sz w:val="20"/>
          <w:szCs w:val="20"/>
        </w:rPr>
        <w:t>$</w:t>
      </w:r>
      <w:r>
        <w:rPr>
          <w:sz w:val="20"/>
          <w:szCs w:val="20"/>
        </w:rPr>
        <w:t>16,00</w:t>
      </w:r>
      <w:r>
        <w:rPr>
          <w:sz w:val="20"/>
          <w:szCs w:val="20"/>
        </w:rPr>
        <w:t>0</w:t>
      </w:r>
      <w:r>
        <w:rPr>
          <w:sz w:val="20"/>
          <w:szCs w:val="20"/>
        </w:rPr>
        <w:t xml:space="preserve"> and </w:t>
      </w:r>
      <w:r>
        <w:rPr>
          <w:sz w:val="20"/>
          <w:szCs w:val="20"/>
        </w:rPr>
        <w:t>$</w:t>
      </w:r>
      <w:r>
        <w:rPr>
          <w:sz w:val="20"/>
          <w:szCs w:val="20"/>
        </w:rPr>
        <w:t>13,00</w:t>
      </w:r>
      <w:r>
        <w:rPr>
          <w:sz w:val="20"/>
          <w:szCs w:val="20"/>
        </w:rPr>
        <w:t>0</w:t>
      </w:r>
      <w:r>
        <w:rPr>
          <w:sz w:val="20"/>
          <w:szCs w:val="20"/>
        </w:rPr>
        <w:t xml:space="preserve"> for the years ended December 31, 2022 and 2021, respectively. On October 15, 2021, the Company entered into a one-year lease agreement with the Executive Chairman for an apart</w:t>
      </w:r>
      <w:r>
        <w:rPr>
          <w:sz w:val="20"/>
          <w:szCs w:val="20"/>
        </w:rPr>
        <w:t>ment for temporary housing in Dubai. This agreement was renewed in 2022 for an additional year.</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Included in the ROU asset at December 31, 2022 is approximately </w:t>
      </w:r>
      <w:r>
        <w:rPr>
          <w:sz w:val="20"/>
          <w:szCs w:val="20"/>
        </w:rPr>
        <w:t>$</w:t>
      </w:r>
      <w:r>
        <w:rPr>
          <w:sz w:val="20"/>
          <w:szCs w:val="20"/>
        </w:rPr>
        <w:t>467,00</w:t>
      </w:r>
      <w:r>
        <w:rPr>
          <w:sz w:val="20"/>
          <w:szCs w:val="20"/>
        </w:rPr>
        <w:t>0</w:t>
      </w:r>
      <w:r>
        <w:rPr>
          <w:sz w:val="20"/>
          <w:szCs w:val="20"/>
        </w:rPr>
        <w:t xml:space="preserve"> applicable to the related party leases. Included in the current and non-current opera</w:t>
      </w:r>
      <w:r>
        <w:rPr>
          <w:sz w:val="20"/>
          <w:szCs w:val="20"/>
        </w:rPr>
        <w:t xml:space="preserve">ting lease liability at December 31, 2022 is approximately </w:t>
      </w:r>
      <w:r>
        <w:rPr>
          <w:sz w:val="20"/>
          <w:szCs w:val="20"/>
        </w:rPr>
        <w:t>$</w:t>
      </w:r>
      <w:r>
        <w:rPr>
          <w:sz w:val="20"/>
          <w:szCs w:val="20"/>
        </w:rPr>
        <w:t>158,00</w:t>
      </w:r>
      <w:r>
        <w:rPr>
          <w:sz w:val="20"/>
          <w:szCs w:val="20"/>
        </w:rPr>
        <w:t>0</w:t>
      </w:r>
      <w:r>
        <w:rPr>
          <w:sz w:val="20"/>
          <w:szCs w:val="20"/>
        </w:rPr>
        <w:t xml:space="preserve"> and </w:t>
      </w:r>
      <w:r>
        <w:rPr>
          <w:sz w:val="20"/>
          <w:szCs w:val="20"/>
        </w:rPr>
        <w:t>$</w:t>
      </w:r>
      <w:r>
        <w:rPr>
          <w:sz w:val="20"/>
          <w:szCs w:val="20"/>
        </w:rPr>
        <w:t>301,00</w:t>
      </w:r>
      <w:r>
        <w:rPr>
          <w:sz w:val="20"/>
          <w:szCs w:val="20"/>
        </w:rPr>
        <w:t>0</w:t>
      </w:r>
      <w:r>
        <w:rPr>
          <w:sz w:val="20"/>
          <w:szCs w:val="20"/>
        </w:rPr>
        <w:t>, respectively, applicable to the related party leases.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Included in the ROU asset at December 31, 2021 is approximately </w:t>
      </w:r>
      <w:r>
        <w:rPr>
          <w:sz w:val="20"/>
          <w:szCs w:val="20"/>
        </w:rPr>
        <w:t>$</w:t>
      </w:r>
      <w:r>
        <w:rPr>
          <w:sz w:val="20"/>
          <w:szCs w:val="20"/>
        </w:rPr>
        <w:t>483,00</w:t>
      </w:r>
      <w:r>
        <w:rPr>
          <w:sz w:val="20"/>
          <w:szCs w:val="20"/>
        </w:rPr>
        <w:t>0</w:t>
      </w:r>
      <w:r>
        <w:rPr>
          <w:sz w:val="20"/>
          <w:szCs w:val="20"/>
        </w:rPr>
        <w:t xml:space="preserve"> applicable to the related party leases. Inclu</w:t>
      </w:r>
      <w:r>
        <w:rPr>
          <w:sz w:val="20"/>
          <w:szCs w:val="20"/>
        </w:rPr>
        <w:t xml:space="preserve">ded in the current and non-current operating lease liability at December 31, 2021 is approximately </w:t>
      </w:r>
      <w:r>
        <w:rPr>
          <w:sz w:val="20"/>
          <w:szCs w:val="20"/>
        </w:rPr>
        <w:t>$</w:t>
      </w:r>
      <w:r>
        <w:rPr>
          <w:sz w:val="20"/>
          <w:szCs w:val="20"/>
        </w:rPr>
        <w:t>174,00</w:t>
      </w:r>
      <w:r>
        <w:rPr>
          <w:sz w:val="20"/>
          <w:szCs w:val="20"/>
        </w:rPr>
        <w:t>0</w:t>
      </w:r>
      <w:r>
        <w:rPr>
          <w:sz w:val="20"/>
          <w:szCs w:val="20"/>
        </w:rPr>
        <w:t xml:space="preserve"> and </w:t>
      </w:r>
      <w:r>
        <w:rPr>
          <w:sz w:val="20"/>
          <w:szCs w:val="20"/>
        </w:rPr>
        <w:t>$</w:t>
      </w:r>
      <w:r>
        <w:rPr>
          <w:sz w:val="20"/>
          <w:szCs w:val="20"/>
        </w:rPr>
        <w:t>305,00</w:t>
      </w:r>
      <w:r>
        <w:rPr>
          <w:sz w:val="20"/>
          <w:szCs w:val="20"/>
        </w:rPr>
        <w:t>0</w:t>
      </w:r>
      <w:r>
        <w:rPr>
          <w:sz w:val="20"/>
          <w:szCs w:val="20"/>
        </w:rPr>
        <w:t>, respectively, applicable to the related party leases.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During June 2022, the Company entered into a one-year consulting agreement wit</w:t>
      </w:r>
      <w:r>
        <w:rPr>
          <w:sz w:val="20"/>
          <w:szCs w:val="20"/>
        </w:rPr>
        <w:t>h an entity owned and controlled by one of its non-independent directors whereby the director received</w:t>
      </w:r>
      <w:r>
        <w:rPr>
          <w:sz w:val="20"/>
          <w:szCs w:val="20"/>
        </w:rPr>
        <w:t xml:space="preserve"> </w:t>
      </w:r>
      <w:r>
        <w:rPr>
          <w:sz w:val="20"/>
          <w:szCs w:val="20"/>
        </w:rPr>
        <w:t>10,00</w:t>
      </w:r>
      <w:r>
        <w:rPr>
          <w:sz w:val="20"/>
          <w:szCs w:val="20"/>
        </w:rPr>
        <w:t>0</w:t>
      </w:r>
      <w:r>
        <w:rPr>
          <w:sz w:val="20"/>
          <w:szCs w:val="20"/>
        </w:rPr>
        <w:t xml:space="preserve"> shares of Series B Preferred Stock in exchange for assisting the Company to identify and acquire additional companies, including performing due di</w:t>
      </w:r>
      <w:r>
        <w:rPr>
          <w:sz w:val="20"/>
          <w:szCs w:val="20"/>
        </w:rPr>
        <w:t>ligence. The payment was capitalized and is being amortized over the service period. The amortization is recorded as stock compensation in General and Administrative expense in the 2022 consolidated statement of operations. In addition, the Company may mak</w:t>
      </w:r>
      <w:r>
        <w:rPr>
          <w:sz w:val="20"/>
          <w:szCs w:val="20"/>
        </w:rPr>
        <w:t>e additional payments under the agreement for any successful acquisitions by the Company based on the purchase price of the transaction. No such additional payments were made in 2022. During February 2023, the agreement was amended and extended through Dec</w:t>
      </w:r>
      <w:r>
        <w:rPr>
          <w:sz w:val="20"/>
          <w:szCs w:val="20"/>
        </w:rPr>
        <w:t>ember 2024 whereby the director received</w:t>
      </w:r>
      <w:r>
        <w:rPr>
          <w:sz w:val="20"/>
          <w:szCs w:val="20"/>
        </w:rPr>
        <w:t xml:space="preserve"> </w:t>
      </w:r>
      <w:r>
        <w:rPr>
          <w:sz w:val="20"/>
          <w:szCs w:val="20"/>
        </w:rPr>
        <w:t>14,00</w:t>
      </w:r>
      <w:r>
        <w:rPr>
          <w:sz w:val="20"/>
          <w:szCs w:val="20"/>
        </w:rPr>
        <w:t>0</w:t>
      </w:r>
      <w:r>
        <w:rPr>
          <w:sz w:val="20"/>
          <w:szCs w:val="20"/>
        </w:rPr>
        <w:t xml:space="preserve"> shares of Series B Preferred Stock in February 2023 and will receive an additional</w:t>
      </w:r>
      <w:r>
        <w:rPr>
          <w:sz w:val="20"/>
          <w:szCs w:val="20"/>
        </w:rPr>
        <w:t xml:space="preserve"> </w:t>
      </w:r>
      <w:r>
        <w:rPr>
          <w:sz w:val="20"/>
          <w:szCs w:val="20"/>
        </w:rPr>
        <w:t>14,00</w:t>
      </w:r>
      <w:r>
        <w:rPr>
          <w:sz w:val="20"/>
          <w:szCs w:val="20"/>
        </w:rPr>
        <w:t>0</w:t>
      </w:r>
      <w:r>
        <w:rPr>
          <w:sz w:val="20"/>
          <w:szCs w:val="20"/>
        </w:rPr>
        <w:t xml:space="preserve"> shares in January 2024. All such shares of the Series B Preferred Stock are or will be issued in accordance with the C</w:t>
      </w:r>
      <w:r>
        <w:rPr>
          <w:sz w:val="20"/>
          <w:szCs w:val="20"/>
        </w:rPr>
        <w:t>ompany’s Amended and Restated Equity Incentive Plan. In addition to the extension of the consulting agreement, the amendment provides that any transaction fees due will be offset against the last two above payments before any amounts are due to the directo</w:t>
      </w:r>
      <w:r>
        <w:rPr>
          <w:sz w:val="20"/>
          <w:szCs w:val="20"/>
        </w:rPr>
        <w:t>r.</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78098635"/>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During 2020, a New Jersey corporation, talkMD Clinicians, PA (“talkMD”), was formed by the wife of the Executive Chairman, who is </w:t>
      </w:r>
      <w:r>
        <w:rPr>
          <w:sz w:val="20"/>
          <w:szCs w:val="20"/>
        </w:rPr>
        <w:t>a licensed physician, to provide telehealth services. talkMD was determined to be a variable interest entity (“VIE”) for financial reporting purposes because the entity will be controlled by the Company. As of December 31, 2022, talkMD had not yet commence</w:t>
      </w:r>
      <w:r>
        <w:rPr>
          <w:sz w:val="20"/>
          <w:szCs w:val="20"/>
        </w:rPr>
        <w:t xml:space="preserve">d operations. Cumulatively, the Company has paid approximately </w:t>
      </w:r>
      <w:r>
        <w:rPr>
          <w:sz w:val="20"/>
          <w:szCs w:val="20"/>
        </w:rPr>
        <w:t>$</w:t>
      </w:r>
      <w:r>
        <w:rPr>
          <w:sz w:val="20"/>
          <w:szCs w:val="20"/>
        </w:rPr>
        <w:t>4,00</w:t>
      </w:r>
      <w:r>
        <w:rPr>
          <w:sz w:val="20"/>
          <w:szCs w:val="20"/>
        </w:rPr>
        <w:t>0</w:t>
      </w:r>
      <w:r>
        <w:rPr>
          <w:sz w:val="20"/>
          <w:szCs w:val="20"/>
        </w:rPr>
        <w:t xml:space="preserve"> on behalf of talkMD for income taxes.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Company was a party to a nonexclusive aircraft dry lease agreement with Kashmir Air, Inc. (“KAI”), which was owned by the Executive Chairman. </w:t>
      </w:r>
      <w:r>
        <w:rPr>
          <w:sz w:val="20"/>
          <w:szCs w:val="20"/>
        </w:rPr>
        <w:t xml:space="preserve">The Company recorded an expense of approximately </w:t>
      </w:r>
      <w:r>
        <w:rPr>
          <w:sz w:val="20"/>
          <w:szCs w:val="20"/>
        </w:rPr>
        <w:t>$</w:t>
      </w:r>
      <w:r>
        <w:rPr>
          <w:sz w:val="20"/>
          <w:szCs w:val="20"/>
        </w:rPr>
        <w:t>80,00</w:t>
      </w:r>
      <w:r>
        <w:rPr>
          <w:sz w:val="20"/>
          <w:szCs w:val="20"/>
        </w:rPr>
        <w:t>0</w:t>
      </w:r>
      <w:r>
        <w:rPr>
          <w:sz w:val="20"/>
          <w:szCs w:val="20"/>
        </w:rPr>
        <w:t xml:space="preserve"> for the year ended December 31, 2021. The lease for the aircraft was renewed as of April 1, 2021 and terminated on August 31, 2021. As a result of the lease termination, the Company incurred a loss o</w:t>
      </w:r>
      <w:r>
        <w:rPr>
          <w:sz w:val="20"/>
          <w:szCs w:val="20"/>
        </w:rPr>
        <w:t xml:space="preserve">f approximately </w:t>
      </w:r>
      <w:r>
        <w:rPr>
          <w:sz w:val="20"/>
          <w:szCs w:val="20"/>
        </w:rPr>
        <w:t>$</w:t>
      </w:r>
      <w:r>
        <w:rPr>
          <w:sz w:val="20"/>
          <w:szCs w:val="20"/>
        </w:rPr>
        <w:t>185,00</w:t>
      </w:r>
      <w:r>
        <w:rPr>
          <w:sz w:val="20"/>
          <w:szCs w:val="20"/>
        </w:rPr>
        <w:t>0</w:t>
      </w:r>
      <w:r>
        <w:rPr>
          <w:sz w:val="20"/>
          <w:szCs w:val="20"/>
        </w:rPr>
        <w:t xml:space="preserve"> which was included in the net loss on lease termination, impairment and unoccupied lease charges in the December 31, 2021 consolidated statement of operations. As of December 31, 2021, the Company had no liability outstanding to KA</w:t>
      </w:r>
      <w:r>
        <w:rPr>
          <w:sz w:val="20"/>
          <w:szCs w:val="20"/>
        </w:rPr>
        <w:t>I.</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caps/>
          <w:sz w:val="20"/>
          <w:szCs w:val="20"/>
        </w:rPr>
      </w:pPr>
      <w:r>
        <w:rPr>
          <w:b/>
          <w:bCs/>
          <w:caps/>
          <w:sz w:val="20"/>
          <w:szCs w:val="20"/>
        </w:rPr>
        <w:t>14.</w:t>
      </w:r>
      <w:r>
        <w:rPr>
          <w:caps/>
          <w:sz w:val="20"/>
          <w:szCs w:val="20"/>
        </w:rPr>
        <w:t xml:space="preserve"> </w:t>
      </w:r>
      <w:r>
        <w:rPr>
          <w:b/>
          <w:bCs/>
          <w:caps/>
          <w:sz w:val="20"/>
          <w:szCs w:val="20"/>
        </w:rPr>
        <w:t>EMPLOYEE BENEFIT PLAN</w:t>
      </w:r>
      <w:r>
        <w:rPr>
          <w:b/>
          <w:bCs/>
          <w:caps/>
          <w:sz w:val="20"/>
          <w:szCs w:val="20"/>
        </w:rPr>
        <w: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Company has qualified 401(k) plans covering all U.S. employees who have completed one month of service. The plans provide for matching contributions by the Company for employees of the Company and most U.S. subsidiarie</w:t>
      </w:r>
      <w:r>
        <w:rPr>
          <w:sz w:val="20"/>
          <w:szCs w:val="20"/>
        </w:rPr>
        <w:t xml:space="preserve">s, although there is no match for CPM employees. Employer contributions to the plans for the years ended December 31, 2022 and 2021 were approximately </w:t>
      </w:r>
      <w:r>
        <w:rPr>
          <w:sz w:val="20"/>
          <w:szCs w:val="20"/>
        </w:rPr>
        <w:t>$</w:t>
      </w:r>
      <w:r>
        <w:rPr>
          <w:sz w:val="20"/>
          <w:szCs w:val="20"/>
        </w:rPr>
        <w:t>549,00</w:t>
      </w:r>
      <w:r>
        <w:rPr>
          <w:sz w:val="20"/>
          <w:szCs w:val="20"/>
        </w:rPr>
        <w:t>0</w:t>
      </w:r>
      <w:r>
        <w:rPr>
          <w:sz w:val="20"/>
          <w:szCs w:val="20"/>
        </w:rPr>
        <w:t xml:space="preserve"> and </w:t>
      </w:r>
      <w:r>
        <w:rPr>
          <w:sz w:val="20"/>
          <w:szCs w:val="20"/>
        </w:rPr>
        <w:t>$</w:t>
      </w:r>
      <w:r>
        <w:rPr>
          <w:sz w:val="20"/>
          <w:szCs w:val="20"/>
        </w:rPr>
        <w:t>697,00</w:t>
      </w:r>
      <w:r>
        <w:rPr>
          <w:sz w:val="20"/>
          <w:szCs w:val="20"/>
        </w:rPr>
        <w:t>0</w:t>
      </w:r>
      <w:r>
        <w:rPr>
          <w:sz w:val="20"/>
          <w:szCs w:val="20"/>
        </w:rPr>
        <w:t>, respectively.</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Additionally, the Company has a defined contribution retirement pl</w:t>
      </w:r>
      <w:r>
        <w:rPr>
          <w:sz w:val="20"/>
          <w:szCs w:val="20"/>
        </w:rPr>
        <w:t>an covering all employees located in our Pakistan Offices who have completed three months of service.</w:t>
      </w:r>
      <w:r>
        <w:rPr>
          <w:sz w:val="20"/>
          <w:szCs w:val="20"/>
        </w:rPr>
        <w:t xml:space="preserve"> </w:t>
      </w:r>
      <w:r>
        <w:rPr>
          <w:sz w:val="20"/>
          <w:szCs w:val="20"/>
        </w:rPr>
        <w:t>The plan provides for monthly contributions by the Company which are equal to 10% of qualified employees’ basic monthly compensatio</w:t>
      </w:r>
      <w:r>
        <w:rPr>
          <w:sz w:val="20"/>
          <w:szCs w:val="20"/>
        </w:rPr>
        <w:t>n</w:t>
      </w:r>
      <w:r>
        <w:rPr>
          <w:sz w:val="20"/>
          <w:szCs w:val="20"/>
        </w:rPr>
        <w:t>. The Company’s contri</w:t>
      </w:r>
      <w:r>
        <w:rPr>
          <w:sz w:val="20"/>
          <w:szCs w:val="20"/>
        </w:rPr>
        <w:t xml:space="preserve">butions for the years ended December 31, 2022 and 2021 were approximately </w:t>
      </w:r>
      <w:r>
        <w:rPr>
          <w:sz w:val="20"/>
          <w:szCs w:val="20"/>
        </w:rPr>
        <w:t>$</w:t>
      </w:r>
      <w:r>
        <w:rPr>
          <w:sz w:val="20"/>
          <w:szCs w:val="20"/>
        </w:rPr>
        <w:t>329,00</w:t>
      </w:r>
      <w:r>
        <w:rPr>
          <w:sz w:val="20"/>
          <w:szCs w:val="20"/>
        </w:rPr>
        <w:t>0</w:t>
      </w:r>
      <w:r>
        <w:rPr>
          <w:sz w:val="20"/>
          <w:szCs w:val="20"/>
        </w:rPr>
        <w:t xml:space="preserve"> and </w:t>
      </w:r>
      <w:r>
        <w:rPr>
          <w:sz w:val="20"/>
          <w:szCs w:val="20"/>
        </w:rPr>
        <w:t>$</w:t>
      </w:r>
      <w:r>
        <w:rPr>
          <w:sz w:val="20"/>
          <w:szCs w:val="20"/>
        </w:rPr>
        <w:t>479,00</w:t>
      </w:r>
      <w:r>
        <w:rPr>
          <w:sz w:val="20"/>
          <w:szCs w:val="20"/>
        </w:rPr>
        <w:t>0</w:t>
      </w:r>
      <w:r>
        <w:rPr>
          <w:sz w:val="20"/>
          <w:szCs w:val="20"/>
        </w:rPr>
        <w:t>, respectively.</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Company maintains a defined contribution retirement plan covering all employees in Sri Lanka. The employee and employer contribute</w:t>
      </w:r>
      <w:r>
        <w:rPr>
          <w:sz w:val="20"/>
          <w:szCs w:val="20"/>
        </w:rPr>
        <w:t xml:space="preserve"> </w:t>
      </w:r>
      <w:r>
        <w:rPr>
          <w:sz w:val="20"/>
          <w:szCs w:val="20"/>
        </w:rPr>
        <w:t>8</w:t>
      </w:r>
      <w:r>
        <w:rPr>
          <w:sz w:val="20"/>
          <w:szCs w:val="20"/>
        </w:rPr>
        <w:t>%</w:t>
      </w:r>
      <w:r>
        <w:rPr>
          <w:sz w:val="20"/>
          <w:szCs w:val="20"/>
        </w:rPr>
        <w:t xml:space="preserve"> and</w:t>
      </w:r>
      <w:r>
        <w:rPr>
          <w:sz w:val="20"/>
          <w:szCs w:val="20"/>
        </w:rPr>
        <w:t xml:space="preserve"> </w:t>
      </w:r>
      <w:r>
        <w:rPr>
          <w:sz w:val="20"/>
          <w:szCs w:val="20"/>
        </w:rPr>
        <w:t>1</w:t>
      </w:r>
      <w:r>
        <w:rPr>
          <w:sz w:val="20"/>
          <w:szCs w:val="20"/>
        </w:rPr>
        <w:t>2</w:t>
      </w:r>
      <w:r>
        <w:rPr>
          <w:sz w:val="20"/>
          <w:szCs w:val="20"/>
        </w:rPr>
        <w:t>%</w:t>
      </w:r>
      <w:r>
        <w:rPr>
          <w:sz w:val="20"/>
          <w:szCs w:val="20"/>
        </w:rPr>
        <w:t xml:space="preserve">, respectively, of the employee’s gross salary. The Company’s contribution for the years ended December 31, 2022 and 2021 was approximately </w:t>
      </w:r>
      <w:r>
        <w:rPr>
          <w:sz w:val="20"/>
          <w:szCs w:val="20"/>
        </w:rPr>
        <w:t>$</w:t>
      </w:r>
      <w:r>
        <w:rPr>
          <w:sz w:val="20"/>
          <w:szCs w:val="20"/>
        </w:rPr>
        <w:t>22,00</w:t>
      </w:r>
      <w:r>
        <w:rPr>
          <w:sz w:val="20"/>
          <w:szCs w:val="20"/>
        </w:rPr>
        <w:t>0</w:t>
      </w:r>
      <w:r>
        <w:rPr>
          <w:sz w:val="20"/>
          <w:szCs w:val="20"/>
        </w:rPr>
        <w:t xml:space="preserve"> and </w:t>
      </w:r>
      <w:r>
        <w:rPr>
          <w:sz w:val="20"/>
          <w:szCs w:val="20"/>
        </w:rPr>
        <w:t>$</w:t>
      </w:r>
      <w:r>
        <w:rPr>
          <w:sz w:val="20"/>
          <w:szCs w:val="20"/>
        </w:rPr>
        <w:t>35,00</w:t>
      </w:r>
      <w:r>
        <w:rPr>
          <w:sz w:val="20"/>
          <w:szCs w:val="20"/>
        </w:rPr>
        <w:t>0</w:t>
      </w:r>
      <w:r>
        <w:rPr>
          <w:sz w:val="20"/>
          <w:szCs w:val="20"/>
        </w:rPr>
        <w:t>, respectively. The contributions are required to be deposited with the Employees’ Provident Fu</w:t>
      </w:r>
      <w:r>
        <w:rPr>
          <w:sz w:val="20"/>
          <w:szCs w:val="20"/>
        </w:rPr>
        <w:t>nd Organization, a government owned entity.</w:t>
      </w:r>
    </w:p>
    <w:p w:rsidR="00000000" w:rsidRDefault="003A6737">
      <w:pPr>
        <w:pStyle w:val="a3"/>
        <w:spacing w:before="0" w:beforeAutospacing="0" w:after="0" w:afterAutospacing="0"/>
        <w:ind w:left="475" w:hanging="475"/>
        <w:rPr>
          <w:b/>
          <w:bCs/>
          <w:caps/>
          <w:sz w:val="20"/>
          <w:szCs w:val="20"/>
        </w:rPr>
      </w:pPr>
      <w:r>
        <w:rPr>
          <w:b/>
          <w:bCs/>
          <w:caps/>
          <w:sz w:val="20"/>
          <w:szCs w:val="20"/>
        </w:rPr>
        <w:t> </w:t>
      </w:r>
    </w:p>
    <w:p w:rsidR="00000000" w:rsidRDefault="003A6737">
      <w:pPr>
        <w:pStyle w:val="a3"/>
        <w:spacing w:before="0" w:beforeAutospacing="0" w:after="0" w:afterAutospacing="0"/>
        <w:rPr>
          <w:caps/>
          <w:sz w:val="20"/>
          <w:szCs w:val="20"/>
        </w:rPr>
      </w:pPr>
      <w:r>
        <w:rPr>
          <w:b/>
          <w:bCs/>
          <w:caps/>
          <w:sz w:val="20"/>
          <w:szCs w:val="20"/>
        </w:rPr>
        <w:t>15.</w:t>
      </w:r>
      <w:r>
        <w:rPr>
          <w:caps/>
          <w:sz w:val="20"/>
          <w:szCs w:val="20"/>
        </w:rPr>
        <w:t xml:space="preserve"> </w:t>
      </w:r>
      <w:r>
        <w:rPr>
          <w:b/>
          <w:bCs/>
          <w:caps/>
          <w:sz w:val="20"/>
          <w:szCs w:val="20"/>
        </w:rPr>
        <w:t>STOCK-BASED COMPENSATIO</w:t>
      </w:r>
      <w:r>
        <w:rPr>
          <w:b/>
          <w:bCs/>
          <w:caps/>
          <w:sz w:val="20"/>
          <w:szCs w:val="20"/>
        </w:rPr>
        <w:t>N</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In </w:t>
      </w:r>
      <w:r>
        <w:rPr>
          <w:sz w:val="20"/>
          <w:szCs w:val="20"/>
        </w:rPr>
        <w:t>April 2014, the Company adopted the Medical Transcription Billing, Corp. 2014 Equity Incentive Plan (the “Original Plan”), reserving a total of</w:t>
      </w:r>
      <w:r>
        <w:rPr>
          <w:sz w:val="20"/>
          <w:szCs w:val="20"/>
        </w:rPr>
        <w:t xml:space="preserve"> </w:t>
      </w:r>
      <w:r>
        <w:rPr>
          <w:sz w:val="20"/>
          <w:szCs w:val="20"/>
        </w:rPr>
        <w:t>1,351,00</w:t>
      </w:r>
      <w:r>
        <w:rPr>
          <w:sz w:val="20"/>
          <w:szCs w:val="20"/>
        </w:rPr>
        <w:t>0</w:t>
      </w:r>
      <w:r>
        <w:rPr>
          <w:sz w:val="20"/>
          <w:szCs w:val="20"/>
        </w:rPr>
        <w:t xml:space="preserve"> shares of common stock for grants to employees, officers, directors and consultants. On April 14, 2017</w:t>
      </w:r>
      <w:r>
        <w:rPr>
          <w:sz w:val="20"/>
          <w:szCs w:val="20"/>
        </w:rPr>
        <w:t>, the Original Plan was amended and restated whereby an additional</w:t>
      </w:r>
      <w:r>
        <w:rPr>
          <w:sz w:val="20"/>
          <w:szCs w:val="20"/>
        </w:rPr>
        <w:t xml:space="preserve"> </w:t>
      </w:r>
      <w:r>
        <w:rPr>
          <w:sz w:val="20"/>
          <w:szCs w:val="20"/>
        </w:rPr>
        <w:t>1,500,00</w:t>
      </w:r>
      <w:r>
        <w:rPr>
          <w:sz w:val="20"/>
          <w:szCs w:val="20"/>
        </w:rPr>
        <w:t>0</w:t>
      </w:r>
      <w:r>
        <w:rPr>
          <w:sz w:val="20"/>
          <w:szCs w:val="20"/>
        </w:rPr>
        <w:t xml:space="preserve"> shares of common stock and</w:t>
      </w:r>
      <w:r>
        <w:rPr>
          <w:sz w:val="20"/>
          <w:szCs w:val="20"/>
        </w:rPr>
        <w:t xml:space="preserve"> </w:t>
      </w:r>
      <w:r>
        <w:rPr>
          <w:sz w:val="20"/>
          <w:szCs w:val="20"/>
        </w:rPr>
        <w:t>100,00</w:t>
      </w:r>
      <w:r>
        <w:rPr>
          <w:sz w:val="20"/>
          <w:szCs w:val="20"/>
        </w:rPr>
        <w:t>0</w:t>
      </w:r>
      <w:r>
        <w:rPr>
          <w:sz w:val="20"/>
          <w:szCs w:val="20"/>
        </w:rPr>
        <w:t xml:space="preserve"> shares of Series A Preferred Stock were added to the plan for future issuance (the “A&amp;R Plan”). During 2018, an additional</w:t>
      </w:r>
      <w:r>
        <w:rPr>
          <w:sz w:val="20"/>
          <w:szCs w:val="20"/>
        </w:rPr>
        <w:t xml:space="preserve"> </w:t>
      </w:r>
      <w:r>
        <w:rPr>
          <w:sz w:val="20"/>
          <w:szCs w:val="20"/>
        </w:rPr>
        <w:t>200,00</w:t>
      </w:r>
      <w:r>
        <w:rPr>
          <w:sz w:val="20"/>
          <w:szCs w:val="20"/>
        </w:rPr>
        <w:t>0</w:t>
      </w:r>
      <w:r>
        <w:rPr>
          <w:sz w:val="20"/>
          <w:szCs w:val="20"/>
        </w:rPr>
        <w:t xml:space="preserve"> shares of Ser</w:t>
      </w:r>
      <w:r>
        <w:rPr>
          <w:sz w:val="20"/>
          <w:szCs w:val="20"/>
        </w:rPr>
        <w:t>ies A Preferred Stock were added to the A&amp;R Plan for future issuance. In May 2020, an additional</w:t>
      </w:r>
      <w:r>
        <w:rPr>
          <w:sz w:val="20"/>
          <w:szCs w:val="20"/>
        </w:rPr>
        <w:t xml:space="preserve"> </w:t>
      </w:r>
      <w:r>
        <w:rPr>
          <w:sz w:val="20"/>
          <w:szCs w:val="20"/>
        </w:rPr>
        <w:t>2,000,00</w:t>
      </w:r>
      <w:r>
        <w:rPr>
          <w:sz w:val="20"/>
          <w:szCs w:val="20"/>
        </w:rPr>
        <w:t>0</w:t>
      </w:r>
      <w:r>
        <w:rPr>
          <w:sz w:val="20"/>
          <w:szCs w:val="20"/>
        </w:rPr>
        <w:t xml:space="preserve"> shares of common stock and an additional</w:t>
      </w:r>
      <w:r>
        <w:rPr>
          <w:sz w:val="20"/>
          <w:szCs w:val="20"/>
        </w:rPr>
        <w:t xml:space="preserve"> </w:t>
      </w:r>
      <w:r>
        <w:rPr>
          <w:sz w:val="20"/>
          <w:szCs w:val="20"/>
        </w:rPr>
        <w:t>300,00</w:t>
      </w:r>
      <w:r>
        <w:rPr>
          <w:sz w:val="20"/>
          <w:szCs w:val="20"/>
        </w:rPr>
        <w:t>0</w:t>
      </w:r>
      <w:r>
        <w:rPr>
          <w:sz w:val="20"/>
          <w:szCs w:val="20"/>
        </w:rPr>
        <w:t xml:space="preserve"> shares of Series A Preferred Stock were added to the A&amp;R Plan for future issuance. During 2022, an a</w:t>
      </w:r>
      <w:r>
        <w:rPr>
          <w:sz w:val="20"/>
          <w:szCs w:val="20"/>
        </w:rPr>
        <w:t>dditional</w:t>
      </w:r>
      <w:r>
        <w:rPr>
          <w:sz w:val="20"/>
          <w:szCs w:val="20"/>
        </w:rPr>
        <w:t xml:space="preserve"> </w:t>
      </w:r>
      <w:r>
        <w:rPr>
          <w:sz w:val="20"/>
          <w:szCs w:val="20"/>
        </w:rPr>
        <w:t>1,000,00</w:t>
      </w:r>
      <w:r>
        <w:rPr>
          <w:sz w:val="20"/>
          <w:szCs w:val="20"/>
        </w:rPr>
        <w:t>0</w:t>
      </w:r>
      <w:r>
        <w:rPr>
          <w:sz w:val="20"/>
          <w:szCs w:val="20"/>
        </w:rPr>
        <w:t xml:space="preserve"> shares of common stock and</w:t>
      </w:r>
      <w:r>
        <w:rPr>
          <w:sz w:val="20"/>
          <w:szCs w:val="20"/>
        </w:rPr>
        <w:t xml:space="preserve"> </w:t>
      </w:r>
      <w:r>
        <w:rPr>
          <w:sz w:val="20"/>
          <w:szCs w:val="20"/>
        </w:rPr>
        <w:t>200,00</w:t>
      </w:r>
      <w:r>
        <w:rPr>
          <w:sz w:val="20"/>
          <w:szCs w:val="20"/>
        </w:rPr>
        <w:t>0</w:t>
      </w:r>
      <w:r>
        <w:rPr>
          <w:sz w:val="20"/>
          <w:szCs w:val="20"/>
        </w:rPr>
        <w:t xml:space="preserve"> shares of Series B Preferred Stock were added to the A&amp;R Plan for future issuance. As of December 31, 2022,</w:t>
      </w:r>
      <w:r>
        <w:rPr>
          <w:sz w:val="20"/>
          <w:szCs w:val="20"/>
        </w:rPr>
        <w:t xml:space="preserve"> </w:t>
      </w:r>
      <w:r>
        <w:rPr>
          <w:sz w:val="20"/>
          <w:szCs w:val="20"/>
        </w:rPr>
        <w:t>1,498,49</w:t>
      </w:r>
      <w:r>
        <w:rPr>
          <w:sz w:val="20"/>
          <w:szCs w:val="20"/>
        </w:rPr>
        <w:t>2</w:t>
      </w:r>
      <w:r>
        <w:rPr>
          <w:sz w:val="20"/>
          <w:szCs w:val="20"/>
        </w:rPr>
        <w:t xml:space="preserve"> shares of common stock and</w:t>
      </w:r>
      <w:r>
        <w:rPr>
          <w:sz w:val="20"/>
          <w:szCs w:val="20"/>
        </w:rPr>
        <w:t xml:space="preserve"> </w:t>
      </w:r>
      <w:r>
        <w:rPr>
          <w:sz w:val="20"/>
          <w:szCs w:val="20"/>
        </w:rPr>
        <w:t>33,76</w:t>
      </w:r>
      <w:r>
        <w:rPr>
          <w:sz w:val="20"/>
          <w:szCs w:val="20"/>
        </w:rPr>
        <w:t>9</w:t>
      </w:r>
      <w:r>
        <w:rPr>
          <w:sz w:val="20"/>
          <w:szCs w:val="20"/>
        </w:rPr>
        <w:t xml:space="preserve"> and</w:t>
      </w:r>
      <w:r>
        <w:rPr>
          <w:sz w:val="20"/>
          <w:szCs w:val="20"/>
        </w:rPr>
        <w:t xml:space="preserve"> </w:t>
      </w:r>
      <w:r>
        <w:rPr>
          <w:sz w:val="20"/>
          <w:szCs w:val="20"/>
        </w:rPr>
        <w:t>100,00</w:t>
      </w:r>
      <w:r>
        <w:rPr>
          <w:sz w:val="20"/>
          <w:szCs w:val="20"/>
        </w:rPr>
        <w:t>0</w:t>
      </w:r>
      <w:r>
        <w:rPr>
          <w:sz w:val="20"/>
          <w:szCs w:val="20"/>
        </w:rPr>
        <w:t xml:space="preserve"> shares of Series A and Series B Prefe</w:t>
      </w:r>
      <w:r>
        <w:rPr>
          <w:sz w:val="20"/>
          <w:szCs w:val="20"/>
        </w:rPr>
        <w:t>rred Stock, respectively, are available for grant. Permissible awards include incentive stock options, non-statutory stock options, stock appreciation rights, restricted stock, RSUs, performance stock and cash-settled awards and other stock-based awards in</w:t>
      </w:r>
      <w:r>
        <w:rPr>
          <w:sz w:val="20"/>
          <w:szCs w:val="20"/>
        </w:rPr>
        <w:t xml:space="preserve"> the discretion of the Compensation Committee of the Board of Directors including unrestricted stock grants.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equity based RSUs contain a provision in which the units shall immediately vest and become converted into common shares at the rate of one co</w:t>
      </w:r>
      <w:r>
        <w:rPr>
          <w:sz w:val="20"/>
          <w:szCs w:val="20"/>
        </w:rPr>
        <w:t>mmon share per RSU, immediately after a change in control, as defined in the award agreement.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sz w:val="20"/>
          <w:szCs w:val="20"/>
        </w:rPr>
      </w:pPr>
      <w:r>
        <w:rPr>
          <w:b/>
          <w:bCs/>
          <w:i/>
          <w:iCs/>
          <w:sz w:val="20"/>
          <w:szCs w:val="20"/>
          <w:u w:val="single"/>
        </w:rPr>
        <w:t>Common stock</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During 2021,</w:t>
      </w:r>
      <w:r>
        <w:rPr>
          <w:sz w:val="20"/>
          <w:szCs w:val="20"/>
        </w:rPr>
        <w:t xml:space="preserve"> </w:t>
      </w:r>
      <w:r>
        <w:rPr>
          <w:sz w:val="20"/>
          <w:szCs w:val="20"/>
        </w:rPr>
        <w:t>628,36</w:t>
      </w:r>
      <w:r>
        <w:rPr>
          <w:sz w:val="20"/>
          <w:szCs w:val="20"/>
        </w:rPr>
        <w:t>1</w:t>
      </w:r>
      <w:r>
        <w:rPr>
          <w:sz w:val="20"/>
          <w:szCs w:val="20"/>
        </w:rPr>
        <w:t xml:space="preserve"> RSUs of common stock were granted to employees and independent contractors to vest at different dates during the years 2021 </w:t>
      </w:r>
      <w:r>
        <w:rPr>
          <w:sz w:val="20"/>
          <w:szCs w:val="20"/>
        </w:rPr>
        <w:t>through 2023. Included therein were</w:t>
      </w:r>
      <w:r>
        <w:rPr>
          <w:sz w:val="20"/>
          <w:szCs w:val="20"/>
        </w:rPr>
        <w:t xml:space="preserve"> </w:t>
      </w:r>
      <w:r>
        <w:rPr>
          <w:sz w:val="20"/>
          <w:szCs w:val="20"/>
        </w:rPr>
        <w:t>44,00</w:t>
      </w:r>
      <w:r>
        <w:rPr>
          <w:sz w:val="20"/>
          <w:szCs w:val="20"/>
        </w:rPr>
        <w:t>0</w:t>
      </w:r>
      <w:r>
        <w:rPr>
          <w:sz w:val="20"/>
          <w:szCs w:val="20"/>
        </w:rPr>
        <w:t xml:space="preserve"> RSUs of common stock granted over two years equally to the four outside members of the Board of Directors with</w:t>
      </w:r>
      <w:r>
        <w:rPr>
          <w:sz w:val="20"/>
          <w:szCs w:val="20"/>
        </w:rPr>
        <w:t xml:space="preserve"> </w:t>
      </w:r>
      <w:r>
        <w:rPr>
          <w:sz w:val="20"/>
          <w:szCs w:val="20"/>
        </w:rPr>
        <w:t>25</w:t>
      </w:r>
      <w:r>
        <w:rPr>
          <w:sz w:val="20"/>
          <w:szCs w:val="20"/>
        </w:rPr>
        <w:t>%</w:t>
      </w:r>
      <w:r>
        <w:rPr>
          <w:sz w:val="20"/>
          <w:szCs w:val="20"/>
        </w:rPr>
        <w:t xml:space="preserve"> of the shares vesting every six months.</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89015255"/>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During 2022,</w:t>
      </w:r>
      <w:r>
        <w:rPr>
          <w:sz w:val="20"/>
          <w:szCs w:val="20"/>
        </w:rPr>
        <w:t xml:space="preserve"> </w:t>
      </w:r>
      <w:r>
        <w:rPr>
          <w:sz w:val="20"/>
          <w:szCs w:val="20"/>
        </w:rPr>
        <w:t>777,71</w:t>
      </w:r>
      <w:r>
        <w:rPr>
          <w:sz w:val="20"/>
          <w:szCs w:val="20"/>
        </w:rPr>
        <w:t>5</w:t>
      </w:r>
      <w:r>
        <w:rPr>
          <w:sz w:val="20"/>
          <w:szCs w:val="20"/>
        </w:rPr>
        <w:t xml:space="preserve"> RSUs of common stock we</w:t>
      </w:r>
      <w:r>
        <w:rPr>
          <w:sz w:val="20"/>
          <w:szCs w:val="20"/>
        </w:rPr>
        <w:t>re granted to employees and independent contractors to vest at different dates during the years 2022 through 2024. Included therein were</w:t>
      </w:r>
      <w:r>
        <w:rPr>
          <w:sz w:val="20"/>
          <w:szCs w:val="20"/>
        </w:rPr>
        <w:t xml:space="preserve"> </w:t>
      </w:r>
      <w:r>
        <w:rPr>
          <w:sz w:val="20"/>
          <w:szCs w:val="20"/>
        </w:rPr>
        <w:t>80,00</w:t>
      </w:r>
      <w:r>
        <w:rPr>
          <w:sz w:val="20"/>
          <w:szCs w:val="20"/>
        </w:rPr>
        <w:t>0</w:t>
      </w:r>
      <w:r>
        <w:rPr>
          <w:sz w:val="20"/>
          <w:szCs w:val="20"/>
        </w:rPr>
        <w:t xml:space="preserve"> shares of common stock granted over two years equally to the four outside members of the Board of Directors with</w:t>
      </w:r>
      <w:r>
        <w:rPr>
          <w:sz w:val="20"/>
          <w:szCs w:val="20"/>
        </w:rPr>
        <w:t xml:space="preserve"> </w:t>
      </w:r>
      <w:r>
        <w:rPr>
          <w:sz w:val="20"/>
          <w:szCs w:val="20"/>
        </w:rPr>
        <w:t>25</w:t>
      </w:r>
      <w:r>
        <w:rPr>
          <w:sz w:val="20"/>
          <w:szCs w:val="20"/>
        </w:rPr>
        <w:t>%</w:t>
      </w:r>
      <w:r>
        <w:rPr>
          <w:sz w:val="20"/>
          <w:szCs w:val="20"/>
        </w:rPr>
        <w:t xml:space="preserve"> of the shares vesting every six months.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During </w:t>
      </w:r>
      <w:r>
        <w:rPr>
          <w:sz w:val="20"/>
          <w:szCs w:val="20"/>
        </w:rPr>
        <w:t>December 2022, it was agreed that certain bonuses to employees of medSR that were originally going to be paid in cash will be paid in common stock. The change of paying the bonuses in common stock resulted in approximately</w:t>
      </w:r>
      <w:r>
        <w:rPr>
          <w:sz w:val="20"/>
          <w:szCs w:val="20"/>
        </w:rPr>
        <w:t xml:space="preserve"> </w:t>
      </w:r>
      <w:r>
        <w:rPr>
          <w:sz w:val="20"/>
          <w:szCs w:val="20"/>
        </w:rPr>
        <w:t>135,00</w:t>
      </w:r>
      <w:r>
        <w:rPr>
          <w:sz w:val="20"/>
          <w:szCs w:val="20"/>
        </w:rPr>
        <w:t>0</w:t>
      </w:r>
      <w:r>
        <w:rPr>
          <w:sz w:val="20"/>
          <w:szCs w:val="20"/>
        </w:rPr>
        <w:t xml:space="preserve"> shares being issued in Fe</w:t>
      </w:r>
      <w:r>
        <w:rPr>
          <w:sz w:val="20"/>
          <w:szCs w:val="20"/>
        </w:rPr>
        <w:t xml:space="preserve">bruary 2023. This change resulted in approximately </w:t>
      </w:r>
      <w:r>
        <w:rPr>
          <w:sz w:val="20"/>
          <w:szCs w:val="20"/>
        </w:rPr>
        <w:t>$</w:t>
      </w:r>
      <w:r>
        <w:rPr>
          <w:sz w:val="20"/>
          <w:szCs w:val="20"/>
        </w:rPr>
        <w:t>404,000</w:t>
      </w:r>
      <w:r>
        <w:rPr>
          <w:sz w:val="20"/>
          <w:szCs w:val="20"/>
        </w:rPr>
        <w:t xml:space="preserve"> </w:t>
      </w:r>
      <w:r>
        <w:rPr>
          <w:sz w:val="20"/>
          <w:szCs w:val="20"/>
        </w:rPr>
        <w:t>of stock compensation expense, which offset the amounts previously accrued.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following table summarizes the RSU and restricted stock transactions related to the common and Preferred Stock und</w:t>
      </w:r>
      <w:r>
        <w:rPr>
          <w:sz w:val="20"/>
          <w:szCs w:val="20"/>
        </w:rPr>
        <w:t>er the A&amp;R Plan for the years ended December 31, 2022 and 2021:</w:t>
      </w:r>
    </w:p>
    <w:p w:rsidR="00000000" w:rsidRDefault="003A6737">
      <w:pPr>
        <w:pStyle w:val="a3"/>
        <w:spacing w:before="0" w:beforeAutospacing="0" w:after="0" w:afterAutospacing="0"/>
        <w:jc w:val="both"/>
        <w:rPr>
          <w:sz w:val="20"/>
          <w:szCs w:val="20"/>
        </w:rPr>
      </w:pPr>
      <w:r>
        <w:rPr>
          <w:sz w:val="20"/>
          <w:szCs w:val="20"/>
        </w:rPr>
        <w:t> </w:t>
      </w:r>
      <w:r>
        <w:rPr>
          <w:vanish/>
          <w:sz w:val="20"/>
          <w:szCs w:val="20"/>
        </w:rPr>
        <w:t>DISCLOSURE OF SHARE-BASED COMPENSATION ARRANGEMENTS BY SHARE-BASED PAYMENT AWAR</w:t>
      </w:r>
      <w:r>
        <w:rPr>
          <w:vanish/>
          <w:sz w:val="20"/>
          <w:szCs w:val="20"/>
        </w:rPr>
        <w:t>D</w:t>
      </w:r>
    </w:p>
    <w:tbl>
      <w:tblPr>
        <w:tblW w:w="5000" w:type="pct"/>
        <w:tblCellMar>
          <w:left w:w="0" w:type="dxa"/>
          <w:right w:w="0" w:type="dxa"/>
        </w:tblCellMar>
        <w:tblLook w:val="04A0" w:firstRow="1" w:lastRow="0" w:firstColumn="1" w:lastColumn="0" w:noHBand="0" w:noVBand="1"/>
      </w:tblPr>
      <w:tblGrid>
        <w:gridCol w:w="3821"/>
        <w:gridCol w:w="166"/>
        <w:gridCol w:w="83"/>
        <w:gridCol w:w="1163"/>
        <w:gridCol w:w="83"/>
        <w:gridCol w:w="166"/>
        <w:gridCol w:w="83"/>
        <w:gridCol w:w="1163"/>
        <w:gridCol w:w="83"/>
        <w:gridCol w:w="166"/>
        <w:gridCol w:w="83"/>
        <w:gridCol w:w="1163"/>
        <w:gridCol w:w="83"/>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b/>
                <w:bCs/>
                <w:sz w:val="20"/>
                <w:szCs w:val="20"/>
              </w:rPr>
            </w:pPr>
            <w:r>
              <w:rPr>
                <w:b/>
                <w:bCs/>
                <w:sz w:val="20"/>
                <w:szCs w:val="20"/>
              </w:rPr>
              <w:t>Common</w:t>
            </w:r>
          </w:p>
          <w:p w:rsidR="00000000" w:rsidRDefault="003A6737">
            <w:pPr>
              <w:pStyle w:val="a3"/>
              <w:spacing w:before="0" w:beforeAutospacing="0" w:after="0" w:afterAutospacing="0"/>
              <w:jc w:val="center"/>
              <w:rPr>
                <w:b/>
                <w:bCs/>
                <w:sz w:val="20"/>
                <w:szCs w:val="20"/>
              </w:rPr>
            </w:pPr>
            <w:r>
              <w:rPr>
                <w:b/>
                <w:bCs/>
                <w:sz w:val="20"/>
                <w:szCs w:val="20"/>
              </w:rPr>
              <w:t>Stock</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b/>
                <w:bCs/>
                <w:sz w:val="20"/>
                <w:szCs w:val="20"/>
              </w:rPr>
            </w:pPr>
            <w:r>
              <w:rPr>
                <w:b/>
                <w:bCs/>
                <w:sz w:val="20"/>
                <w:szCs w:val="20"/>
              </w:rPr>
              <w:t>Series A</w:t>
            </w:r>
          </w:p>
          <w:p w:rsidR="00000000" w:rsidRDefault="003A6737">
            <w:pPr>
              <w:pStyle w:val="a3"/>
              <w:spacing w:before="0" w:beforeAutospacing="0" w:after="0" w:afterAutospacing="0"/>
              <w:jc w:val="center"/>
              <w:rPr>
                <w:b/>
                <w:bCs/>
                <w:sz w:val="20"/>
                <w:szCs w:val="20"/>
              </w:rPr>
            </w:pPr>
            <w:r>
              <w:rPr>
                <w:b/>
                <w:bCs/>
                <w:sz w:val="20"/>
                <w:szCs w:val="20"/>
              </w:rPr>
              <w:t>Preferred Stock</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b/>
                <w:bCs/>
                <w:sz w:val="20"/>
                <w:szCs w:val="20"/>
              </w:rPr>
            </w:pPr>
            <w:r>
              <w:rPr>
                <w:b/>
                <w:bCs/>
                <w:sz w:val="20"/>
                <w:szCs w:val="20"/>
              </w:rPr>
              <w:t>Series B</w:t>
            </w:r>
          </w:p>
          <w:p w:rsidR="00000000" w:rsidRDefault="003A6737">
            <w:pPr>
              <w:pStyle w:val="a3"/>
              <w:spacing w:before="0" w:beforeAutospacing="0" w:after="0" w:afterAutospacing="0"/>
              <w:jc w:val="center"/>
              <w:rPr>
                <w:b/>
                <w:bCs/>
                <w:sz w:val="20"/>
                <w:szCs w:val="20"/>
              </w:rPr>
            </w:pPr>
            <w:r>
              <w:rPr>
                <w:b/>
                <w:bCs/>
                <w:sz w:val="20"/>
                <w:szCs w:val="20"/>
              </w:rPr>
              <w:t>Preferred Stock</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2300" w:type="pct"/>
            <w:shd w:val="clear" w:color="auto" w:fill="CCEEFF"/>
            <w:vAlign w:val="bottom"/>
            <w:hideMark/>
          </w:tcPr>
          <w:p w:rsidR="00000000" w:rsidRDefault="003A6737">
            <w:pPr>
              <w:rPr>
                <w:rFonts w:eastAsia="Times New Roman"/>
                <w:sz w:val="20"/>
                <w:szCs w:val="20"/>
              </w:rPr>
            </w:pPr>
            <w:r>
              <w:rPr>
                <w:rFonts w:eastAsia="Times New Roman"/>
                <w:sz w:val="20"/>
                <w:szCs w:val="20"/>
              </w:rPr>
              <w:t>Outstanding and unvested shares at January 1, 2022</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418,039</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34,000</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777,715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8,644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(465,455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(42,644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(19,538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(84,824</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Outstanding and unvested shares at December 31, 2022</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645,475</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80,462</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Outstanding and unvested shares at January 1, 2021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382,435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628,361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50,010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(491,025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(60,010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(101,732</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Outstanding and unvested shares at December 31, 2021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418,039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34,000</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As </w:t>
      </w:r>
      <w:r>
        <w:rPr>
          <w:sz w:val="20"/>
          <w:szCs w:val="20"/>
        </w:rPr>
        <w:t xml:space="preserve">of December 31, 2022 and 2021, there was approximately </w:t>
      </w:r>
      <w:r>
        <w:rPr>
          <w:sz w:val="20"/>
          <w:szCs w:val="20"/>
        </w:rPr>
        <w:t>$</w:t>
      </w:r>
      <w:r>
        <w:rPr>
          <w:sz w:val="20"/>
          <w:szCs w:val="20"/>
        </w:rPr>
        <w:t>1.</w:t>
      </w:r>
      <w:r>
        <w:rPr>
          <w:sz w:val="20"/>
          <w:szCs w:val="20"/>
        </w:rPr>
        <w:t>4</w:t>
      </w:r>
      <w:r>
        <w:rPr>
          <w:sz w:val="20"/>
          <w:szCs w:val="20"/>
        </w:rPr>
        <w:t xml:space="preserve"> million and </w:t>
      </w:r>
      <w:r>
        <w:rPr>
          <w:sz w:val="20"/>
          <w:szCs w:val="20"/>
        </w:rPr>
        <w:t>$</w:t>
      </w:r>
      <w:r>
        <w:rPr>
          <w:sz w:val="20"/>
          <w:szCs w:val="20"/>
        </w:rPr>
        <w:t>3.</w:t>
      </w:r>
      <w:r>
        <w:rPr>
          <w:sz w:val="20"/>
          <w:szCs w:val="20"/>
        </w:rPr>
        <w:t>7</w:t>
      </w:r>
      <w:r>
        <w:rPr>
          <w:sz w:val="20"/>
          <w:szCs w:val="20"/>
        </w:rPr>
        <w:t xml:space="preserve"> million, respectively, of total unrecognized compensation cost related to the common stock RSUs classified as equity that will be expensed through 2024. As of December 31, 2022, t</w:t>
      </w:r>
      <w:r>
        <w:rPr>
          <w:sz w:val="20"/>
          <w:szCs w:val="20"/>
        </w:rPr>
        <w:t xml:space="preserve">here was approximately </w:t>
      </w:r>
      <w:r>
        <w:rPr>
          <w:sz w:val="20"/>
          <w:szCs w:val="20"/>
        </w:rPr>
        <w:t>$</w:t>
      </w:r>
      <w:r>
        <w:rPr>
          <w:sz w:val="20"/>
          <w:szCs w:val="20"/>
        </w:rPr>
        <w:t>557,00</w:t>
      </w:r>
      <w:r>
        <w:rPr>
          <w:sz w:val="20"/>
          <w:szCs w:val="20"/>
        </w:rPr>
        <w:t>0</w:t>
      </w:r>
      <w:r>
        <w:rPr>
          <w:sz w:val="20"/>
          <w:szCs w:val="20"/>
        </w:rPr>
        <w:t xml:space="preserve"> of total unrecognized compensation cost related to the Series B Preferred Stock RSUs classified as equity that will be expensed through 2023. There was no unrecognized compensation cost related to the Series A Preferred Stoc</w:t>
      </w:r>
      <w:r>
        <w:rPr>
          <w:sz w:val="20"/>
          <w:szCs w:val="20"/>
        </w:rPr>
        <w:t>k RSUs for both the years ended December 31, 2022 and 2021.</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Of the total outstanding and unvested common stock RSUs at December 31, 2022 and 2021,</w:t>
      </w:r>
      <w:r>
        <w:rPr>
          <w:sz w:val="20"/>
          <w:szCs w:val="20"/>
        </w:rPr>
        <w:t xml:space="preserve"> </w:t>
      </w:r>
      <w:r>
        <w:rPr>
          <w:sz w:val="20"/>
          <w:szCs w:val="20"/>
        </w:rPr>
        <w:t>598,24</w:t>
      </w:r>
      <w:r>
        <w:rPr>
          <w:sz w:val="20"/>
          <w:szCs w:val="20"/>
        </w:rPr>
        <w:t>5</w:t>
      </w:r>
      <w:r>
        <w:rPr>
          <w:sz w:val="20"/>
          <w:szCs w:val="20"/>
        </w:rPr>
        <w:t xml:space="preserve"> and</w:t>
      </w:r>
      <w:r>
        <w:rPr>
          <w:sz w:val="20"/>
          <w:szCs w:val="20"/>
        </w:rPr>
        <w:t xml:space="preserve"> </w:t>
      </w:r>
      <w:r>
        <w:rPr>
          <w:sz w:val="20"/>
          <w:szCs w:val="20"/>
        </w:rPr>
        <w:t>331,03</w:t>
      </w:r>
      <w:r>
        <w:rPr>
          <w:sz w:val="20"/>
          <w:szCs w:val="20"/>
        </w:rPr>
        <w:t>9</w:t>
      </w:r>
      <w:r>
        <w:rPr>
          <w:sz w:val="20"/>
          <w:szCs w:val="20"/>
        </w:rPr>
        <w:t xml:space="preserve"> RSUs, respectively, are classified as equity and</w:t>
      </w:r>
      <w:r>
        <w:rPr>
          <w:sz w:val="20"/>
          <w:szCs w:val="20"/>
        </w:rPr>
        <w:t xml:space="preserve"> </w:t>
      </w:r>
      <w:r>
        <w:rPr>
          <w:sz w:val="20"/>
          <w:szCs w:val="20"/>
        </w:rPr>
        <w:t>47,23</w:t>
      </w:r>
      <w:r>
        <w:rPr>
          <w:sz w:val="20"/>
          <w:szCs w:val="20"/>
        </w:rPr>
        <w:t>0</w:t>
      </w:r>
      <w:r>
        <w:rPr>
          <w:sz w:val="20"/>
          <w:szCs w:val="20"/>
        </w:rPr>
        <w:t xml:space="preserve"> and</w:t>
      </w:r>
      <w:r>
        <w:rPr>
          <w:sz w:val="20"/>
          <w:szCs w:val="20"/>
        </w:rPr>
        <w:t xml:space="preserve"> </w:t>
      </w:r>
      <w:r>
        <w:rPr>
          <w:sz w:val="20"/>
          <w:szCs w:val="20"/>
        </w:rPr>
        <w:t>87,00</w:t>
      </w:r>
      <w:r>
        <w:rPr>
          <w:sz w:val="20"/>
          <w:szCs w:val="20"/>
        </w:rPr>
        <w:t>0</w:t>
      </w:r>
      <w:r>
        <w:rPr>
          <w:sz w:val="20"/>
          <w:szCs w:val="20"/>
        </w:rPr>
        <w:t xml:space="preserve"> RSUs, respectively, </w:t>
      </w:r>
      <w:r>
        <w:rPr>
          <w:sz w:val="20"/>
          <w:szCs w:val="20"/>
        </w:rPr>
        <w:t>are classified as a liability. For both 2022 and 2021, all of the Preferred Stock RSUs are classified as equity.</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following table summarizes the share activity during the years ended December 31, 2022 and 2021 and the amount of common and preferred sh</w:t>
      </w:r>
      <w:r>
        <w:rPr>
          <w:sz w:val="20"/>
          <w:szCs w:val="20"/>
        </w:rPr>
        <w:t>ares available for grant at December 31, 2022 and 2021:</w:t>
      </w:r>
    </w:p>
    <w:p w:rsidR="00000000" w:rsidRDefault="003A6737">
      <w:pPr>
        <w:pStyle w:val="a3"/>
        <w:spacing w:before="0" w:beforeAutospacing="0" w:after="0" w:afterAutospacing="0"/>
        <w:jc w:val="both"/>
        <w:rPr>
          <w:sz w:val="20"/>
          <w:szCs w:val="20"/>
        </w:rPr>
      </w:pPr>
      <w:r>
        <w:rPr>
          <w:sz w:val="20"/>
          <w:szCs w:val="20"/>
        </w:rPr>
        <w:t> </w:t>
      </w:r>
      <w:r>
        <w:rPr>
          <w:vanish/>
          <w:sz w:val="20"/>
          <w:szCs w:val="20"/>
        </w:rPr>
        <w:t>SCHEDULE OF SHARE-BASED COMPENSATION, RESTRICTED STOCK UNITS AWARD ACTIVIT</w:t>
      </w:r>
      <w:r>
        <w:rPr>
          <w:vanish/>
          <w:sz w:val="20"/>
          <w:szCs w:val="20"/>
        </w:rPr>
        <w:t>Y</w:t>
      </w:r>
    </w:p>
    <w:tbl>
      <w:tblPr>
        <w:tblW w:w="5000" w:type="pct"/>
        <w:tblCellMar>
          <w:left w:w="0" w:type="dxa"/>
          <w:right w:w="0" w:type="dxa"/>
        </w:tblCellMar>
        <w:tblLook w:val="04A0" w:firstRow="1" w:lastRow="0" w:firstColumn="1" w:lastColumn="0" w:noHBand="0" w:noVBand="1"/>
      </w:tblPr>
      <w:tblGrid>
        <w:gridCol w:w="3821"/>
        <w:gridCol w:w="166"/>
        <w:gridCol w:w="83"/>
        <w:gridCol w:w="1163"/>
        <w:gridCol w:w="83"/>
        <w:gridCol w:w="166"/>
        <w:gridCol w:w="83"/>
        <w:gridCol w:w="1163"/>
        <w:gridCol w:w="83"/>
        <w:gridCol w:w="166"/>
        <w:gridCol w:w="83"/>
        <w:gridCol w:w="1163"/>
        <w:gridCol w:w="83"/>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b/>
                <w:bCs/>
                <w:sz w:val="20"/>
                <w:szCs w:val="20"/>
              </w:rPr>
            </w:pPr>
            <w:r>
              <w:rPr>
                <w:b/>
                <w:bCs/>
                <w:sz w:val="20"/>
                <w:szCs w:val="20"/>
              </w:rPr>
              <w:t>Common Stock</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b/>
                <w:bCs/>
                <w:sz w:val="20"/>
                <w:szCs w:val="20"/>
              </w:rPr>
            </w:pPr>
            <w:r>
              <w:rPr>
                <w:b/>
                <w:bCs/>
                <w:sz w:val="20"/>
                <w:szCs w:val="20"/>
              </w:rPr>
              <w:t>Series A</w:t>
            </w:r>
          </w:p>
          <w:p w:rsidR="00000000" w:rsidRDefault="003A6737">
            <w:pPr>
              <w:pStyle w:val="a3"/>
              <w:spacing w:before="0" w:beforeAutospacing="0" w:after="0" w:afterAutospacing="0"/>
              <w:jc w:val="center"/>
              <w:rPr>
                <w:b/>
                <w:bCs/>
                <w:sz w:val="20"/>
                <w:szCs w:val="20"/>
              </w:rPr>
            </w:pPr>
            <w:r>
              <w:rPr>
                <w:b/>
                <w:bCs/>
                <w:sz w:val="20"/>
                <w:szCs w:val="20"/>
              </w:rPr>
              <w:t>Preferred Stock</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b/>
                <w:bCs/>
                <w:sz w:val="20"/>
                <w:szCs w:val="20"/>
              </w:rPr>
            </w:pPr>
            <w:r>
              <w:rPr>
                <w:b/>
                <w:bCs/>
                <w:sz w:val="20"/>
                <w:szCs w:val="20"/>
              </w:rPr>
              <w:t>Series B</w:t>
            </w:r>
          </w:p>
          <w:p w:rsidR="00000000" w:rsidRDefault="003A6737">
            <w:pPr>
              <w:pStyle w:val="a3"/>
              <w:spacing w:before="0" w:beforeAutospacing="0" w:after="0" w:afterAutospacing="0"/>
              <w:jc w:val="center"/>
              <w:rPr>
                <w:b/>
                <w:bCs/>
                <w:sz w:val="20"/>
                <w:szCs w:val="20"/>
              </w:rPr>
            </w:pPr>
            <w:r>
              <w:rPr>
                <w:b/>
                <w:bCs/>
                <w:sz w:val="20"/>
                <w:szCs w:val="20"/>
              </w:rPr>
              <w:t>Preferred Stock</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2300" w:type="pct"/>
            <w:shd w:val="clear" w:color="auto" w:fill="CCEEFF"/>
            <w:vAlign w:val="bottom"/>
            <w:hideMark/>
          </w:tcPr>
          <w:p w:rsidR="00000000" w:rsidRDefault="003A6737">
            <w:pPr>
              <w:rPr>
                <w:rFonts w:eastAsia="Times New Roman"/>
                <w:sz w:val="20"/>
                <w:szCs w:val="20"/>
              </w:rPr>
            </w:pPr>
            <w:r>
              <w:rPr>
                <w:rFonts w:eastAsia="Times New Roman"/>
                <w:sz w:val="20"/>
                <w:szCs w:val="20"/>
              </w:rPr>
              <w:t>Shares available for grant at January 1, 2022</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1,191,383</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320,065</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Shares added to the Plan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1,000,000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200,000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RSUs granted</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(777,715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(8,644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Shares redesignated as Series B</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(277,652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RSUs forfeited</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84,824</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Shares available for grant at December 31, 2022</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1,498,492</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33,769</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100,000</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Shares available for grant at January 1, 2021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1,718,012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370,075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RSUs granted</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(628,361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(50,010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RSUs forfeited</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101,732</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Shares available for grant at December 31, 2021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1,191,383</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320,065</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 xml:space="preserve">liability for the cash-settled awards and accrued payroll taxes on equity awards was approximately </w:t>
      </w:r>
      <w:r>
        <w:rPr>
          <w:sz w:val="20"/>
          <w:szCs w:val="20"/>
        </w:rPr>
        <w:t>$</w:t>
      </w:r>
      <w:r>
        <w:rPr>
          <w:sz w:val="20"/>
          <w:szCs w:val="20"/>
        </w:rPr>
        <w:t>1.</w:t>
      </w:r>
      <w:r>
        <w:rPr>
          <w:sz w:val="20"/>
          <w:szCs w:val="20"/>
        </w:rPr>
        <w:t>0</w:t>
      </w:r>
      <w:r>
        <w:rPr>
          <w:sz w:val="20"/>
          <w:szCs w:val="20"/>
        </w:rPr>
        <w:t xml:space="preserve"> million at both December 31, 2022 and 2021, and is included in accrued compensation in the consolidated balance sheets. During the years ended December </w:t>
      </w:r>
      <w:r>
        <w:rPr>
          <w:sz w:val="20"/>
          <w:szCs w:val="20"/>
        </w:rPr>
        <w:t xml:space="preserve">31, 2022 and 2021, approximately </w:t>
      </w:r>
      <w:r>
        <w:rPr>
          <w:sz w:val="20"/>
          <w:szCs w:val="20"/>
        </w:rPr>
        <w:t>$</w:t>
      </w:r>
      <w:r>
        <w:rPr>
          <w:sz w:val="20"/>
          <w:szCs w:val="20"/>
        </w:rPr>
        <w:t>105,00</w:t>
      </w:r>
      <w:r>
        <w:rPr>
          <w:sz w:val="20"/>
          <w:szCs w:val="20"/>
        </w:rPr>
        <w:t>0</w:t>
      </w:r>
      <w:r>
        <w:rPr>
          <w:sz w:val="20"/>
          <w:szCs w:val="20"/>
        </w:rPr>
        <w:t xml:space="preserve"> and </w:t>
      </w:r>
      <w:r>
        <w:rPr>
          <w:sz w:val="20"/>
          <w:szCs w:val="20"/>
        </w:rPr>
        <w:t>$</w:t>
      </w:r>
      <w:r>
        <w:rPr>
          <w:sz w:val="20"/>
          <w:szCs w:val="20"/>
        </w:rPr>
        <w:t>97,00</w:t>
      </w:r>
      <w:r>
        <w:rPr>
          <w:sz w:val="20"/>
          <w:szCs w:val="20"/>
        </w:rPr>
        <w:t>0</w:t>
      </w:r>
      <w:r>
        <w:rPr>
          <w:sz w:val="20"/>
          <w:szCs w:val="20"/>
        </w:rPr>
        <w:t>, respectively, was paid in connection with the cash-settled awards.</w:t>
      </w:r>
    </w:p>
    <w:p w:rsidR="00000000" w:rsidRDefault="003A6737">
      <w:pPr>
        <w:pStyle w:val="a3"/>
        <w:spacing w:before="0" w:beforeAutospacing="0" w:after="0" w:afterAutospacing="0"/>
        <w:jc w:val="center"/>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62618872"/>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b/>
          <w:bCs/>
          <w:i/>
          <w:iCs/>
          <w:sz w:val="20"/>
          <w:szCs w:val="20"/>
        </w:rPr>
        <w:t> </w:t>
      </w:r>
    </w:p>
    <w:p w:rsidR="00000000" w:rsidRDefault="003A6737">
      <w:pPr>
        <w:pStyle w:val="a3"/>
        <w:spacing w:before="0" w:beforeAutospacing="0" w:after="0" w:afterAutospacing="0"/>
        <w:rPr>
          <w:sz w:val="20"/>
          <w:szCs w:val="20"/>
        </w:rPr>
      </w:pPr>
      <w:r>
        <w:rPr>
          <w:b/>
          <w:bCs/>
          <w:i/>
          <w:iCs/>
          <w:sz w:val="20"/>
          <w:szCs w:val="20"/>
          <w:u w:val="single"/>
        </w:rPr>
        <w:t>Series A Preferred Stock</w:t>
      </w:r>
    </w:p>
    <w:p w:rsidR="00000000" w:rsidRDefault="003A6737">
      <w:pPr>
        <w:pStyle w:val="a3"/>
        <w:spacing w:before="0" w:beforeAutospacing="0" w:after="0" w:afterAutospacing="0"/>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sz w:val="20"/>
          <w:szCs w:val="20"/>
        </w:rPr>
        <w:t xml:space="preserve">In </w:t>
      </w:r>
      <w:r>
        <w:rPr>
          <w:sz w:val="20"/>
          <w:szCs w:val="20"/>
        </w:rPr>
        <w:t>2021, the Compensation Committee approved executive bonuses to be paid in</w:t>
      </w:r>
      <w:r>
        <w:rPr>
          <w:sz w:val="20"/>
          <w:szCs w:val="20"/>
        </w:rPr>
        <w:t xml:space="preserve"> </w:t>
      </w:r>
      <w:r>
        <w:rPr>
          <w:sz w:val="20"/>
          <w:szCs w:val="20"/>
        </w:rPr>
        <w:t>34,00</w:t>
      </w:r>
      <w:r>
        <w:rPr>
          <w:sz w:val="20"/>
          <w:szCs w:val="20"/>
        </w:rPr>
        <w:t>0</w:t>
      </w:r>
      <w:r>
        <w:rPr>
          <w:sz w:val="20"/>
          <w:szCs w:val="20"/>
        </w:rPr>
        <w:t xml:space="preserve"> shares of Series A Preferred Stock with the final number of shares and the amount based on specified performance criteria being achieved during 2021. Also in 2021,</w:t>
      </w:r>
      <w:r>
        <w:rPr>
          <w:sz w:val="20"/>
          <w:szCs w:val="20"/>
        </w:rPr>
        <w:t xml:space="preserve"> </w:t>
      </w:r>
      <w:r>
        <w:rPr>
          <w:sz w:val="20"/>
          <w:szCs w:val="20"/>
        </w:rPr>
        <w:t>16,01</w:t>
      </w:r>
      <w:r>
        <w:rPr>
          <w:sz w:val="20"/>
          <w:szCs w:val="20"/>
        </w:rPr>
        <w:t>0</w:t>
      </w:r>
      <w:r>
        <w:rPr>
          <w:sz w:val="20"/>
          <w:szCs w:val="20"/>
        </w:rPr>
        <w:t xml:space="preserve"> shar</w:t>
      </w:r>
      <w:r>
        <w:rPr>
          <w:sz w:val="20"/>
          <w:szCs w:val="20"/>
        </w:rPr>
        <w:t xml:space="preserve">es of Series A Preferred Stock were granted as performance bonuses and in lieu of sales commissions. Stock-based compensation expense recorded during 2021 for these awards was approximately </w:t>
      </w:r>
      <w:r>
        <w:rPr>
          <w:sz w:val="20"/>
          <w:szCs w:val="20"/>
        </w:rPr>
        <w:t>$</w:t>
      </w:r>
      <w:r>
        <w:rPr>
          <w:sz w:val="20"/>
          <w:szCs w:val="20"/>
        </w:rPr>
        <w:t>1.</w:t>
      </w:r>
      <w:r>
        <w:rPr>
          <w:sz w:val="20"/>
          <w:szCs w:val="20"/>
        </w:rPr>
        <w:t>5</w:t>
      </w:r>
      <w:r>
        <w:rPr>
          <w:sz w:val="20"/>
          <w:szCs w:val="20"/>
        </w:rPr>
        <w:t xml:space="preserve"> million, based on the fair value of the Series A Preferred Sh</w:t>
      </w:r>
      <w:r>
        <w:rPr>
          <w:sz w:val="20"/>
          <w:szCs w:val="20"/>
        </w:rPr>
        <w:t>ares on the grant date. During January 2022, the Compensation Committee determined that the financial objectives were attained and all of the performance bonus shares were issued.</w:t>
      </w:r>
    </w:p>
    <w:p w:rsidR="00000000" w:rsidRDefault="003A6737">
      <w:pPr>
        <w:pStyle w:val="a3"/>
        <w:spacing w:before="0" w:beforeAutospacing="0" w:after="0" w:afterAutospacing="0"/>
        <w:rPr>
          <w:sz w:val="20"/>
          <w:szCs w:val="20"/>
        </w:rPr>
      </w:pPr>
      <w:r>
        <w:rPr>
          <w:b/>
          <w:bCs/>
          <w:i/>
          <w:iCs/>
          <w:sz w:val="20"/>
          <w:szCs w:val="20"/>
        </w:rPr>
        <w:t> </w:t>
      </w:r>
    </w:p>
    <w:p w:rsidR="00000000" w:rsidRDefault="003A6737">
      <w:pPr>
        <w:pStyle w:val="a3"/>
        <w:spacing w:before="0" w:beforeAutospacing="0" w:after="0" w:afterAutospacing="0"/>
        <w:rPr>
          <w:sz w:val="20"/>
          <w:szCs w:val="20"/>
        </w:rPr>
      </w:pPr>
      <w:r>
        <w:rPr>
          <w:b/>
          <w:bCs/>
          <w:i/>
          <w:iCs/>
          <w:sz w:val="20"/>
          <w:szCs w:val="20"/>
          <w:u w:val="single"/>
        </w:rPr>
        <w:t>Series B Preferred Stock</w:t>
      </w:r>
    </w:p>
    <w:p w:rsidR="00000000" w:rsidRDefault="003A6737">
      <w:pPr>
        <w:pStyle w:val="a3"/>
        <w:spacing w:before="0" w:beforeAutospacing="0" w:after="0" w:afterAutospacing="0"/>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sz w:val="20"/>
          <w:szCs w:val="20"/>
        </w:rPr>
        <w:t>In February 2022, the Compensation Committee ap</w:t>
      </w:r>
      <w:r>
        <w:rPr>
          <w:sz w:val="20"/>
          <w:szCs w:val="20"/>
        </w:rPr>
        <w:t>proved executive bonuses to be paid in</w:t>
      </w:r>
      <w:r>
        <w:rPr>
          <w:sz w:val="20"/>
          <w:szCs w:val="20"/>
        </w:rPr>
        <w:t xml:space="preserve"> </w:t>
      </w:r>
      <w:r>
        <w:rPr>
          <w:sz w:val="20"/>
          <w:szCs w:val="20"/>
        </w:rPr>
        <w:t>34,00</w:t>
      </w:r>
      <w:r>
        <w:rPr>
          <w:sz w:val="20"/>
          <w:szCs w:val="20"/>
        </w:rPr>
        <w:t>0</w:t>
      </w:r>
      <w:r>
        <w:rPr>
          <w:sz w:val="20"/>
          <w:szCs w:val="20"/>
        </w:rPr>
        <w:t xml:space="preserve"> shares of Series B Preferred Stock, with the number of shares and the amount based on specified criteria being achieved during the year 2022. During February 2023, the Compensation Committee determined that the</w:t>
      </w:r>
      <w:r>
        <w:rPr>
          <w:sz w:val="20"/>
          <w:szCs w:val="20"/>
        </w:rPr>
        <w:t xml:space="preserve"> financial objectives were attained and all of the performance bonus shares were issued.</w:t>
      </w:r>
    </w:p>
    <w:p w:rsidR="00000000" w:rsidRDefault="003A6737">
      <w:pPr>
        <w:pStyle w:val="a3"/>
        <w:spacing w:before="0" w:beforeAutospacing="0" w:after="0" w:afterAutospacing="0"/>
        <w:rPr>
          <w:sz w:val="20"/>
          <w:szCs w:val="20"/>
        </w:rPr>
      </w:pPr>
      <w:r>
        <w:rPr>
          <w:b/>
          <w:bCs/>
          <w:i/>
          <w:iCs/>
          <w:sz w:val="20"/>
          <w:szCs w:val="20"/>
        </w:rPr>
        <w:t> </w:t>
      </w:r>
    </w:p>
    <w:p w:rsidR="00000000" w:rsidRDefault="003A6737">
      <w:pPr>
        <w:pStyle w:val="a3"/>
        <w:spacing w:before="0" w:beforeAutospacing="0" w:after="0" w:afterAutospacing="0"/>
        <w:rPr>
          <w:sz w:val="20"/>
          <w:szCs w:val="20"/>
        </w:rPr>
      </w:pPr>
      <w:r>
        <w:rPr>
          <w:b/>
          <w:bCs/>
          <w:i/>
          <w:iCs/>
          <w:sz w:val="20"/>
          <w:szCs w:val="20"/>
          <w:u w:val="single"/>
        </w:rPr>
        <w:t>Stock-based compensation expense</w:t>
      </w:r>
    </w:p>
    <w:p w:rsidR="00000000" w:rsidRDefault="003A6737">
      <w:pPr>
        <w:pStyle w:val="a3"/>
        <w:spacing w:before="0" w:beforeAutospacing="0" w:after="0" w:afterAutospacing="0"/>
        <w:rPr>
          <w:sz w:val="20"/>
          <w:szCs w:val="20"/>
        </w:rPr>
      </w:pPr>
      <w:r>
        <w:rPr>
          <w:b/>
          <w:bCs/>
          <w:i/>
          <w:iCs/>
          <w:sz w:val="20"/>
          <w:szCs w:val="20"/>
        </w:rPr>
        <w:t> </w:t>
      </w:r>
    </w:p>
    <w:p w:rsidR="00000000" w:rsidRDefault="003A6737">
      <w:pPr>
        <w:pStyle w:val="a3"/>
        <w:spacing w:before="0" w:beforeAutospacing="0" w:after="0" w:afterAutospacing="0"/>
        <w:jc w:val="both"/>
        <w:rPr>
          <w:sz w:val="20"/>
          <w:szCs w:val="20"/>
        </w:rPr>
      </w:pPr>
      <w:r>
        <w:rPr>
          <w:sz w:val="20"/>
          <w:szCs w:val="20"/>
        </w:rPr>
        <w:t>The Company recognizes compensation expense on a straight-line basis over the total requisite service period for the entire award.</w:t>
      </w:r>
      <w:r>
        <w:rPr>
          <w:sz w:val="20"/>
          <w:szCs w:val="20"/>
        </w:rPr>
        <w:t xml:space="preserve"> For stock awards classified as equity the market price of our common stock or our Series A and Series B Preferred Stock on the date of grant is used in recording the fair value of the award and includes the related taxes. For stock awards classified as a </w:t>
      </w:r>
      <w:r>
        <w:rPr>
          <w:sz w:val="20"/>
          <w:szCs w:val="20"/>
        </w:rPr>
        <w:t xml:space="preserve">liability, the earned amount is marked to market based on the end of period common stock price. The weighted average grant date fair value of the common stock price in connection with the RSUs classified as equity was </w:t>
      </w:r>
      <w:r>
        <w:rPr>
          <w:sz w:val="20"/>
          <w:szCs w:val="20"/>
        </w:rPr>
        <w:t>$</w:t>
      </w:r>
      <w:r>
        <w:rPr>
          <w:sz w:val="20"/>
          <w:szCs w:val="20"/>
        </w:rPr>
        <w:t>4.2</w:t>
      </w:r>
      <w:r>
        <w:rPr>
          <w:sz w:val="20"/>
          <w:szCs w:val="20"/>
        </w:rPr>
        <w:t>7</w:t>
      </w:r>
      <w:r>
        <w:rPr>
          <w:sz w:val="20"/>
          <w:szCs w:val="20"/>
        </w:rPr>
        <w:t xml:space="preserve"> and </w:t>
      </w:r>
      <w:r>
        <w:rPr>
          <w:sz w:val="20"/>
          <w:szCs w:val="20"/>
        </w:rPr>
        <w:t>$</w:t>
      </w:r>
      <w:r>
        <w:rPr>
          <w:sz w:val="20"/>
          <w:szCs w:val="20"/>
        </w:rPr>
        <w:t>9.1</w:t>
      </w:r>
      <w:r>
        <w:rPr>
          <w:sz w:val="20"/>
          <w:szCs w:val="20"/>
        </w:rPr>
        <w:t>6</w:t>
      </w:r>
      <w:r>
        <w:rPr>
          <w:sz w:val="20"/>
          <w:szCs w:val="20"/>
        </w:rPr>
        <w:t xml:space="preserve"> for the years ended De</w:t>
      </w:r>
      <w:r>
        <w:rPr>
          <w:sz w:val="20"/>
          <w:szCs w:val="20"/>
        </w:rPr>
        <w:t xml:space="preserve">cember 31, 2022 and 2021, respectively. The weighted average grant date fair value of the Series A Preferred Stock in connection with the RSUs was </w:t>
      </w:r>
      <w:r>
        <w:rPr>
          <w:sz w:val="20"/>
          <w:szCs w:val="20"/>
        </w:rPr>
        <w:t>$</w:t>
      </w:r>
      <w:r>
        <w:rPr>
          <w:sz w:val="20"/>
          <w:szCs w:val="20"/>
        </w:rPr>
        <w:t>26.6</w:t>
      </w:r>
      <w:r>
        <w:rPr>
          <w:sz w:val="20"/>
          <w:szCs w:val="20"/>
        </w:rPr>
        <w:t>9</w:t>
      </w:r>
      <w:r>
        <w:rPr>
          <w:sz w:val="20"/>
          <w:szCs w:val="20"/>
        </w:rPr>
        <w:t xml:space="preserve"> and </w:t>
      </w:r>
      <w:r>
        <w:rPr>
          <w:sz w:val="20"/>
          <w:szCs w:val="20"/>
        </w:rPr>
        <w:t>$</w:t>
      </w:r>
      <w:r>
        <w:rPr>
          <w:sz w:val="20"/>
          <w:szCs w:val="20"/>
        </w:rPr>
        <w:t>28.5</w:t>
      </w:r>
      <w:r>
        <w:rPr>
          <w:sz w:val="20"/>
          <w:szCs w:val="20"/>
        </w:rPr>
        <w:t>2</w:t>
      </w:r>
      <w:r>
        <w:rPr>
          <w:sz w:val="20"/>
          <w:szCs w:val="20"/>
        </w:rPr>
        <w:t xml:space="preserve"> for the years ended December 31, 2022 and 2021, respectively, and for the Series B Preferre</w:t>
      </w:r>
      <w:r>
        <w:rPr>
          <w:sz w:val="20"/>
          <w:szCs w:val="20"/>
        </w:rPr>
        <w:t xml:space="preserve">d Stock it was </w:t>
      </w:r>
      <w:r>
        <w:rPr>
          <w:sz w:val="20"/>
          <w:szCs w:val="20"/>
        </w:rPr>
        <w:t>$</w:t>
      </w:r>
      <w:r>
        <w:rPr>
          <w:sz w:val="20"/>
          <w:szCs w:val="20"/>
        </w:rPr>
        <w:t>25.2</w:t>
      </w:r>
      <w:r>
        <w:rPr>
          <w:sz w:val="20"/>
          <w:szCs w:val="20"/>
        </w:rPr>
        <w:t>4</w:t>
      </w:r>
      <w:r>
        <w:rPr>
          <w:sz w:val="20"/>
          <w:szCs w:val="20"/>
        </w:rPr>
        <w:t xml:space="preserve"> for the year ended December 31, 2022. The following table summarizes the components of stock-based compensation expense for the years ended December 31, 2022 and 2021:</w:t>
      </w:r>
    </w:p>
    <w:p w:rsidR="00000000" w:rsidRDefault="003A6737">
      <w:pPr>
        <w:pStyle w:val="a3"/>
        <w:spacing w:before="0" w:beforeAutospacing="0" w:after="0" w:afterAutospacing="0"/>
        <w:jc w:val="center"/>
        <w:rPr>
          <w:sz w:val="20"/>
          <w:szCs w:val="20"/>
        </w:rPr>
      </w:pPr>
      <w:r>
        <w:rPr>
          <w:sz w:val="20"/>
          <w:szCs w:val="20"/>
        </w:rPr>
        <w:t> </w:t>
      </w:r>
      <w:r>
        <w:rPr>
          <w:vanish/>
          <w:sz w:val="20"/>
          <w:szCs w:val="20"/>
        </w:rPr>
        <w:t>SCHEDULE OF EMPLOYEE SERVICE SHARE-BASED COMPENSATION, ALLOCATION</w:t>
      </w:r>
      <w:r>
        <w:rPr>
          <w:vanish/>
          <w:sz w:val="20"/>
          <w:szCs w:val="20"/>
        </w:rPr>
        <w:t xml:space="preserve"> OF RECOGNIZED PERIOD COST</w:t>
      </w:r>
      <w:r>
        <w:rPr>
          <w:vanish/>
          <w:sz w:val="20"/>
          <w:szCs w:val="20"/>
        </w:rPr>
        <w:t>S</w:t>
      </w:r>
    </w:p>
    <w:tbl>
      <w:tblPr>
        <w:tblW w:w="4250" w:type="pct"/>
        <w:tblCellMar>
          <w:left w:w="0" w:type="dxa"/>
          <w:right w:w="0" w:type="dxa"/>
        </w:tblCellMar>
        <w:tblLook w:val="04A0" w:firstRow="1" w:lastRow="0" w:firstColumn="1" w:lastColumn="0" w:noHBand="0" w:noVBand="1"/>
      </w:tblPr>
      <w:tblGrid>
        <w:gridCol w:w="4227"/>
        <w:gridCol w:w="132"/>
        <w:gridCol w:w="100"/>
        <w:gridCol w:w="1121"/>
        <w:gridCol w:w="62"/>
        <w:gridCol w:w="133"/>
        <w:gridCol w:w="100"/>
        <w:gridCol w:w="1122"/>
        <w:gridCol w:w="63"/>
      </w:tblGrid>
      <w:tr w:rsidR="00000000">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Stock-based compensation included in the consolidated statements of operations:</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3A6737">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1,047</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1,142</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General and administrative</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2,598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3,302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245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268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Selling and marketing</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1,024</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684</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Total stock-based compensation expense</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4,914</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5,396</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rPr>
          <w:caps/>
          <w:sz w:val="20"/>
          <w:szCs w:val="20"/>
        </w:rPr>
      </w:pPr>
      <w:r>
        <w:rPr>
          <w:b/>
          <w:bCs/>
          <w:caps/>
          <w:sz w:val="20"/>
          <w:szCs w:val="20"/>
        </w:rPr>
        <w:t>16.</w:t>
      </w:r>
      <w:r>
        <w:rPr>
          <w:caps/>
          <w:sz w:val="20"/>
          <w:szCs w:val="20"/>
        </w:rPr>
        <w:t xml:space="preserve"> </w:t>
      </w:r>
      <w:r>
        <w:rPr>
          <w:b/>
          <w:bCs/>
          <w:caps/>
          <w:sz w:val="20"/>
          <w:szCs w:val="20"/>
        </w:rPr>
        <w:t>INCOME TAXE</w:t>
      </w:r>
      <w:r>
        <w:rPr>
          <w:b/>
          <w:bCs/>
          <w:caps/>
          <w:sz w:val="20"/>
          <w:szCs w:val="20"/>
        </w:rPr>
        <w: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For </w:t>
      </w:r>
      <w:r>
        <w:rPr>
          <w:sz w:val="20"/>
          <w:szCs w:val="20"/>
        </w:rPr>
        <w:t xml:space="preserve">the years ended December 31, 2022 and 2021, the Company estimated its income tax provision based upon the annual pre-tax income or loss. Although the Company reported GAAP earnings in 2021 and 2022, it incurred losses historically and there is uncertainty </w:t>
      </w:r>
      <w:r>
        <w:rPr>
          <w:sz w:val="20"/>
          <w:szCs w:val="20"/>
        </w:rPr>
        <w:t>regarding future U.S. taxable income, which makes realization of a deferred tax asset difficult to support in accordance with ASC 740. Accordingly, a valuation allowance has been recorded against all federal and state deferred tax assets as of December 31,</w:t>
      </w:r>
      <w:r>
        <w:rPr>
          <w:sz w:val="20"/>
          <w:szCs w:val="20"/>
        </w:rPr>
        <w:t xml:space="preserve"> 2022 and December 31, 2021, with the exception of a net deferred tax liability relating to the amortization of intangibles for tax purposes.</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76202049"/>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annual adjusted earnings and profits of our foreign affiliates pass through to the U.S. as federal and state taxable income under the Global Intangible Low-Taxed Income (“GILTI”) regime. For the tax years ended December 31, 2022 and 2021, the net GILTI fro</w:t>
      </w:r>
      <w:r>
        <w:rPr>
          <w:sz w:val="20"/>
          <w:szCs w:val="20"/>
        </w:rPr>
        <w:t>m our foreign affiliates was absorbed against our current year U.S. consolidated loss. For state tax purposes, the Company’s foreign earnings may be taxable depending on each individual state’s legislative stance on the recent tax reform legislation. The a</w:t>
      </w:r>
      <w:r>
        <w:rPr>
          <w:sz w:val="20"/>
          <w:szCs w:val="20"/>
        </w:rPr>
        <w:t>ctivity in the deferred tax valuation allowance was as follows for the years ended December 31, 2022 and 2021:</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vanish/>
          <w:sz w:val="20"/>
          <w:szCs w:val="20"/>
        </w:rPr>
        <w:t>SCHEDULE OF DEFERRED TAX VALUATION ALLOWANC</w:t>
      </w:r>
      <w:r>
        <w:rPr>
          <w:vanish/>
          <w:sz w:val="20"/>
          <w:szCs w:val="20"/>
        </w:rPr>
        <w:t>E</w:t>
      </w:r>
    </w:p>
    <w:tbl>
      <w:tblPr>
        <w:tblW w:w="4000" w:type="pct"/>
        <w:tblCellMar>
          <w:left w:w="0" w:type="dxa"/>
          <w:right w:w="0" w:type="dxa"/>
        </w:tblCellMar>
        <w:tblLook w:val="04A0" w:firstRow="1" w:lastRow="0" w:firstColumn="1" w:lastColumn="0" w:noHBand="0" w:noVBand="1"/>
      </w:tblPr>
      <w:tblGrid>
        <w:gridCol w:w="3975"/>
        <w:gridCol w:w="122"/>
        <w:gridCol w:w="100"/>
        <w:gridCol w:w="1052"/>
        <w:gridCol w:w="55"/>
        <w:gridCol w:w="122"/>
        <w:gridCol w:w="100"/>
        <w:gridCol w:w="1052"/>
        <w:gridCol w:w="67"/>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3A6737">
            <w:pPr>
              <w:rPr>
                <w:rFonts w:eastAsia="Times New Roman"/>
                <w:sz w:val="20"/>
                <w:szCs w:val="20"/>
              </w:rPr>
            </w:pPr>
            <w:r>
              <w:rPr>
                <w:rFonts w:eastAsia="Times New Roman"/>
                <w:sz w:val="20"/>
                <w:szCs w:val="20"/>
              </w:rPr>
              <w:t>Beginning balance</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86,728</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89,994</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Current year valuation allowance increase (decrease)</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5,363</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(3,266</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Ending balance</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92,091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86,728</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income (loss) before tax for fina</w:t>
      </w:r>
      <w:r>
        <w:rPr>
          <w:sz w:val="20"/>
          <w:szCs w:val="20"/>
        </w:rPr>
        <w:t>ncial reporting purposes during the years ended December 31, 2022 and 2021 consisted of the following:</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vanish/>
          <w:sz w:val="20"/>
          <w:szCs w:val="20"/>
        </w:rPr>
        <w:t>SCHEDULE OF INCOME BEFORE INCOME TAX, DOMESTIC AND FOREIG</w:t>
      </w:r>
      <w:r>
        <w:rPr>
          <w:vanish/>
          <w:sz w:val="20"/>
          <w:szCs w:val="20"/>
        </w:rPr>
        <w:t>N</w:t>
      </w:r>
    </w:p>
    <w:tbl>
      <w:tblPr>
        <w:tblW w:w="4000" w:type="pct"/>
        <w:tblCellMar>
          <w:left w:w="0" w:type="dxa"/>
          <w:right w:w="0" w:type="dxa"/>
        </w:tblCellMar>
        <w:tblLook w:val="04A0" w:firstRow="1" w:lastRow="0" w:firstColumn="1" w:lastColumn="0" w:noHBand="0" w:noVBand="1"/>
      </w:tblPr>
      <w:tblGrid>
        <w:gridCol w:w="3975"/>
        <w:gridCol w:w="122"/>
        <w:gridCol w:w="100"/>
        <w:gridCol w:w="1052"/>
        <w:gridCol w:w="67"/>
        <w:gridCol w:w="122"/>
        <w:gridCol w:w="100"/>
        <w:gridCol w:w="1052"/>
        <w:gridCol w:w="55"/>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3A6737">
            <w:pPr>
              <w:rPr>
                <w:rFonts w:eastAsia="Times New Roman"/>
                <w:sz w:val="20"/>
                <w:szCs w:val="20"/>
              </w:rPr>
            </w:pPr>
            <w:r>
              <w:rPr>
                <w:rFonts w:eastAsia="Times New Roman"/>
                <w:sz w:val="20"/>
                <w:szCs w:val="20"/>
              </w:rPr>
              <w:t>United States</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6,137</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1,048</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Foreign</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(528</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1,945</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5,609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2,993</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w:t>
      </w:r>
      <w:r>
        <w:rPr>
          <w:sz w:val="20"/>
          <w:szCs w:val="20"/>
        </w:rPr>
        <w:t>provision (benefit) for income taxes for the years ended December 31, 2022 and 2021 consisted of the following:</w:t>
      </w:r>
    </w:p>
    <w:p w:rsidR="00000000" w:rsidRDefault="003A6737">
      <w:pPr>
        <w:pStyle w:val="a3"/>
        <w:spacing w:before="0" w:beforeAutospacing="0" w:after="0" w:afterAutospacing="0"/>
        <w:jc w:val="center"/>
        <w:rPr>
          <w:sz w:val="20"/>
          <w:szCs w:val="20"/>
        </w:rPr>
      </w:pPr>
      <w:r>
        <w:rPr>
          <w:vanish/>
          <w:sz w:val="20"/>
          <w:szCs w:val="20"/>
        </w:rPr>
        <w:t>SCHEDULE OF COMPONENTS OF INCOME TAX EXPENSE (BENEFIT</w:t>
      </w:r>
      <w:r>
        <w:rPr>
          <w:vanish/>
          <w:sz w:val="20"/>
          <w:szCs w:val="20"/>
        </w:rPr>
        <w:t>)</w:t>
      </w:r>
      <w:r>
        <w:rPr>
          <w:sz w:val="20"/>
          <w:szCs w:val="20"/>
        </w:rPr>
        <w:t> </w:t>
      </w:r>
    </w:p>
    <w:tbl>
      <w:tblPr>
        <w:tblW w:w="4000" w:type="pct"/>
        <w:tblCellMar>
          <w:left w:w="0" w:type="dxa"/>
          <w:right w:w="0" w:type="dxa"/>
        </w:tblCellMar>
        <w:tblLook w:val="04A0" w:firstRow="1" w:lastRow="0" w:firstColumn="1" w:lastColumn="0" w:noHBand="0" w:noVBand="1"/>
      </w:tblPr>
      <w:tblGrid>
        <w:gridCol w:w="3975"/>
        <w:gridCol w:w="122"/>
        <w:gridCol w:w="100"/>
        <w:gridCol w:w="1052"/>
        <w:gridCol w:w="55"/>
        <w:gridCol w:w="122"/>
        <w:gridCol w:w="100"/>
        <w:gridCol w:w="1052"/>
        <w:gridCol w:w="67"/>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Current: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Federal</w:t>
            </w:r>
          </w:p>
        </w:tc>
        <w:tc>
          <w:tcPr>
            <w:tcW w:w="10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3A6737">
            <w:pPr>
              <w:jc w:val="right"/>
              <w:rPr>
                <w:rFonts w:eastAsia="Times New Roman"/>
                <w:sz w:val="20"/>
                <w:szCs w:val="20"/>
              </w:rPr>
            </w:pPr>
            <w:r>
              <w:rPr>
                <w:rFonts w:eastAsia="Times New Roman"/>
                <w:sz w:val="20"/>
                <w:szCs w:val="20"/>
              </w:rPr>
              <w:t>(285</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State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148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Foreign</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21</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5</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(132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Deferred:</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Federal</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190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State</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13</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99</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76</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289</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Total income tax provision</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177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157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92411750"/>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components of the Company’s deferred income taxes as of December 31, 2022 and 2021 are as follows:</w:t>
      </w:r>
    </w:p>
    <w:p w:rsidR="00000000" w:rsidRDefault="003A6737">
      <w:pPr>
        <w:pStyle w:val="a3"/>
        <w:spacing w:before="0" w:beforeAutospacing="0" w:after="0" w:afterAutospacing="0"/>
        <w:jc w:val="both"/>
        <w:rPr>
          <w:sz w:val="20"/>
          <w:szCs w:val="20"/>
        </w:rPr>
      </w:pPr>
      <w:r>
        <w:rPr>
          <w:sz w:val="20"/>
          <w:szCs w:val="20"/>
        </w:rPr>
        <w:t> </w:t>
      </w:r>
      <w:r>
        <w:rPr>
          <w:vanish/>
          <w:sz w:val="20"/>
          <w:szCs w:val="20"/>
        </w:rPr>
        <w:t>SCHEDULE OF DEFERRED TAX ASSETS AND LIABILITIE</w:t>
      </w:r>
      <w:r>
        <w:rPr>
          <w:vanish/>
          <w:sz w:val="20"/>
          <w:szCs w:val="20"/>
        </w:rPr>
        <w:t>S</w:t>
      </w:r>
    </w:p>
    <w:tbl>
      <w:tblPr>
        <w:tblW w:w="4500" w:type="pct"/>
        <w:tblCellMar>
          <w:left w:w="0" w:type="dxa"/>
          <w:right w:w="0" w:type="dxa"/>
        </w:tblCellMar>
        <w:tblLook w:val="04A0" w:firstRow="1" w:lastRow="0" w:firstColumn="1" w:lastColumn="0" w:noHBand="0" w:noVBand="1"/>
      </w:tblPr>
      <w:tblGrid>
        <w:gridCol w:w="4477"/>
        <w:gridCol w:w="142"/>
        <w:gridCol w:w="100"/>
        <w:gridCol w:w="1188"/>
        <w:gridCol w:w="68"/>
        <w:gridCol w:w="143"/>
        <w:gridCol w:w="100"/>
        <w:gridCol w:w="1189"/>
        <w:gridCol w:w="68"/>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A673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A673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Deferred tax assets: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Allowance for doubtful accounts</w:t>
            </w:r>
          </w:p>
        </w:tc>
        <w:tc>
          <w:tcPr>
            <w:tcW w:w="10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3A6737">
            <w:pPr>
              <w:jc w:val="right"/>
              <w:rPr>
                <w:rFonts w:eastAsia="Times New Roman"/>
                <w:sz w:val="20"/>
                <w:szCs w:val="20"/>
              </w:rPr>
            </w:pPr>
            <w:r>
              <w:rPr>
                <w:rFonts w:eastAsia="Times New Roman"/>
                <w:sz w:val="20"/>
                <w:szCs w:val="20"/>
              </w:rPr>
              <w:t>221</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3A6737">
            <w:pPr>
              <w:jc w:val="right"/>
              <w:rPr>
                <w:rFonts w:eastAsia="Times New Roman"/>
                <w:sz w:val="20"/>
                <w:szCs w:val="20"/>
              </w:rPr>
            </w:pPr>
            <w:r>
              <w:rPr>
                <w:rFonts w:eastAsia="Times New Roman"/>
                <w:sz w:val="20"/>
                <w:szCs w:val="20"/>
              </w:rPr>
              <w:t>138</w:t>
            </w:r>
          </w:p>
        </w:tc>
        <w:tc>
          <w:tcPr>
            <w:tcW w:w="50" w:type="pct"/>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97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Property and intangible assets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2,213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2,422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State net operating loss (“NOL”) carryforwards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27,262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20,466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Federal net operating loss (“NOL”) carryforwards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57,179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57,602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Section 163(j) interest limitation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2,525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2,413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Stock based compensation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173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714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ASC 842 - ROU asset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(1,243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(996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Prepaid commissions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(253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(213</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Cumulative balance translation adjustment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819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469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Section 267 limitation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Deferred payroll taxes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155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Credit carryovers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2,498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2,498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ASC 842 - Lease liability</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1,386</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1,398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Accrued compensation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171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272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Other</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69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Valuation allowance</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(92,091</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(86,728</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Total deferred tax assets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1,033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765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Deferred tax liabilities: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Goodwill amortization</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(1,558</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r>
              <w:rPr>
                <w:rFonts w:eastAsia="Times New Roman"/>
                <w:sz w:val="20"/>
                <w:szCs w:val="20"/>
              </w:rPr>
              <w:t>1,214</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Net deferred tax liability</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(525</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(449</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Deferred </w:t>
      </w:r>
      <w:r>
        <w:rPr>
          <w:sz w:val="20"/>
          <w:szCs w:val="20"/>
        </w:rPr>
        <w:t xml:space="preserve">income tax balances reflect the effects of temporary differences between the carrying amounts of assets and liabilities and their tax bases, as well as from net operating loss carryforwards. Deferred income tax assets represent amounts available to reduce </w:t>
      </w:r>
      <w:r>
        <w:rPr>
          <w:sz w:val="20"/>
          <w:szCs w:val="20"/>
        </w:rPr>
        <w:t>income taxes payable on taxable income in future years.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Company has recorded goodwill as a result of its acquisitions. Goodwill is generally not amortized for financial reporting purposes. For tax purposes, goodwill from asset acquisitions is tax ded</w:t>
      </w:r>
      <w:r>
        <w:rPr>
          <w:sz w:val="20"/>
          <w:szCs w:val="20"/>
        </w:rPr>
        <w:t>uctible and amortized over</w:t>
      </w:r>
      <w:r>
        <w:rPr>
          <w:sz w:val="20"/>
          <w:szCs w:val="20"/>
        </w:rPr>
        <w:t xml:space="preserve"> </w:t>
      </w:r>
      <w:r>
        <w:rPr>
          <w:sz w:val="20"/>
          <w:szCs w:val="20"/>
        </w:rPr>
        <w:t>1</w:t>
      </w:r>
      <w:r>
        <w:rPr>
          <w:sz w:val="20"/>
          <w:szCs w:val="20"/>
        </w:rPr>
        <w:t>5</w:t>
      </w:r>
      <w:r>
        <w:rPr>
          <w:sz w:val="20"/>
          <w:szCs w:val="20"/>
        </w:rPr>
        <w:t xml:space="preserve"> years. As such, deferred income tax expense and a deferred tax liability arise as a result of the tax-deductibility of this indefinitely lived asset (also known as a naked credit). The resulting deferred tax liability, which i</w:t>
      </w:r>
      <w:r>
        <w:rPr>
          <w:sz w:val="20"/>
          <w:szCs w:val="20"/>
        </w:rPr>
        <w:t>s expected to continue to increase over the amortization period, will have an indefinite life. As a result of the Company having indefinite life net operating losses under the recent tax reform legislation, the federal deferred tax liability resulting from</w:t>
      </w:r>
      <w:r>
        <w:rPr>
          <w:sz w:val="20"/>
          <w:szCs w:val="20"/>
        </w:rPr>
        <w:t xml:space="preserve"> the amortization of goodwill was offset against these indefinite federal operating net loss deferred tax assets to the extent allowable. The remaining deferred tax liability could remain on the Company’s consolidated balance sheet indefinitely unless ther</w:t>
      </w:r>
      <w:r>
        <w:rPr>
          <w:sz w:val="20"/>
          <w:szCs w:val="20"/>
        </w:rPr>
        <w:t>e is an impairment of goodwill (for financial reporting purposes) or a portion of the business is sold.</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Due to the fact that the aforementioned deferred tax liability could have an indefinite life, it is not netted against the Company’s deferred tax asse</w:t>
      </w:r>
      <w:r>
        <w:rPr>
          <w:sz w:val="20"/>
          <w:szCs w:val="20"/>
        </w:rPr>
        <w:t>ts when determining the required valuation allowance in accordance with ASC 740 guidelines. Doing so would result in the understatement of the valuation allowance and related deferred income tax expense.</w:t>
      </w:r>
    </w:p>
    <w:p w:rsidR="00000000" w:rsidRDefault="003A67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93787848"/>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A </w:t>
      </w:r>
      <w:r>
        <w:rPr>
          <w:sz w:val="20"/>
          <w:szCs w:val="20"/>
        </w:rPr>
        <w:t xml:space="preserve">reconciliation of the federal statutory income tax rate </w:t>
      </w:r>
      <w:r>
        <w:rPr>
          <w:sz w:val="20"/>
          <w:szCs w:val="20"/>
        </w:rPr>
        <w:t>(</w:t>
      </w:r>
      <w:r>
        <w:rPr>
          <w:sz w:val="20"/>
          <w:szCs w:val="20"/>
        </w:rPr>
        <w:t>21</w:t>
      </w:r>
      <w:r>
        <w:rPr>
          <w:sz w:val="20"/>
          <w:szCs w:val="20"/>
        </w:rPr>
        <w:t>%</w:t>
      </w:r>
      <w:r>
        <w:rPr>
          <w:sz w:val="20"/>
          <w:szCs w:val="20"/>
        </w:rPr>
        <w:t>) for 2022 and 2021 to the Company’s effective income tax rate (determined in dollars) for the years ended December 31, 2022 and 2021 is as follows:</w:t>
      </w:r>
    </w:p>
    <w:p w:rsidR="00000000" w:rsidRDefault="003A6737">
      <w:pPr>
        <w:pStyle w:val="a3"/>
        <w:spacing w:before="0" w:beforeAutospacing="0" w:after="0" w:afterAutospacing="0"/>
        <w:jc w:val="both"/>
        <w:rPr>
          <w:sz w:val="20"/>
          <w:szCs w:val="20"/>
        </w:rPr>
      </w:pPr>
      <w:r>
        <w:rPr>
          <w:vanish/>
          <w:sz w:val="20"/>
          <w:szCs w:val="20"/>
        </w:rPr>
        <w:t>SCHEDULE OF EFFECTIVE INCOME TAX RATE RECONCILI</w:t>
      </w:r>
      <w:r>
        <w:rPr>
          <w:vanish/>
          <w:sz w:val="20"/>
          <w:szCs w:val="20"/>
        </w:rPr>
        <w:t>ATIO</w:t>
      </w:r>
      <w:r>
        <w:rPr>
          <w:vanish/>
          <w:sz w:val="20"/>
          <w:szCs w:val="20"/>
        </w:rPr>
        <w:t>N</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3A6737">
            <w:pPr>
              <w:rPr>
                <w:rFonts w:eastAsia="Times New Roman"/>
                <w:sz w:val="20"/>
                <w:szCs w:val="20"/>
              </w:rPr>
            </w:pPr>
            <w:r>
              <w:rPr>
                <w:rFonts w:eastAsia="Times New Roman"/>
                <w:sz w:val="20"/>
                <w:szCs w:val="20"/>
              </w:rPr>
              <w:t>Federal provision at statutory rate</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1,178</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629</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Increase (decrease) in income taxes resulting from:</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State tax expense, net of federal benefit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77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178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Non-deductible items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Impact of foreign operations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(137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(561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Subpart F GILTI inclusion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62</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317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239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(399</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(649</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NOL carryback</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(230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Deferred true-up</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858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550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Valuation allowance</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(1,471</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(412</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Total income tax provision</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177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157</w:t>
            </w:r>
          </w:p>
        </w:tc>
        <w:tc>
          <w:tcPr>
            <w:tcW w:w="0" w:type="auto"/>
            <w:shd w:val="clear" w:color="auto" w:fill="FFFF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At </w:t>
      </w:r>
      <w:r>
        <w:rPr>
          <w:sz w:val="20"/>
          <w:szCs w:val="20"/>
        </w:rPr>
        <w:t>December 31, 2022 and 2021, the Company did not record any uncertain tax positions based on the technical merits. Therefore, a tabular roll forward was excluded and there has been no accrued interest and penalties. The Company is subject to taxation in the</w:t>
      </w:r>
      <w:r>
        <w:rPr>
          <w:sz w:val="20"/>
          <w:szCs w:val="20"/>
        </w:rPr>
        <w:t xml:space="preserve"> United States, various states, Pakistan and Sri Lanka. As of December 31, 2022, all tax years since 2014 remain open to examination due to the carryover of unused net operating losses and tax credits in the United States by major taxing jurisdictions in w</w:t>
      </w:r>
      <w:r>
        <w:rPr>
          <w:sz w:val="20"/>
          <w:szCs w:val="20"/>
        </w:rPr>
        <w:t>hich the Company is subject to tax. For the first six months of 2022, the Pakistan Federal Board of Revenue allowed a</w:t>
      </w:r>
      <w:r>
        <w:rPr>
          <w:sz w:val="20"/>
          <w:szCs w:val="20"/>
        </w:rPr>
        <w:t xml:space="preserve"> </w:t>
      </w:r>
      <w:r>
        <w:rPr>
          <w:sz w:val="20"/>
          <w:szCs w:val="20"/>
        </w:rPr>
        <w:t>100</w:t>
      </w:r>
      <w:r>
        <w:rPr>
          <w:sz w:val="20"/>
          <w:szCs w:val="20"/>
        </w:rPr>
        <w:t>%</w:t>
      </w:r>
      <w:r>
        <w:rPr>
          <w:sz w:val="20"/>
          <w:szCs w:val="20"/>
        </w:rPr>
        <w:t xml:space="preserve"> tax credit against earnings from IT activities, which precludes the Pakistan subsidiaries from being subject to income taxes.</w:t>
      </w:r>
      <w:r>
        <w:rPr>
          <w:sz w:val="20"/>
          <w:szCs w:val="20"/>
        </w:rPr>
        <w:t xml:space="preserve"> </w:t>
      </w:r>
      <w:r>
        <w:rPr>
          <w:sz w:val="20"/>
          <w:szCs w:val="20"/>
        </w:rPr>
        <w:t>A new t</w:t>
      </w:r>
      <w:r>
        <w:rPr>
          <w:sz w:val="20"/>
          <w:szCs w:val="20"/>
        </w:rPr>
        <w:t>ax became effective July 1, 2022, whereby IT companies are subject to a 0.25% tax deducted at the source on receipts received from foreign sources with no further tax being du</w:t>
      </w:r>
      <w:r>
        <w:rPr>
          <w:sz w:val="20"/>
          <w:szCs w:val="20"/>
        </w:rPr>
        <w:t>e</w:t>
      </w:r>
      <w:r>
        <w:rPr>
          <w:sz w:val="20"/>
          <w:szCs w:val="20"/>
        </w:rPr>
        <w:t>. It is the Company’s policy that any assessed penalties and interest on uncerta</w:t>
      </w:r>
      <w:r>
        <w:rPr>
          <w:sz w:val="20"/>
          <w:szCs w:val="20"/>
        </w:rPr>
        <w:t>in tax positions would be charged to income tax expense.</w:t>
      </w:r>
    </w:p>
    <w:p w:rsidR="00000000" w:rsidRDefault="003A6737">
      <w:pPr>
        <w:pStyle w:val="a3"/>
        <w:spacing w:before="0" w:beforeAutospacing="0" w:after="0" w:afterAutospacing="0"/>
        <w:ind w:left="45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former Pakistan tax credit and foreign receipts tax does not have a significant impact on the Company’s effective tax rate as all of its earnings in Pakistan have been fully included in the U.S</w:t>
      </w:r>
      <w:r>
        <w:rPr>
          <w:sz w:val="20"/>
          <w:szCs w:val="20"/>
        </w:rPr>
        <w:t>. federal tax rate reconciliation at</w:t>
      </w:r>
      <w:r>
        <w:rPr>
          <w:sz w:val="20"/>
          <w:szCs w:val="20"/>
        </w:rPr>
        <w:t xml:space="preserve"> </w:t>
      </w:r>
      <w:r>
        <w:rPr>
          <w:sz w:val="20"/>
          <w:szCs w:val="20"/>
        </w:rPr>
        <w:t>21</w:t>
      </w:r>
      <w:r>
        <w:rPr>
          <w:sz w:val="20"/>
          <w:szCs w:val="20"/>
        </w:rPr>
        <w:t>%</w:t>
      </w:r>
      <w:r>
        <w:rPr>
          <w:sz w:val="20"/>
          <w:szCs w:val="20"/>
        </w:rPr>
        <w:t xml:space="preserve"> for 2022 and 2021. The Pakistan statutory corporate tax rate is</w:t>
      </w:r>
      <w:r>
        <w:rPr>
          <w:sz w:val="20"/>
          <w:szCs w:val="20"/>
        </w:rPr>
        <w:t xml:space="preserve"> </w:t>
      </w:r>
      <w:r>
        <w:rPr>
          <w:sz w:val="20"/>
          <w:szCs w:val="20"/>
        </w:rPr>
        <w:t>29</w:t>
      </w:r>
      <w:r>
        <w:rPr>
          <w:sz w:val="20"/>
          <w:szCs w:val="20"/>
        </w:rPr>
        <w:t>%</w:t>
      </w:r>
      <w:r>
        <w:rPr>
          <w:sz w:val="20"/>
          <w:szCs w:val="20"/>
        </w:rPr>
        <w:t xml:space="preserve"> before consideration of the aforementioned tax credit and the foreign receipts tax.</w:t>
      </w:r>
    </w:p>
    <w:p w:rsidR="00000000" w:rsidRDefault="003A6737">
      <w:pPr>
        <w:pStyle w:val="a3"/>
        <w:spacing w:before="0" w:beforeAutospacing="0" w:after="0" w:afterAutospacing="0"/>
        <w:ind w:left="475"/>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As </w:t>
      </w:r>
      <w:r>
        <w:rPr>
          <w:sz w:val="20"/>
          <w:szCs w:val="20"/>
        </w:rPr>
        <w:t xml:space="preserve">of December 31, 2022, the Company has a total federal NOL carry forward of approximately </w:t>
      </w:r>
      <w:r>
        <w:rPr>
          <w:sz w:val="20"/>
          <w:szCs w:val="20"/>
        </w:rPr>
        <w:t>$</w:t>
      </w:r>
      <w:r>
        <w:rPr>
          <w:sz w:val="20"/>
          <w:szCs w:val="20"/>
        </w:rPr>
        <w:t>27</w:t>
      </w:r>
      <w:r>
        <w:rPr>
          <w:sz w:val="20"/>
          <w:szCs w:val="20"/>
        </w:rPr>
        <w:t>3</w:t>
      </w:r>
      <w:r>
        <w:rPr>
          <w:sz w:val="20"/>
          <w:szCs w:val="20"/>
        </w:rPr>
        <w:t xml:space="preserve"> million of which approximately </w:t>
      </w:r>
      <w:r>
        <w:rPr>
          <w:sz w:val="20"/>
          <w:szCs w:val="20"/>
        </w:rPr>
        <w:t>$</w:t>
      </w:r>
      <w:r>
        <w:rPr>
          <w:sz w:val="20"/>
          <w:szCs w:val="20"/>
        </w:rPr>
        <w:t>19</w:t>
      </w:r>
      <w:r>
        <w:rPr>
          <w:sz w:val="20"/>
          <w:szCs w:val="20"/>
        </w:rPr>
        <w:t>9</w:t>
      </w:r>
      <w:r>
        <w:rPr>
          <w:sz w:val="20"/>
          <w:szCs w:val="20"/>
        </w:rPr>
        <w:t xml:space="preserve"> million will expire between 2034 and 2037, and the balance of approximately </w:t>
      </w:r>
      <w:r>
        <w:rPr>
          <w:sz w:val="20"/>
          <w:szCs w:val="20"/>
        </w:rPr>
        <w:t>$</w:t>
      </w:r>
      <w:r>
        <w:rPr>
          <w:sz w:val="20"/>
          <w:szCs w:val="20"/>
        </w:rPr>
        <w:t>7</w:t>
      </w:r>
      <w:r>
        <w:rPr>
          <w:sz w:val="20"/>
          <w:szCs w:val="20"/>
        </w:rPr>
        <w:t>4</w:t>
      </w:r>
      <w:r>
        <w:rPr>
          <w:sz w:val="20"/>
          <w:szCs w:val="20"/>
        </w:rPr>
        <w:t xml:space="preserve"> million has an indefinite life. Out of the tot</w:t>
      </w:r>
      <w:r>
        <w:rPr>
          <w:sz w:val="20"/>
          <w:szCs w:val="20"/>
        </w:rPr>
        <w:t xml:space="preserve">al federal NOL carry forward, approximately </w:t>
      </w:r>
      <w:r>
        <w:rPr>
          <w:sz w:val="20"/>
          <w:szCs w:val="20"/>
        </w:rPr>
        <w:t>$</w:t>
      </w:r>
      <w:r>
        <w:rPr>
          <w:sz w:val="20"/>
          <w:szCs w:val="20"/>
        </w:rPr>
        <w:t>23</w:t>
      </w:r>
      <w:r>
        <w:rPr>
          <w:sz w:val="20"/>
          <w:szCs w:val="20"/>
        </w:rPr>
        <w:t>8</w:t>
      </w:r>
      <w:r>
        <w:rPr>
          <w:sz w:val="20"/>
          <w:szCs w:val="20"/>
        </w:rPr>
        <w:t xml:space="preserve"> million is from the CareCloud and Meridian acquisitions and is subject to the federal Section 382 NOL annual usage limitations. The Company has state NOL carry forwards of approximately </w:t>
      </w:r>
      <w:r>
        <w:rPr>
          <w:sz w:val="20"/>
          <w:szCs w:val="20"/>
        </w:rPr>
        <w:t>$</w:t>
      </w:r>
      <w:r>
        <w:rPr>
          <w:sz w:val="20"/>
          <w:szCs w:val="20"/>
        </w:rPr>
        <w:t>21</w:t>
      </w:r>
      <w:r>
        <w:rPr>
          <w:sz w:val="20"/>
          <w:szCs w:val="20"/>
        </w:rPr>
        <w:t>1</w:t>
      </w:r>
      <w:r>
        <w:rPr>
          <w:sz w:val="20"/>
          <w:szCs w:val="20"/>
        </w:rPr>
        <w:t xml:space="preserve"> million, of whic</w:t>
      </w:r>
      <w:r>
        <w:rPr>
          <w:sz w:val="20"/>
          <w:szCs w:val="20"/>
        </w:rPr>
        <w:t xml:space="preserve">h </w:t>
      </w:r>
      <w:r>
        <w:rPr>
          <w:sz w:val="20"/>
          <w:szCs w:val="20"/>
        </w:rPr>
        <w:t>$</w:t>
      </w:r>
      <w:r>
        <w:rPr>
          <w:sz w:val="20"/>
          <w:szCs w:val="20"/>
        </w:rPr>
        <w:t>8</w:t>
      </w:r>
      <w:r>
        <w:rPr>
          <w:sz w:val="20"/>
          <w:szCs w:val="20"/>
        </w:rPr>
        <w:t>6</w:t>
      </w:r>
      <w:r>
        <w:rPr>
          <w:sz w:val="20"/>
          <w:szCs w:val="20"/>
        </w:rPr>
        <w:t xml:space="preserve"> million relates to the State of New Jersey. These NOLs expire between 2034 and 2041.</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The Company has a full valuation allowance on its deferred tax assets in the U.S. which results in there being no U.S. deferred tax assets or liabilities recorded </w:t>
      </w:r>
      <w:r>
        <w:rPr>
          <w:sz w:val="20"/>
          <w:szCs w:val="20"/>
        </w:rPr>
        <w:t>on the consolidated balance sheets, other than the deferred tax liability related to the amortization of goodwill.</w:t>
      </w:r>
    </w:p>
    <w:p w:rsidR="00000000" w:rsidRDefault="003A6737">
      <w:pPr>
        <w:pStyle w:val="a3"/>
        <w:spacing w:before="0" w:beforeAutospacing="0" w:after="0" w:afterAutospacing="0"/>
        <w:ind w:left="475" w:hanging="475"/>
        <w:rPr>
          <w:b/>
          <w:bCs/>
          <w:caps/>
          <w:sz w:val="20"/>
          <w:szCs w:val="20"/>
        </w:rPr>
      </w:pPr>
      <w:r>
        <w:rPr>
          <w:b/>
          <w:bCs/>
          <w:caps/>
          <w:sz w:val="20"/>
          <w:szCs w:val="20"/>
        </w:rPr>
        <w:t> </w:t>
      </w:r>
    </w:p>
    <w:p w:rsidR="00000000" w:rsidRDefault="003A6737">
      <w:pPr>
        <w:pStyle w:val="a3"/>
        <w:spacing w:before="0" w:beforeAutospacing="0" w:after="0" w:afterAutospacing="0"/>
        <w:rPr>
          <w:caps/>
          <w:sz w:val="20"/>
          <w:szCs w:val="20"/>
        </w:rPr>
      </w:pPr>
      <w:r>
        <w:rPr>
          <w:b/>
          <w:bCs/>
          <w:caps/>
          <w:sz w:val="20"/>
          <w:szCs w:val="20"/>
        </w:rPr>
        <w:t>17.</w:t>
      </w:r>
      <w:r>
        <w:rPr>
          <w:caps/>
          <w:sz w:val="20"/>
          <w:szCs w:val="20"/>
        </w:rPr>
        <w:t xml:space="preserve"> </w:t>
      </w:r>
      <w:r>
        <w:rPr>
          <w:b/>
          <w:bCs/>
          <w:caps/>
          <w:sz w:val="20"/>
          <w:szCs w:val="20"/>
        </w:rPr>
        <w:t>OTHER EXPENSE – NE</w:t>
      </w:r>
      <w:r>
        <w:rPr>
          <w:b/>
          <w:bCs/>
          <w:caps/>
          <w:sz w:val="20"/>
          <w:szCs w:val="20"/>
        </w:rPr>
        <w:t>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Other </w:t>
      </w:r>
      <w:r>
        <w:rPr>
          <w:sz w:val="20"/>
          <w:szCs w:val="20"/>
        </w:rPr>
        <w:t>expense - net for the years ended December 31, 2022 and 2021 consisted of the following:</w:t>
      </w:r>
    </w:p>
    <w:p w:rsidR="00000000" w:rsidRDefault="003A6737">
      <w:pPr>
        <w:pStyle w:val="a3"/>
        <w:spacing w:before="0" w:beforeAutospacing="0" w:after="0" w:afterAutospacing="0"/>
        <w:jc w:val="both"/>
        <w:rPr>
          <w:sz w:val="20"/>
          <w:szCs w:val="20"/>
        </w:rPr>
      </w:pPr>
      <w:r>
        <w:rPr>
          <w:vanish/>
          <w:sz w:val="20"/>
          <w:szCs w:val="20"/>
        </w:rPr>
        <w:t>SCHEDULE OF OTHER (EXPENSE) INCOME - NE</w:t>
      </w:r>
      <w:r>
        <w:rPr>
          <w:vanish/>
          <w:sz w:val="20"/>
          <w:szCs w:val="20"/>
        </w:rPr>
        <w:t>T</w:t>
      </w:r>
    </w:p>
    <w:tbl>
      <w:tblPr>
        <w:tblW w:w="3500" w:type="pct"/>
        <w:tblCellMar>
          <w:left w:w="0" w:type="dxa"/>
          <w:right w:w="0" w:type="dxa"/>
        </w:tblCellMar>
        <w:tblLook w:val="04A0" w:firstRow="1" w:lastRow="0" w:firstColumn="1" w:lastColumn="0" w:noHBand="0" w:noVBand="1"/>
      </w:tblPr>
      <w:tblGrid>
        <w:gridCol w:w="3468"/>
        <w:gridCol w:w="96"/>
        <w:gridCol w:w="100"/>
        <w:gridCol w:w="910"/>
        <w:gridCol w:w="67"/>
        <w:gridCol w:w="96"/>
        <w:gridCol w:w="100"/>
        <w:gridCol w:w="910"/>
        <w:gridCol w:w="67"/>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3A6737">
            <w:pPr>
              <w:rPr>
                <w:rFonts w:eastAsia="Times New Roman"/>
                <w:sz w:val="20"/>
                <w:szCs w:val="20"/>
              </w:rPr>
            </w:pPr>
            <w:r>
              <w:rPr>
                <w:rFonts w:eastAsia="Times New Roman"/>
                <w:sz w:val="20"/>
                <w:szCs w:val="20"/>
              </w:rPr>
              <w:t>Foreign exchange (losses) gains</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(610</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16</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Other expense</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(27</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(112</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Other expense - net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(637</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(96</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hd w:val="clear" w:color="auto" w:fill="FFFFFF"/>
        <w:spacing w:before="0" w:beforeAutospacing="0" w:after="0" w:afterAutospacing="0"/>
        <w:jc w:val="both"/>
        <w:rPr>
          <w:sz w:val="20"/>
          <w:szCs w:val="20"/>
        </w:rPr>
      </w:pPr>
      <w:r>
        <w:rPr>
          <w:sz w:val="20"/>
          <w:szCs w:val="20"/>
        </w:rPr>
        <w:t xml:space="preserve">Foreign </w:t>
      </w:r>
      <w:r>
        <w:rPr>
          <w:sz w:val="20"/>
          <w:szCs w:val="20"/>
        </w:rPr>
        <w:t>currency transaction gains and losses primarily result from transactions in foreign currencies other than the functional currency. These transaction gains and losses are recorded in the consolidated statements of operations related to the recurring measure</w:t>
      </w:r>
      <w:r>
        <w:rPr>
          <w:sz w:val="20"/>
          <w:szCs w:val="20"/>
        </w:rPr>
        <w:t>ment and settlement of such transactions.</w:t>
      </w:r>
    </w:p>
    <w:p w:rsidR="00000000" w:rsidRDefault="003A6737">
      <w:pPr>
        <w:pStyle w:val="a3"/>
        <w:shd w:val="clear" w:color="auto" w:fill="FFFFFF"/>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84977614"/>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b/>
          <w:bCs/>
          <w:caps/>
          <w:sz w:val="20"/>
          <w:szCs w:val="20"/>
        </w:rPr>
        <w:t> </w:t>
      </w:r>
    </w:p>
    <w:p w:rsidR="00000000" w:rsidRDefault="003A6737">
      <w:pPr>
        <w:pStyle w:val="a3"/>
        <w:spacing w:before="0" w:beforeAutospacing="0" w:after="0" w:afterAutospacing="0"/>
        <w:rPr>
          <w:caps/>
          <w:sz w:val="20"/>
          <w:szCs w:val="20"/>
        </w:rPr>
      </w:pPr>
      <w:r>
        <w:rPr>
          <w:b/>
          <w:bCs/>
          <w:caps/>
          <w:sz w:val="20"/>
          <w:szCs w:val="20"/>
        </w:rPr>
        <w:t>18.</w:t>
      </w:r>
      <w:r>
        <w:rPr>
          <w:caps/>
          <w:sz w:val="20"/>
          <w:szCs w:val="20"/>
        </w:rPr>
        <w:t xml:space="preserve"> </w:t>
      </w:r>
      <w:r>
        <w:rPr>
          <w:b/>
          <w:bCs/>
          <w:caps/>
          <w:sz w:val="20"/>
          <w:szCs w:val="20"/>
        </w:rPr>
        <w:t>SEGMENT REPORTIN</w:t>
      </w:r>
      <w:r>
        <w:rPr>
          <w:b/>
          <w:bCs/>
          <w:caps/>
          <w:sz w:val="20"/>
          <w:szCs w:val="20"/>
        </w:rPr>
        <w:t>G</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Company’</w:t>
      </w:r>
      <w:r>
        <w:rPr>
          <w:sz w:val="20"/>
          <w:szCs w:val="20"/>
        </w:rPr>
        <w:t>s Chief Executive Officer and Executive Chairman serve as the CODM, organize the Company, manage resource allocations and measure performance among two operating and reportable segments: (i) Healthcare IT and (ii) Medical Practice Management.</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Healthc</w:t>
      </w:r>
      <w:r>
        <w:rPr>
          <w:sz w:val="20"/>
          <w:szCs w:val="20"/>
        </w:rPr>
        <w:t>are IT segment includes technology-assisted revenue cycle management, SaaS solutions and other services. The Medical Practice Management segment includes the management of three medical practices. Each segment is considered a reporting unit. The CODM evalu</w:t>
      </w:r>
      <w:r>
        <w:rPr>
          <w:sz w:val="20"/>
          <w:szCs w:val="20"/>
        </w:rPr>
        <w:t>ates financial performance of the business units on the basis of revenue and direct operating costs excluding unallocated amounts, which are mainly corporate overhead costs. Our CODM does not evaluate operating segments using asset or liability information</w:t>
      </w:r>
      <w:r>
        <w:rPr>
          <w:sz w:val="20"/>
          <w:szCs w:val="20"/>
        </w:rPr>
        <w:t>. The accounting policies of the segments are the same as those disclosed in the summary of significant accounting policies. The following tables present revenues, operating expenses and operating income (loss) by reportable segment for the years ended Dec</w:t>
      </w:r>
      <w:r>
        <w:rPr>
          <w:sz w:val="20"/>
          <w:szCs w:val="20"/>
        </w:rPr>
        <w:t>ember 31, 2022 and 2021:</w:t>
      </w:r>
    </w:p>
    <w:p w:rsidR="00000000" w:rsidRDefault="003A6737">
      <w:pPr>
        <w:pStyle w:val="a3"/>
        <w:shd w:val="clear" w:color="auto" w:fill="FFFFFF"/>
        <w:spacing w:before="0" w:beforeAutospacing="0" w:after="0" w:afterAutospacing="0"/>
        <w:jc w:val="center"/>
        <w:rPr>
          <w:sz w:val="20"/>
          <w:szCs w:val="20"/>
        </w:rPr>
      </w:pPr>
      <w:r>
        <w:rPr>
          <w:vanish/>
          <w:sz w:val="20"/>
          <w:szCs w:val="20"/>
        </w:rPr>
        <w:t>SCHEDULE OF REVENUES, OPERATING EXPENSES AND OPERATING INCOME (LOSS) BY REPORTABLE SEGMEN</w:t>
      </w:r>
      <w:r>
        <w:rPr>
          <w:vanish/>
          <w:sz w:val="20"/>
          <w:szCs w:val="20"/>
        </w:rPr>
        <w:t>T</w:t>
      </w:r>
      <w:r>
        <w:rPr>
          <w:sz w:val="20"/>
          <w:szCs w:val="20"/>
        </w:rPr>
        <w:t> </w:t>
      </w:r>
    </w:p>
    <w:tbl>
      <w:tblPr>
        <w:tblW w:w="5000" w:type="pct"/>
        <w:tblCellMar>
          <w:left w:w="0" w:type="dxa"/>
          <w:right w:w="0" w:type="dxa"/>
        </w:tblCellMar>
        <w:tblLook w:val="04A0" w:firstRow="1" w:lastRow="0" w:firstColumn="1" w:lastColumn="0" w:noHBand="0" w:noVBand="1"/>
      </w:tblPr>
      <w:tblGrid>
        <w:gridCol w:w="3302"/>
        <w:gridCol w:w="146"/>
        <w:gridCol w:w="101"/>
        <w:gridCol w:w="895"/>
        <w:gridCol w:w="67"/>
        <w:gridCol w:w="144"/>
        <w:gridCol w:w="101"/>
        <w:gridCol w:w="1028"/>
        <w:gridCol w:w="64"/>
        <w:gridCol w:w="147"/>
        <w:gridCol w:w="101"/>
        <w:gridCol w:w="937"/>
        <w:gridCol w:w="67"/>
        <w:gridCol w:w="144"/>
        <w:gridCol w:w="100"/>
        <w:gridCol w:w="895"/>
        <w:gridCol w:w="67"/>
      </w:tblGrid>
      <w:tr w:rsidR="00000000">
        <w:trPr>
          <w:hidden/>
        </w:trPr>
        <w:tc>
          <w:tcPr>
            <w:tcW w:w="0" w:type="auto"/>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Healthcare IT</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vanish/>
                <w:sz w:val="20"/>
                <w:szCs w:val="20"/>
              </w:rPr>
            </w:pPr>
            <w:r>
              <w:rPr>
                <w:b/>
                <w:bCs/>
                <w:vanish/>
                <w:sz w:val="20"/>
                <w:szCs w:val="20"/>
              </w:rPr>
              <w:t xml:space="preserve">Medical Practice </w:t>
            </w:r>
          </w:p>
          <w:p w:rsidR="00000000" w:rsidRDefault="003A6737">
            <w:pPr>
              <w:pStyle w:val="a3"/>
              <w:spacing w:before="0" w:beforeAutospacing="0" w:after="0" w:afterAutospacing="0"/>
              <w:jc w:val="center"/>
              <w:rPr>
                <w:vanish/>
                <w:sz w:val="20"/>
                <w:szCs w:val="20"/>
              </w:rPr>
            </w:pPr>
            <w:r>
              <w:rPr>
                <w:b/>
                <w:bCs/>
                <w:vanish/>
                <w:sz w:val="20"/>
                <w:szCs w:val="20"/>
              </w:rPr>
              <w:t>Management</w:t>
            </w:r>
          </w:p>
        </w:tc>
        <w:tc>
          <w:tcPr>
            <w:tcW w:w="0" w:type="auto"/>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vanish/>
                <w:sz w:val="20"/>
                <w:szCs w:val="20"/>
              </w:rPr>
            </w:pPr>
            <w:r>
              <w:rPr>
                <w:b/>
                <w:bCs/>
                <w:vanish/>
                <w:sz w:val="20"/>
                <w:szCs w:val="20"/>
              </w:rPr>
              <w:t>Unallocated Corporate</w:t>
            </w:r>
          </w:p>
          <w:p w:rsidR="00000000" w:rsidRDefault="003A6737">
            <w:pPr>
              <w:pStyle w:val="a3"/>
              <w:spacing w:before="0" w:beforeAutospacing="0" w:after="0" w:afterAutospacing="0"/>
              <w:jc w:val="center"/>
              <w:rPr>
                <w:vanish/>
                <w:sz w:val="20"/>
                <w:szCs w:val="20"/>
              </w:rPr>
            </w:pPr>
            <w:r>
              <w:rPr>
                <w:b/>
                <w:bCs/>
                <w:vanish/>
                <w:sz w:val="20"/>
                <w:szCs w:val="20"/>
              </w:rPr>
              <w:t>Expenses</w:t>
            </w:r>
          </w:p>
        </w:tc>
        <w:tc>
          <w:tcPr>
            <w:tcW w:w="0" w:type="auto"/>
            <w:tcMar>
              <w:top w:w="0" w:type="dxa"/>
              <w:left w:w="0" w:type="dxa"/>
              <w:bottom w:w="30" w:type="dxa"/>
              <w:right w:w="0" w:type="dxa"/>
            </w:tcMar>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Total</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3A6737">
            <w:pPr>
              <w:jc w:val="center"/>
              <w:rPr>
                <w:rFonts w:eastAsia="Times New Roman"/>
                <w:b/>
                <w:bCs/>
                <w:sz w:val="20"/>
                <w:szCs w:val="20"/>
              </w:rPr>
            </w:pPr>
            <w:r>
              <w:rPr>
                <w:rFonts w:eastAsia="Times New Roman"/>
                <w:b/>
                <w:bCs/>
                <w:sz w:val="20"/>
                <w:szCs w:val="20"/>
              </w:rPr>
              <w:t xml:space="preserve">Year </w:t>
            </w:r>
            <w:r>
              <w:rPr>
                <w:rFonts w:eastAsia="Times New Roman"/>
                <w:b/>
                <w:bCs/>
                <w:sz w:val="20"/>
                <w:szCs w:val="20"/>
              </w:rPr>
              <w:t>Ended December 31, 2022</w:t>
            </w:r>
          </w:p>
        </w:tc>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sz w:val="20"/>
                <w:szCs w:val="20"/>
              </w:rPr>
            </w:pPr>
            <w:r>
              <w:rPr>
                <w:b/>
                <w:bCs/>
                <w:sz w:val="20"/>
                <w:szCs w:val="20"/>
              </w:rPr>
              <w:t xml:space="preserve">Medical Practice </w:t>
            </w:r>
          </w:p>
          <w:p w:rsidR="00000000" w:rsidRDefault="003A6737">
            <w:pPr>
              <w:pStyle w:val="a3"/>
              <w:spacing w:before="0" w:beforeAutospacing="0" w:after="0" w:afterAutospacing="0"/>
              <w:jc w:val="center"/>
              <w:rPr>
                <w:sz w:val="20"/>
                <w:szCs w:val="20"/>
              </w:rPr>
            </w:pPr>
            <w:r>
              <w:rPr>
                <w:b/>
                <w:bCs/>
                <w:sz w:val="20"/>
                <w:szCs w:val="20"/>
              </w:rPr>
              <w:t>Management</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sz w:val="20"/>
                <w:szCs w:val="20"/>
              </w:rPr>
            </w:pPr>
            <w:r>
              <w:rPr>
                <w:b/>
                <w:bCs/>
                <w:sz w:val="20"/>
                <w:szCs w:val="20"/>
              </w:rPr>
              <w:t>Unallocated Corporate</w:t>
            </w:r>
          </w:p>
          <w:p w:rsidR="00000000" w:rsidRDefault="003A6737">
            <w:pPr>
              <w:pStyle w:val="a3"/>
              <w:spacing w:before="0" w:beforeAutospacing="0" w:after="0" w:afterAutospacing="0"/>
              <w:jc w:val="center"/>
              <w:rPr>
                <w:sz w:val="20"/>
                <w:szCs w:val="20"/>
              </w:rPr>
            </w:pPr>
            <w:r>
              <w:rPr>
                <w:b/>
                <w:bCs/>
                <w:sz w:val="20"/>
                <w:szCs w:val="20"/>
              </w:rPr>
              <w:t>Expenses</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3A6737">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125,276</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13,550</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138,826</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73,702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10,732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84,434</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9,760</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28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9,788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12,558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1,802</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9,460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23,820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4,401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4,401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(3,090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(3,090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11,368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357</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11,725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xml:space="preserve">Net </w:t>
            </w:r>
            <w:r>
              <w:rPr>
                <w:rFonts w:eastAsia="Times New Roman"/>
                <w:sz w:val="20"/>
                <w:szCs w:val="20"/>
              </w:rPr>
              <w:t>loss on lease termination and unoccupied lease charges</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1,138</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1,138</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109,837</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12,919</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9,460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132,216</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Operating income (loss)</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15,439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631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(9,460</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6,610</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hd w:val="clear" w:color="auto" w:fill="FFFFFF"/>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02"/>
        <w:gridCol w:w="146"/>
        <w:gridCol w:w="101"/>
        <w:gridCol w:w="895"/>
        <w:gridCol w:w="67"/>
        <w:gridCol w:w="144"/>
        <w:gridCol w:w="101"/>
        <w:gridCol w:w="1028"/>
        <w:gridCol w:w="64"/>
        <w:gridCol w:w="147"/>
        <w:gridCol w:w="101"/>
        <w:gridCol w:w="937"/>
        <w:gridCol w:w="67"/>
        <w:gridCol w:w="144"/>
        <w:gridCol w:w="100"/>
        <w:gridCol w:w="895"/>
        <w:gridCol w:w="67"/>
      </w:tblGrid>
      <w:tr w:rsidR="00000000">
        <w:trPr>
          <w:hidden/>
        </w:trPr>
        <w:tc>
          <w:tcPr>
            <w:tcW w:w="0" w:type="auto"/>
            <w:vAlign w:val="bottom"/>
            <w:hideMark/>
          </w:tcPr>
          <w:p w:rsidR="00000000" w:rsidRDefault="003A6737">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Healthcare IT</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b/>
                <w:bCs/>
                <w:vanish/>
                <w:sz w:val="20"/>
                <w:szCs w:val="20"/>
              </w:rPr>
            </w:pPr>
            <w:r>
              <w:rPr>
                <w:b/>
                <w:bCs/>
                <w:vanish/>
                <w:sz w:val="20"/>
                <w:szCs w:val="20"/>
              </w:rPr>
              <w:t xml:space="preserve">Medical Practice </w:t>
            </w:r>
          </w:p>
          <w:p w:rsidR="00000000" w:rsidRDefault="003A6737">
            <w:pPr>
              <w:pStyle w:val="a3"/>
              <w:spacing w:before="0" w:beforeAutospacing="0" w:after="0" w:afterAutospacing="0"/>
              <w:jc w:val="center"/>
              <w:rPr>
                <w:b/>
                <w:bCs/>
                <w:vanish/>
                <w:sz w:val="20"/>
                <w:szCs w:val="20"/>
              </w:rPr>
            </w:pPr>
            <w:r>
              <w:rPr>
                <w:b/>
                <w:bCs/>
                <w:vanish/>
                <w:sz w:val="20"/>
                <w:szCs w:val="20"/>
              </w:rPr>
              <w:t>Management</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b/>
                <w:bCs/>
                <w:vanish/>
                <w:sz w:val="20"/>
                <w:szCs w:val="20"/>
              </w:rPr>
            </w:pPr>
            <w:r>
              <w:rPr>
                <w:b/>
                <w:bCs/>
                <w:vanish/>
                <w:sz w:val="20"/>
                <w:szCs w:val="20"/>
              </w:rPr>
              <w:t>Unallocated Corporate</w:t>
            </w:r>
          </w:p>
          <w:p w:rsidR="00000000" w:rsidRDefault="003A6737">
            <w:pPr>
              <w:pStyle w:val="a3"/>
              <w:spacing w:before="0" w:beforeAutospacing="0" w:after="0" w:afterAutospacing="0"/>
              <w:jc w:val="center"/>
              <w:rPr>
                <w:b/>
                <w:bCs/>
                <w:vanish/>
                <w:sz w:val="20"/>
                <w:szCs w:val="20"/>
              </w:rPr>
            </w:pPr>
            <w:r>
              <w:rPr>
                <w:b/>
                <w:bCs/>
                <w:vanish/>
                <w:sz w:val="20"/>
                <w:szCs w:val="20"/>
              </w:rPr>
              <w:t>Expenses</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vanish/>
                <w:sz w:val="20"/>
                <w:szCs w:val="20"/>
              </w:rPr>
            </w:pPr>
            <w:r>
              <w:rPr>
                <w:rFonts w:eastAsia="Times New Roman"/>
                <w:b/>
                <w:bCs/>
                <w:vanish/>
                <w:sz w:val="20"/>
                <w:szCs w:val="20"/>
              </w:rPr>
              <w:t>Total</w:t>
            </w:r>
          </w:p>
        </w:tc>
        <w:tc>
          <w:tcPr>
            <w:tcW w:w="0" w:type="auto"/>
            <w:tcMar>
              <w:top w:w="0" w:type="dxa"/>
              <w:left w:w="0" w:type="dxa"/>
              <w:bottom w:w="30" w:type="dxa"/>
              <w:right w:w="0" w:type="dxa"/>
            </w:tcMar>
            <w:vAlign w:val="bottom"/>
            <w:hideMark/>
          </w:tcPr>
          <w:p w:rsidR="00000000" w:rsidRDefault="003A673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3A6737">
            <w:pPr>
              <w:jc w:val="center"/>
              <w:rPr>
                <w:rFonts w:eastAsia="Times New Roman"/>
                <w:b/>
                <w:bCs/>
                <w:sz w:val="20"/>
                <w:szCs w:val="20"/>
              </w:rPr>
            </w:pPr>
            <w:r>
              <w:rPr>
                <w:rFonts w:eastAsia="Times New Roman"/>
                <w:b/>
                <w:bCs/>
                <w:sz w:val="20"/>
                <w:szCs w:val="20"/>
              </w:rPr>
              <w:t>Year Ended December 31, 2021</w:t>
            </w:r>
          </w:p>
        </w:tc>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b/>
                <w:bCs/>
                <w:sz w:val="20"/>
                <w:szCs w:val="20"/>
              </w:rPr>
            </w:pPr>
            <w:r>
              <w:rPr>
                <w:b/>
                <w:bCs/>
                <w:sz w:val="20"/>
                <w:szCs w:val="20"/>
              </w:rPr>
              <w:t xml:space="preserve">Medical Practice </w:t>
            </w:r>
          </w:p>
          <w:p w:rsidR="00000000" w:rsidRDefault="003A6737">
            <w:pPr>
              <w:pStyle w:val="a3"/>
              <w:spacing w:before="0" w:beforeAutospacing="0" w:after="0" w:afterAutospacing="0"/>
              <w:jc w:val="center"/>
              <w:rPr>
                <w:b/>
                <w:bCs/>
                <w:sz w:val="20"/>
                <w:szCs w:val="20"/>
              </w:rPr>
            </w:pPr>
            <w:r>
              <w:rPr>
                <w:b/>
                <w:bCs/>
                <w:sz w:val="20"/>
                <w:szCs w:val="20"/>
              </w:rPr>
              <w:t>Management</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pStyle w:val="a3"/>
              <w:spacing w:before="0" w:beforeAutospacing="0" w:after="0" w:afterAutospacing="0"/>
              <w:jc w:val="center"/>
              <w:rPr>
                <w:b/>
                <w:bCs/>
                <w:sz w:val="20"/>
                <w:szCs w:val="20"/>
              </w:rPr>
            </w:pPr>
            <w:r>
              <w:rPr>
                <w:b/>
                <w:bCs/>
                <w:sz w:val="20"/>
                <w:szCs w:val="20"/>
              </w:rPr>
              <w:t>Unallocated Corporate</w:t>
            </w:r>
          </w:p>
          <w:p w:rsidR="00000000" w:rsidRDefault="003A6737">
            <w:pPr>
              <w:pStyle w:val="a3"/>
              <w:spacing w:before="0" w:beforeAutospacing="0" w:after="0" w:afterAutospacing="0"/>
              <w:jc w:val="center"/>
              <w:rPr>
                <w:b/>
                <w:bCs/>
                <w:sz w:val="20"/>
                <w:szCs w:val="20"/>
              </w:rPr>
            </w:pPr>
            <w:r>
              <w:rPr>
                <w:b/>
                <w:bCs/>
                <w:sz w:val="20"/>
                <w:szCs w:val="20"/>
              </w:rPr>
              <w:t>Expenses</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3A6737">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127,080</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12,519</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139,599</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76,981</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9,937</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86,918</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8,755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8,786</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13,910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2,080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8,283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24,273</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4,408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4,408</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(2,515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(2,515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A6737">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11,854</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341</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12,195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2,005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2,005</w:t>
            </w:r>
          </w:p>
        </w:tc>
        <w:tc>
          <w:tcPr>
            <w:tcW w:w="0" w:type="auto"/>
            <w:shd w:val="clear" w:color="auto" w:fill="CCEE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115,398</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12,389</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8,283</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136,070</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Operating income (loss)</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11,682</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130</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(8,283</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3,529</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hd w:val="clear" w:color="auto" w:fill="FFFFFF"/>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7232669"/>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3A6737">
            <w:pPr>
              <w:jc w:val="cente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center"/>
        <w:rPr>
          <w:sz w:val="20"/>
          <w:szCs w:val="20"/>
        </w:rPr>
      </w:pPr>
      <w:r>
        <w:rPr>
          <w:b/>
          <w:bCs/>
          <w:caps/>
          <w:sz w:val="20"/>
          <w:szCs w:val="20"/>
        </w:rPr>
        <w:t> </w:t>
      </w:r>
    </w:p>
    <w:p w:rsidR="00000000" w:rsidRDefault="003A6737">
      <w:pPr>
        <w:pStyle w:val="a3"/>
        <w:spacing w:before="0" w:beforeAutospacing="0" w:after="0" w:afterAutospacing="0"/>
        <w:rPr>
          <w:caps/>
          <w:sz w:val="20"/>
          <w:szCs w:val="20"/>
        </w:rPr>
      </w:pPr>
      <w:r>
        <w:rPr>
          <w:b/>
          <w:bCs/>
          <w:caps/>
          <w:sz w:val="20"/>
          <w:szCs w:val="20"/>
        </w:rPr>
        <w:t>19.</w:t>
      </w:r>
      <w:r>
        <w:rPr>
          <w:caps/>
          <w:sz w:val="20"/>
          <w:szCs w:val="20"/>
        </w:rPr>
        <w:t xml:space="preserve"> </w:t>
      </w:r>
      <w:r>
        <w:rPr>
          <w:b/>
          <w:bCs/>
          <w:caps/>
          <w:sz w:val="20"/>
          <w:szCs w:val="20"/>
        </w:rPr>
        <w:t>FAIR VALUE OF FINANCIAL INSTRUMENT</w:t>
      </w:r>
      <w:r>
        <w:rPr>
          <w:b/>
          <w:bCs/>
          <w:caps/>
          <w:sz w:val="20"/>
          <w:szCs w:val="20"/>
        </w:rPr>
        <w: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Fair </w:t>
      </w:r>
      <w:r>
        <w:rPr>
          <w:sz w:val="20"/>
          <w:szCs w:val="20"/>
        </w:rPr>
        <w:t xml:space="preserve">value measurements are based upon observable and unobservable inputs. Observable inputs reflect market data obtained from independent sources, while unobservable inputs reflect our view of market participant assumptions in the absence of observable market </w:t>
      </w:r>
      <w:r>
        <w:rPr>
          <w:sz w:val="20"/>
          <w:szCs w:val="20"/>
        </w:rPr>
        <w:t>information. We utilize valuation techniques that maximize the use of observable inputs and minimize the use of unobservable inputs. The fair values of assets and liabilities required to be measured at fair value are categorized based upon the level of jud</w:t>
      </w:r>
      <w:r>
        <w:rPr>
          <w:sz w:val="20"/>
          <w:szCs w:val="20"/>
        </w:rPr>
        <w:t>gement associated with the inputs used to measure their value in one of the following three categories: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Level 1: Inputs are unadjusted quoted prices in active markets for identical assets or liabilities. We held no Level 1 financial instruments at Decemb</w:t>
      </w:r>
      <w:r>
        <w:rPr>
          <w:sz w:val="20"/>
          <w:szCs w:val="20"/>
        </w:rPr>
        <w:t>er 31, 2022 or December 31, 2021.</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Level 2: Quoted prices for similar instruments in active markets with inputs that are observable, either directly or indirectly. Our Level 2 financial instruments include notes payable which are carried at cost and appro</w:t>
      </w:r>
      <w:r>
        <w:rPr>
          <w:sz w:val="20"/>
          <w:szCs w:val="20"/>
        </w:rPr>
        <w:t>ximate fair value since the interest rates being charged approximate market rates.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Level 3: Unobservable inputs are significant to the fair value of the asset or liability, and include situations where there is little, if any, market activity for the ass</w:t>
      </w:r>
      <w:r>
        <w:rPr>
          <w:sz w:val="20"/>
          <w:szCs w:val="20"/>
        </w:rPr>
        <w:t>et or liability. Our Level 3 instruments include the fair value of contingent consideration related to completed acquisitions. The fair value at December 31, 2021 is based on discounted cash flow analysis reflecting the likelihood of achieving specified pe</w:t>
      </w:r>
      <w:r>
        <w:rPr>
          <w:sz w:val="20"/>
          <w:szCs w:val="20"/>
        </w:rPr>
        <w:t xml:space="preserve">rformance measure or events and captures the contractual nature of the contingencies, the passage of time and the associated discount rate. As of December 31, 2021, the contingent consideration was valued using a Monte Carlo simulation model. There was no </w:t>
      </w:r>
      <w:r>
        <w:rPr>
          <w:sz w:val="20"/>
          <w:szCs w:val="20"/>
        </w:rPr>
        <w:t>contingent consideration recorded at December 31, 2022.</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The following table provides a reconciliation of the beginning and ending balances for the contingent consideration measured at fair value using significant unobservable inputs (Level 3):</w:t>
      </w:r>
    </w:p>
    <w:p w:rsidR="00000000" w:rsidRDefault="003A6737">
      <w:pPr>
        <w:pStyle w:val="a3"/>
        <w:spacing w:before="0" w:beforeAutospacing="0" w:after="0" w:afterAutospacing="0"/>
        <w:jc w:val="both"/>
        <w:rPr>
          <w:sz w:val="20"/>
          <w:szCs w:val="20"/>
        </w:rPr>
      </w:pPr>
      <w:r>
        <w:rPr>
          <w:vanish/>
          <w:sz w:val="20"/>
          <w:szCs w:val="20"/>
        </w:rPr>
        <w:t>SCHEDULE OF FAIR VALUE, LIABILITIES MEASURED ON RECURRING BASIS, UNOBSERVABLE INPUT RECONCILIATIO</w:t>
      </w:r>
      <w:r>
        <w:rPr>
          <w:vanish/>
          <w:sz w:val="20"/>
          <w:szCs w:val="20"/>
        </w:rPr>
        <w:t>N</w:t>
      </w:r>
    </w:p>
    <w:tbl>
      <w:tblPr>
        <w:tblW w:w="3500" w:type="pct"/>
        <w:tblCellMar>
          <w:left w:w="0" w:type="dxa"/>
          <w:right w:w="0" w:type="dxa"/>
        </w:tblCellMar>
        <w:tblLook w:val="04A0" w:firstRow="1" w:lastRow="0" w:firstColumn="1" w:lastColumn="0" w:noHBand="0" w:noVBand="1"/>
      </w:tblPr>
      <w:tblGrid>
        <w:gridCol w:w="3002"/>
        <w:gridCol w:w="96"/>
        <w:gridCol w:w="100"/>
        <w:gridCol w:w="1143"/>
        <w:gridCol w:w="67"/>
        <w:gridCol w:w="96"/>
        <w:gridCol w:w="100"/>
        <w:gridCol w:w="1143"/>
        <w:gridCol w:w="67"/>
      </w:tblGrid>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3A6737">
            <w:pPr>
              <w:pStyle w:val="a3"/>
              <w:spacing w:before="0" w:beforeAutospacing="0" w:after="0" w:afterAutospacing="0"/>
              <w:jc w:val="center"/>
              <w:rPr>
                <w:b/>
                <w:bCs/>
                <w:sz w:val="20"/>
                <w:szCs w:val="20"/>
              </w:rPr>
            </w:pPr>
            <w:r>
              <w:rPr>
                <w:b/>
                <w:bCs/>
                <w:sz w:val="20"/>
                <w:szCs w:val="20"/>
              </w:rPr>
              <w:t>Fair Value Measurement at</w:t>
            </w:r>
          </w:p>
          <w:p w:rsidR="00000000" w:rsidRDefault="003A6737">
            <w:pPr>
              <w:pStyle w:val="a3"/>
              <w:spacing w:before="0" w:beforeAutospacing="0" w:after="0" w:afterAutospacing="0"/>
              <w:jc w:val="center"/>
              <w:rPr>
                <w:b/>
                <w:bCs/>
                <w:sz w:val="20"/>
                <w:szCs w:val="20"/>
              </w:rPr>
            </w:pPr>
            <w:r>
              <w:rPr>
                <w:b/>
                <w:bCs/>
                <w:sz w:val="20"/>
                <w:szCs w:val="20"/>
              </w:rPr>
              <w:t>Reporting Date Using Significant</w:t>
            </w:r>
          </w:p>
          <w:p w:rsidR="00000000" w:rsidRDefault="003A6737">
            <w:pPr>
              <w:pStyle w:val="a3"/>
              <w:spacing w:before="0" w:beforeAutospacing="0" w:after="0" w:afterAutospacing="0"/>
              <w:jc w:val="center"/>
              <w:rPr>
                <w:b/>
                <w:bCs/>
                <w:sz w:val="20"/>
                <w:szCs w:val="20"/>
              </w:rPr>
            </w:pPr>
            <w:r>
              <w:rPr>
                <w:b/>
                <w:bCs/>
                <w:sz w:val="20"/>
                <w:szCs w:val="20"/>
              </w:rPr>
              <w:t>Unobservable Inputs, Level 3</w:t>
            </w:r>
          </w:p>
        </w:tc>
        <w:tc>
          <w:tcPr>
            <w:tcW w:w="0" w:type="auto"/>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A673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A673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c>
          <w:tcPr>
            <w:tcW w:w="0" w:type="auto"/>
            <w:gridSpan w:val="6"/>
            <w:vAlign w:val="bottom"/>
            <w:hideMark/>
          </w:tcPr>
          <w:p w:rsidR="00000000" w:rsidRDefault="003A673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A6737">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3A6737">
            <w:pPr>
              <w:rPr>
                <w:rFonts w:eastAsia="Times New Roman"/>
                <w:sz w:val="20"/>
                <w:szCs w:val="20"/>
              </w:rPr>
            </w:pPr>
            <w:r>
              <w:rPr>
                <w:rFonts w:eastAsia="Times New Roman"/>
                <w:sz w:val="20"/>
                <w:szCs w:val="20"/>
              </w:rPr>
              <w:t>Balance - January 1,</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3,090</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Acquisitions</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A6737">
            <w:pPr>
              <w:jc w:val="right"/>
              <w:rPr>
                <w:rFonts w:eastAsia="Times New Roman"/>
                <w:sz w:val="20"/>
                <w:szCs w:val="20"/>
              </w:rPr>
            </w:pPr>
            <w:r>
              <w:rPr>
                <w:rFonts w:eastAsia="Times New Roman"/>
                <w:sz w:val="20"/>
                <w:szCs w:val="20"/>
              </w:rPr>
              <w:t>5,605</w:t>
            </w:r>
          </w:p>
        </w:tc>
        <w:tc>
          <w:tcPr>
            <w:tcW w:w="0" w:type="auto"/>
            <w:shd w:val="clear" w:color="auto" w:fill="FFFFFF"/>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Change in fair value</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(3,090</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A6737">
            <w:pPr>
              <w:jc w:val="right"/>
              <w:rPr>
                <w:rFonts w:eastAsia="Times New Roman"/>
                <w:sz w:val="20"/>
                <w:szCs w:val="20"/>
              </w:rPr>
            </w:pPr>
            <w:r>
              <w:rPr>
                <w:rFonts w:eastAsia="Times New Roman"/>
                <w:sz w:val="20"/>
                <w:szCs w:val="20"/>
              </w:rPr>
              <w:t>(2,515</w:t>
            </w:r>
          </w:p>
        </w:tc>
        <w:tc>
          <w:tcPr>
            <w:tcW w:w="0" w:type="auto"/>
            <w:shd w:val="clear" w:color="auto" w:fill="CCEEFF"/>
            <w:vAlign w:val="bottom"/>
            <w:hideMark/>
          </w:tcPr>
          <w:p w:rsidR="00000000" w:rsidRDefault="003A673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Payments</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Balance - December 31,</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A67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A6737">
            <w:pPr>
              <w:jc w:val="right"/>
              <w:rPr>
                <w:rFonts w:eastAsia="Times New Roman"/>
                <w:sz w:val="20"/>
                <w:szCs w:val="20"/>
              </w:rPr>
            </w:pPr>
            <w:r>
              <w:rPr>
                <w:rFonts w:eastAsia="Times New Roman"/>
                <w:sz w:val="20"/>
                <w:szCs w:val="20"/>
              </w:rPr>
              <w:t>3,090</w:t>
            </w:r>
          </w:p>
        </w:tc>
        <w:tc>
          <w:tcPr>
            <w:tcW w:w="0" w:type="auto"/>
            <w:shd w:val="clear" w:color="auto" w:fill="CCEEFF"/>
            <w:tcMar>
              <w:top w:w="0" w:type="dxa"/>
              <w:left w:w="0" w:type="dxa"/>
              <w:bottom w:w="50" w:type="dxa"/>
              <w:right w:w="0" w:type="dxa"/>
            </w:tcMar>
            <w:vAlign w:val="bottom"/>
            <w:hideMark/>
          </w:tcPr>
          <w:p w:rsidR="00000000" w:rsidRDefault="003A6737">
            <w:pPr>
              <w:rPr>
                <w:rFonts w:eastAsia="Times New Roman"/>
                <w:sz w:val="20"/>
                <w:szCs w:val="20"/>
              </w:rPr>
            </w:pPr>
            <w:r>
              <w:rPr>
                <w:rFonts w:eastAsia="Times New Roman"/>
                <w:sz w:val="20"/>
                <w:szCs w:val="20"/>
              </w:rPr>
              <w:t> </w:t>
            </w:r>
          </w:p>
        </w:tc>
      </w:tr>
    </w:tbl>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rPr>
          <w:caps/>
          <w:sz w:val="20"/>
          <w:szCs w:val="20"/>
        </w:rPr>
      </w:pPr>
      <w:r>
        <w:rPr>
          <w:b/>
          <w:bCs/>
          <w:caps/>
          <w:sz w:val="20"/>
          <w:szCs w:val="20"/>
        </w:rPr>
        <w:t>20.</w:t>
      </w:r>
      <w:r>
        <w:rPr>
          <w:caps/>
          <w:sz w:val="20"/>
          <w:szCs w:val="20"/>
        </w:rPr>
        <w:t xml:space="preserve"> </w:t>
      </w:r>
      <w:r>
        <w:rPr>
          <w:b/>
          <w:bCs/>
          <w:caps/>
          <w:sz w:val="20"/>
          <w:szCs w:val="20"/>
        </w:rPr>
        <w:t>SUBSEQUENT EVENT</w:t>
      </w:r>
      <w:r>
        <w:rPr>
          <w:b/>
          <w:bCs/>
          <w:caps/>
          <w:sz w:val="20"/>
          <w:szCs w:val="20"/>
        </w:rPr>
        <w:t>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 xml:space="preserve">During February 2023, SVB increased the Company’s line of credit to </w:t>
      </w:r>
      <w:r>
        <w:rPr>
          <w:sz w:val="20"/>
          <w:szCs w:val="20"/>
        </w:rPr>
        <w:t>$</w:t>
      </w:r>
      <w:r>
        <w:rPr>
          <w:sz w:val="20"/>
          <w:szCs w:val="20"/>
        </w:rPr>
        <w:t>2</w:t>
      </w:r>
      <w:r>
        <w:rPr>
          <w:sz w:val="20"/>
          <w:szCs w:val="20"/>
        </w:rPr>
        <w:t>5</w:t>
      </w:r>
      <w:r>
        <w:rPr>
          <w:sz w:val="20"/>
          <w:szCs w:val="20"/>
        </w:rPr>
        <w:t xml:space="preserve"> million and extended the term of the agreement for two additional years. The financial covenants were also slightly modified for 2023 and subsequent years.</w:t>
      </w:r>
    </w:p>
    <w:p w:rsidR="00000000" w:rsidRDefault="003A6737">
      <w:pPr>
        <w:pStyle w:val="a3"/>
        <w:spacing w:before="0" w:beforeAutospacing="0" w:after="0" w:afterAutospacing="0"/>
        <w:jc w:val="both"/>
        <w:rPr>
          <w:sz w:val="20"/>
          <w:szCs w:val="20"/>
        </w:rPr>
      </w:pPr>
      <w:r>
        <w:rPr>
          <w:sz w:val="20"/>
          <w:szCs w:val="20"/>
        </w:rPr>
        <w:t> </w:t>
      </w:r>
    </w:p>
    <w:p w:rsidR="00000000" w:rsidRDefault="003A6737">
      <w:pPr>
        <w:pStyle w:val="a3"/>
        <w:spacing w:before="0" w:beforeAutospacing="0" w:after="0" w:afterAutospacing="0"/>
        <w:jc w:val="both"/>
        <w:rPr>
          <w:sz w:val="20"/>
          <w:szCs w:val="20"/>
        </w:rPr>
      </w:pPr>
      <w:r>
        <w:rPr>
          <w:sz w:val="20"/>
          <w:szCs w:val="20"/>
        </w:rPr>
        <w:t>Subseq</w:t>
      </w:r>
      <w:r>
        <w:rPr>
          <w:sz w:val="20"/>
          <w:szCs w:val="20"/>
        </w:rPr>
        <w:t>uent to December 31, 2022, the Company sold approximately</w:t>
      </w:r>
      <w:r>
        <w:rPr>
          <w:sz w:val="20"/>
          <w:szCs w:val="20"/>
        </w:rPr>
        <w:t xml:space="preserve"> </w:t>
      </w:r>
      <w:r>
        <w:rPr>
          <w:sz w:val="20"/>
          <w:szCs w:val="20"/>
        </w:rPr>
        <w:t>60,00</w:t>
      </w:r>
      <w:r>
        <w:rPr>
          <w:sz w:val="20"/>
          <w:szCs w:val="20"/>
        </w:rPr>
        <w:t>0</w:t>
      </w:r>
      <w:r>
        <w:rPr>
          <w:sz w:val="20"/>
          <w:szCs w:val="20"/>
        </w:rPr>
        <w:t xml:space="preserve"> shares of Series B Preferred Stock via an “at-the-market” offering, raising net proceeds of approximately </w:t>
      </w:r>
      <w:r>
        <w:rPr>
          <w:sz w:val="20"/>
          <w:szCs w:val="20"/>
        </w:rPr>
        <w:t>$</w:t>
      </w:r>
      <w:r>
        <w:rPr>
          <w:sz w:val="20"/>
          <w:szCs w:val="20"/>
        </w:rPr>
        <w:t>1.</w:t>
      </w:r>
      <w:r>
        <w:rPr>
          <w:sz w:val="20"/>
          <w:szCs w:val="20"/>
        </w:rPr>
        <w:t>5</w:t>
      </w:r>
      <w:r>
        <w:rPr>
          <w:sz w:val="20"/>
          <w:szCs w:val="20"/>
        </w:rPr>
        <w:t xml:space="preserve"> million.</w:t>
      </w:r>
    </w:p>
    <w:p w:rsidR="00000000" w:rsidRDefault="003A67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29672450"/>
        </w:trPr>
        <w:tc>
          <w:tcPr>
            <w:tcW w:w="5000" w:type="pct"/>
            <w:hideMark/>
          </w:tcPr>
          <w:p w:rsidR="00000000" w:rsidRDefault="003A673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6</w:t>
            </w:r>
          </w:p>
        </w:tc>
      </w:tr>
    </w:tbl>
    <w:p w:rsidR="00000000" w:rsidRDefault="003A6737">
      <w:pPr>
        <w:pStyle w:val="a3"/>
        <w:spacing w:before="0" w:beforeAutospacing="0" w:after="0" w:afterAutospacing="0"/>
        <w:jc w:val="center"/>
        <w:rPr>
          <w:sz w:val="20"/>
          <w:szCs w:val="20"/>
        </w:rPr>
      </w:pPr>
      <w:r>
        <w:rPr>
          <w:sz w:val="20"/>
          <w:szCs w:val="20"/>
        </w:rPr>
        <w:t> </w:t>
      </w:r>
    </w:p>
    <w:p w:rsidR="003A6737" w:rsidRDefault="003A6737">
      <w:pPr>
        <w:pStyle w:val="a3"/>
        <w:spacing w:before="0" w:beforeAutospacing="0" w:after="0" w:afterAutospacing="0"/>
        <w:jc w:val="center"/>
        <w:rPr>
          <w:sz w:val="20"/>
          <w:szCs w:val="20"/>
        </w:rPr>
      </w:pPr>
      <w:r>
        <w:rPr>
          <w:sz w:val="20"/>
          <w:szCs w:val="20"/>
        </w:rPr>
        <w:t> </w:t>
      </w:r>
    </w:p>
    <w:sectPr w:rsidR="003A673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A6737"/>
    <w:rsid w:val="003A6737"/>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2"/>
  <w:attachedSchema w:val="http://www.xbrl.org/2006/ref"/>
  <w:attachedSchema w:val="http://fasb.org/us-gaap/2022"/>
  <w:attachedSchema w:val="http://fasb.org/us-gaap-sup/2022q3"/>
  <w:attachedSchema w:val="http://fasb.org/srt-sup/2022q3"/>
  <w:attachedSchema w:val="http://fasb.org/us-roles/2022"/>
  <w:attachedSchema w:val="http://www.xbrl.org/dtr/type/2020-01-21"/>
  <w:attachedSchema w:val="http://xbrl.sec.gov/country/2022"/>
  <w:attachedSchema w:val="http://xbrl.sec.gov/stpr/2022"/>
  <w:attachedSchema w:val="http://fasb.org/srt/2022"/>
  <w:attachedSchema w:val="http://carecloud.com/202212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9544">
      <w:marLeft w:val="0"/>
      <w:marRight w:val="0"/>
      <w:marTop w:val="0"/>
      <w:marBottom w:val="120"/>
      <w:divBdr>
        <w:top w:val="none" w:sz="0" w:space="0" w:color="auto"/>
        <w:left w:val="none" w:sz="0" w:space="0" w:color="auto"/>
        <w:bottom w:val="single" w:sz="12" w:space="0" w:color="000000"/>
        <w:right w:val="none" w:sz="0" w:space="0" w:color="auto"/>
      </w:divBdr>
    </w:div>
    <w:div w:id="35392157">
      <w:marLeft w:val="0"/>
      <w:marRight w:val="0"/>
      <w:marTop w:val="0"/>
      <w:marBottom w:val="120"/>
      <w:divBdr>
        <w:top w:val="none" w:sz="0" w:space="0" w:color="auto"/>
        <w:left w:val="none" w:sz="0" w:space="0" w:color="auto"/>
        <w:bottom w:val="single" w:sz="12" w:space="0" w:color="000000"/>
        <w:right w:val="none" w:sz="0" w:space="0" w:color="auto"/>
      </w:divBdr>
    </w:div>
    <w:div w:id="39325689">
      <w:marLeft w:val="0"/>
      <w:marRight w:val="0"/>
      <w:marTop w:val="0"/>
      <w:marBottom w:val="120"/>
      <w:divBdr>
        <w:top w:val="none" w:sz="0" w:space="0" w:color="auto"/>
        <w:left w:val="none" w:sz="0" w:space="0" w:color="auto"/>
        <w:bottom w:val="single" w:sz="12" w:space="0" w:color="000000"/>
        <w:right w:val="none" w:sz="0" w:space="0" w:color="auto"/>
      </w:divBdr>
    </w:div>
    <w:div w:id="53623724">
      <w:marLeft w:val="0"/>
      <w:marRight w:val="0"/>
      <w:marTop w:val="0"/>
      <w:marBottom w:val="120"/>
      <w:divBdr>
        <w:top w:val="none" w:sz="0" w:space="0" w:color="auto"/>
        <w:left w:val="none" w:sz="0" w:space="0" w:color="auto"/>
        <w:bottom w:val="single" w:sz="12" w:space="0" w:color="000000"/>
        <w:right w:val="none" w:sz="0" w:space="0" w:color="auto"/>
      </w:divBdr>
    </w:div>
    <w:div w:id="131141635">
      <w:marLeft w:val="0"/>
      <w:marRight w:val="0"/>
      <w:marTop w:val="0"/>
      <w:marBottom w:val="120"/>
      <w:divBdr>
        <w:top w:val="none" w:sz="0" w:space="0" w:color="auto"/>
        <w:left w:val="none" w:sz="0" w:space="0" w:color="auto"/>
        <w:bottom w:val="single" w:sz="12" w:space="0" w:color="000000"/>
        <w:right w:val="none" w:sz="0" w:space="0" w:color="auto"/>
      </w:divBdr>
    </w:div>
    <w:div w:id="169372517">
      <w:marLeft w:val="0"/>
      <w:marRight w:val="0"/>
      <w:marTop w:val="0"/>
      <w:marBottom w:val="120"/>
      <w:divBdr>
        <w:top w:val="none" w:sz="0" w:space="0" w:color="auto"/>
        <w:left w:val="none" w:sz="0" w:space="0" w:color="auto"/>
        <w:bottom w:val="single" w:sz="12" w:space="0" w:color="000000"/>
        <w:right w:val="none" w:sz="0" w:space="0" w:color="auto"/>
      </w:divBdr>
    </w:div>
    <w:div w:id="177232669">
      <w:marLeft w:val="0"/>
      <w:marRight w:val="0"/>
      <w:marTop w:val="0"/>
      <w:marBottom w:val="120"/>
      <w:divBdr>
        <w:top w:val="none" w:sz="0" w:space="0" w:color="auto"/>
        <w:left w:val="none" w:sz="0" w:space="0" w:color="auto"/>
        <w:bottom w:val="single" w:sz="12" w:space="0" w:color="000000"/>
        <w:right w:val="none" w:sz="0" w:space="0" w:color="auto"/>
      </w:divBdr>
    </w:div>
    <w:div w:id="200482399">
      <w:marLeft w:val="0"/>
      <w:marRight w:val="0"/>
      <w:marTop w:val="0"/>
      <w:marBottom w:val="120"/>
      <w:divBdr>
        <w:top w:val="none" w:sz="0" w:space="0" w:color="auto"/>
        <w:left w:val="none" w:sz="0" w:space="0" w:color="auto"/>
        <w:bottom w:val="single" w:sz="12" w:space="0" w:color="000000"/>
        <w:right w:val="none" w:sz="0" w:space="0" w:color="auto"/>
      </w:divBdr>
    </w:div>
    <w:div w:id="200947920">
      <w:marLeft w:val="0"/>
      <w:marRight w:val="0"/>
      <w:marTop w:val="0"/>
      <w:marBottom w:val="120"/>
      <w:divBdr>
        <w:top w:val="none" w:sz="0" w:space="0" w:color="auto"/>
        <w:left w:val="none" w:sz="0" w:space="0" w:color="auto"/>
        <w:bottom w:val="single" w:sz="12" w:space="0" w:color="000000"/>
        <w:right w:val="none" w:sz="0" w:space="0" w:color="auto"/>
      </w:divBdr>
    </w:div>
    <w:div w:id="211114563">
      <w:marLeft w:val="0"/>
      <w:marRight w:val="0"/>
      <w:marTop w:val="0"/>
      <w:marBottom w:val="120"/>
      <w:divBdr>
        <w:top w:val="none" w:sz="0" w:space="0" w:color="auto"/>
        <w:left w:val="none" w:sz="0" w:space="0" w:color="auto"/>
        <w:bottom w:val="single" w:sz="12" w:space="0" w:color="000000"/>
        <w:right w:val="none" w:sz="0" w:space="0" w:color="auto"/>
      </w:divBdr>
    </w:div>
    <w:div w:id="216943410">
      <w:marLeft w:val="0"/>
      <w:marRight w:val="0"/>
      <w:marTop w:val="0"/>
      <w:marBottom w:val="120"/>
      <w:divBdr>
        <w:top w:val="none" w:sz="0" w:space="0" w:color="auto"/>
        <w:left w:val="none" w:sz="0" w:space="0" w:color="auto"/>
        <w:bottom w:val="single" w:sz="12" w:space="0" w:color="000000"/>
        <w:right w:val="none" w:sz="0" w:space="0" w:color="auto"/>
      </w:divBdr>
    </w:div>
    <w:div w:id="224336173">
      <w:marLeft w:val="0"/>
      <w:marRight w:val="0"/>
      <w:marTop w:val="0"/>
      <w:marBottom w:val="120"/>
      <w:divBdr>
        <w:top w:val="none" w:sz="0" w:space="0" w:color="auto"/>
        <w:left w:val="none" w:sz="0" w:space="0" w:color="auto"/>
        <w:bottom w:val="single" w:sz="12" w:space="0" w:color="000000"/>
        <w:right w:val="none" w:sz="0" w:space="0" w:color="auto"/>
      </w:divBdr>
    </w:div>
    <w:div w:id="226183626">
      <w:marLeft w:val="0"/>
      <w:marRight w:val="0"/>
      <w:marTop w:val="0"/>
      <w:marBottom w:val="120"/>
      <w:divBdr>
        <w:top w:val="none" w:sz="0" w:space="0" w:color="auto"/>
        <w:left w:val="none" w:sz="0" w:space="0" w:color="auto"/>
        <w:bottom w:val="single" w:sz="12" w:space="0" w:color="000000"/>
        <w:right w:val="none" w:sz="0" w:space="0" w:color="auto"/>
      </w:divBdr>
    </w:div>
    <w:div w:id="323163187">
      <w:marLeft w:val="0"/>
      <w:marRight w:val="0"/>
      <w:marTop w:val="0"/>
      <w:marBottom w:val="120"/>
      <w:divBdr>
        <w:top w:val="none" w:sz="0" w:space="0" w:color="auto"/>
        <w:left w:val="none" w:sz="0" w:space="0" w:color="auto"/>
        <w:bottom w:val="single" w:sz="12" w:space="0" w:color="000000"/>
        <w:right w:val="none" w:sz="0" w:space="0" w:color="auto"/>
      </w:divBdr>
    </w:div>
    <w:div w:id="335882875">
      <w:marLeft w:val="0"/>
      <w:marRight w:val="0"/>
      <w:marTop w:val="0"/>
      <w:marBottom w:val="120"/>
      <w:divBdr>
        <w:top w:val="none" w:sz="0" w:space="0" w:color="auto"/>
        <w:left w:val="none" w:sz="0" w:space="0" w:color="auto"/>
        <w:bottom w:val="single" w:sz="12" w:space="0" w:color="000000"/>
        <w:right w:val="none" w:sz="0" w:space="0" w:color="auto"/>
      </w:divBdr>
    </w:div>
    <w:div w:id="355886721">
      <w:marLeft w:val="0"/>
      <w:marRight w:val="0"/>
      <w:marTop w:val="0"/>
      <w:marBottom w:val="120"/>
      <w:divBdr>
        <w:top w:val="none" w:sz="0" w:space="0" w:color="auto"/>
        <w:left w:val="none" w:sz="0" w:space="0" w:color="auto"/>
        <w:bottom w:val="single" w:sz="12" w:space="0" w:color="000000"/>
        <w:right w:val="none" w:sz="0" w:space="0" w:color="auto"/>
      </w:divBdr>
    </w:div>
    <w:div w:id="360981025">
      <w:marLeft w:val="0"/>
      <w:marRight w:val="0"/>
      <w:marTop w:val="0"/>
      <w:marBottom w:val="120"/>
      <w:divBdr>
        <w:top w:val="none" w:sz="0" w:space="0" w:color="auto"/>
        <w:left w:val="none" w:sz="0" w:space="0" w:color="auto"/>
        <w:bottom w:val="single" w:sz="12" w:space="0" w:color="000000"/>
        <w:right w:val="none" w:sz="0" w:space="0" w:color="auto"/>
      </w:divBdr>
    </w:div>
    <w:div w:id="371999088">
      <w:marLeft w:val="0"/>
      <w:marRight w:val="0"/>
      <w:marTop w:val="0"/>
      <w:marBottom w:val="0"/>
      <w:divBdr>
        <w:top w:val="none" w:sz="0" w:space="0" w:color="auto"/>
        <w:left w:val="none" w:sz="0" w:space="0" w:color="auto"/>
        <w:bottom w:val="none" w:sz="0" w:space="0" w:color="auto"/>
        <w:right w:val="none" w:sz="0" w:space="0" w:color="auto"/>
      </w:divBdr>
      <w:divsChild>
        <w:div w:id="602344513">
          <w:marLeft w:val="0"/>
          <w:marRight w:val="0"/>
          <w:marTop w:val="0"/>
          <w:marBottom w:val="0"/>
          <w:divBdr>
            <w:top w:val="single" w:sz="12" w:space="0" w:color="000000"/>
            <w:left w:val="none" w:sz="0" w:space="0" w:color="auto"/>
            <w:bottom w:val="single" w:sz="36" w:space="0" w:color="000000"/>
            <w:right w:val="none" w:sz="0" w:space="0" w:color="auto"/>
          </w:divBdr>
        </w:div>
      </w:divsChild>
    </w:div>
    <w:div w:id="376202049">
      <w:marLeft w:val="0"/>
      <w:marRight w:val="0"/>
      <w:marTop w:val="0"/>
      <w:marBottom w:val="120"/>
      <w:divBdr>
        <w:top w:val="none" w:sz="0" w:space="0" w:color="auto"/>
        <w:left w:val="none" w:sz="0" w:space="0" w:color="auto"/>
        <w:bottom w:val="single" w:sz="12" w:space="0" w:color="000000"/>
        <w:right w:val="none" w:sz="0" w:space="0" w:color="auto"/>
      </w:divBdr>
    </w:div>
    <w:div w:id="378824211">
      <w:marLeft w:val="0"/>
      <w:marRight w:val="0"/>
      <w:marTop w:val="0"/>
      <w:marBottom w:val="120"/>
      <w:divBdr>
        <w:top w:val="none" w:sz="0" w:space="0" w:color="auto"/>
        <w:left w:val="none" w:sz="0" w:space="0" w:color="auto"/>
        <w:bottom w:val="single" w:sz="12" w:space="0" w:color="000000"/>
        <w:right w:val="none" w:sz="0" w:space="0" w:color="auto"/>
      </w:divBdr>
    </w:div>
    <w:div w:id="401215448">
      <w:marLeft w:val="0"/>
      <w:marRight w:val="0"/>
      <w:marTop w:val="0"/>
      <w:marBottom w:val="120"/>
      <w:divBdr>
        <w:top w:val="none" w:sz="0" w:space="0" w:color="auto"/>
        <w:left w:val="none" w:sz="0" w:space="0" w:color="auto"/>
        <w:bottom w:val="single" w:sz="12" w:space="0" w:color="000000"/>
        <w:right w:val="none" w:sz="0" w:space="0" w:color="auto"/>
      </w:divBdr>
    </w:div>
    <w:div w:id="422074421">
      <w:marLeft w:val="0"/>
      <w:marRight w:val="0"/>
      <w:marTop w:val="0"/>
      <w:marBottom w:val="120"/>
      <w:divBdr>
        <w:top w:val="none" w:sz="0" w:space="0" w:color="auto"/>
        <w:left w:val="none" w:sz="0" w:space="0" w:color="auto"/>
        <w:bottom w:val="single" w:sz="12" w:space="0" w:color="000000"/>
        <w:right w:val="none" w:sz="0" w:space="0" w:color="auto"/>
      </w:divBdr>
    </w:div>
    <w:div w:id="446044010">
      <w:marLeft w:val="0"/>
      <w:marRight w:val="0"/>
      <w:marTop w:val="0"/>
      <w:marBottom w:val="120"/>
      <w:divBdr>
        <w:top w:val="none" w:sz="0" w:space="0" w:color="auto"/>
        <w:left w:val="none" w:sz="0" w:space="0" w:color="auto"/>
        <w:bottom w:val="single" w:sz="12" w:space="0" w:color="000000"/>
        <w:right w:val="none" w:sz="0" w:space="0" w:color="auto"/>
      </w:divBdr>
    </w:div>
    <w:div w:id="462618872">
      <w:marLeft w:val="0"/>
      <w:marRight w:val="0"/>
      <w:marTop w:val="0"/>
      <w:marBottom w:val="120"/>
      <w:divBdr>
        <w:top w:val="none" w:sz="0" w:space="0" w:color="auto"/>
        <w:left w:val="none" w:sz="0" w:space="0" w:color="auto"/>
        <w:bottom w:val="single" w:sz="12" w:space="0" w:color="000000"/>
        <w:right w:val="none" w:sz="0" w:space="0" w:color="auto"/>
      </w:divBdr>
    </w:div>
    <w:div w:id="484977614">
      <w:marLeft w:val="0"/>
      <w:marRight w:val="0"/>
      <w:marTop w:val="0"/>
      <w:marBottom w:val="120"/>
      <w:divBdr>
        <w:top w:val="none" w:sz="0" w:space="0" w:color="auto"/>
        <w:left w:val="none" w:sz="0" w:space="0" w:color="auto"/>
        <w:bottom w:val="single" w:sz="12" w:space="0" w:color="000000"/>
        <w:right w:val="none" w:sz="0" w:space="0" w:color="auto"/>
      </w:divBdr>
    </w:div>
    <w:div w:id="505706254">
      <w:marLeft w:val="0"/>
      <w:marRight w:val="0"/>
      <w:marTop w:val="0"/>
      <w:marBottom w:val="120"/>
      <w:divBdr>
        <w:top w:val="none" w:sz="0" w:space="0" w:color="auto"/>
        <w:left w:val="none" w:sz="0" w:space="0" w:color="auto"/>
        <w:bottom w:val="single" w:sz="12" w:space="0" w:color="000000"/>
        <w:right w:val="none" w:sz="0" w:space="0" w:color="auto"/>
      </w:divBdr>
    </w:div>
    <w:div w:id="536965351">
      <w:marLeft w:val="0"/>
      <w:marRight w:val="0"/>
      <w:marTop w:val="0"/>
      <w:marBottom w:val="120"/>
      <w:divBdr>
        <w:top w:val="none" w:sz="0" w:space="0" w:color="auto"/>
        <w:left w:val="none" w:sz="0" w:space="0" w:color="auto"/>
        <w:bottom w:val="single" w:sz="12" w:space="0" w:color="000000"/>
        <w:right w:val="none" w:sz="0" w:space="0" w:color="auto"/>
      </w:divBdr>
    </w:div>
    <w:div w:id="545528833">
      <w:marLeft w:val="0"/>
      <w:marRight w:val="0"/>
      <w:marTop w:val="0"/>
      <w:marBottom w:val="120"/>
      <w:divBdr>
        <w:top w:val="none" w:sz="0" w:space="0" w:color="auto"/>
        <w:left w:val="none" w:sz="0" w:space="0" w:color="auto"/>
        <w:bottom w:val="single" w:sz="12" w:space="0" w:color="000000"/>
        <w:right w:val="none" w:sz="0" w:space="0" w:color="auto"/>
      </w:divBdr>
    </w:div>
    <w:div w:id="554195724">
      <w:marLeft w:val="0"/>
      <w:marRight w:val="0"/>
      <w:marTop w:val="0"/>
      <w:marBottom w:val="120"/>
      <w:divBdr>
        <w:top w:val="none" w:sz="0" w:space="0" w:color="auto"/>
        <w:left w:val="none" w:sz="0" w:space="0" w:color="auto"/>
        <w:bottom w:val="single" w:sz="12" w:space="0" w:color="000000"/>
        <w:right w:val="none" w:sz="0" w:space="0" w:color="auto"/>
      </w:divBdr>
    </w:div>
    <w:div w:id="578098635">
      <w:marLeft w:val="0"/>
      <w:marRight w:val="0"/>
      <w:marTop w:val="0"/>
      <w:marBottom w:val="120"/>
      <w:divBdr>
        <w:top w:val="none" w:sz="0" w:space="0" w:color="auto"/>
        <w:left w:val="none" w:sz="0" w:space="0" w:color="auto"/>
        <w:bottom w:val="single" w:sz="12" w:space="0" w:color="000000"/>
        <w:right w:val="none" w:sz="0" w:space="0" w:color="auto"/>
      </w:divBdr>
    </w:div>
    <w:div w:id="579411178">
      <w:marLeft w:val="0"/>
      <w:marRight w:val="0"/>
      <w:marTop w:val="0"/>
      <w:marBottom w:val="120"/>
      <w:divBdr>
        <w:top w:val="none" w:sz="0" w:space="0" w:color="auto"/>
        <w:left w:val="none" w:sz="0" w:space="0" w:color="auto"/>
        <w:bottom w:val="single" w:sz="12" w:space="0" w:color="000000"/>
        <w:right w:val="none" w:sz="0" w:space="0" w:color="auto"/>
      </w:divBdr>
    </w:div>
    <w:div w:id="579563595">
      <w:marLeft w:val="0"/>
      <w:marRight w:val="0"/>
      <w:marTop w:val="0"/>
      <w:marBottom w:val="120"/>
      <w:divBdr>
        <w:top w:val="none" w:sz="0" w:space="0" w:color="auto"/>
        <w:left w:val="none" w:sz="0" w:space="0" w:color="auto"/>
        <w:bottom w:val="single" w:sz="12" w:space="0" w:color="000000"/>
        <w:right w:val="none" w:sz="0" w:space="0" w:color="auto"/>
      </w:divBdr>
    </w:div>
    <w:div w:id="609776404">
      <w:marLeft w:val="0"/>
      <w:marRight w:val="0"/>
      <w:marTop w:val="0"/>
      <w:marBottom w:val="120"/>
      <w:divBdr>
        <w:top w:val="none" w:sz="0" w:space="0" w:color="auto"/>
        <w:left w:val="none" w:sz="0" w:space="0" w:color="auto"/>
        <w:bottom w:val="single" w:sz="12" w:space="0" w:color="000000"/>
        <w:right w:val="none" w:sz="0" w:space="0" w:color="auto"/>
      </w:divBdr>
    </w:div>
    <w:div w:id="629672450">
      <w:marLeft w:val="0"/>
      <w:marRight w:val="0"/>
      <w:marTop w:val="0"/>
      <w:marBottom w:val="120"/>
      <w:divBdr>
        <w:top w:val="none" w:sz="0" w:space="0" w:color="auto"/>
        <w:left w:val="none" w:sz="0" w:space="0" w:color="auto"/>
        <w:bottom w:val="single" w:sz="12" w:space="0" w:color="000000"/>
        <w:right w:val="none" w:sz="0" w:space="0" w:color="auto"/>
      </w:divBdr>
    </w:div>
    <w:div w:id="632520277">
      <w:marLeft w:val="0"/>
      <w:marRight w:val="0"/>
      <w:marTop w:val="0"/>
      <w:marBottom w:val="120"/>
      <w:divBdr>
        <w:top w:val="none" w:sz="0" w:space="0" w:color="auto"/>
        <w:left w:val="none" w:sz="0" w:space="0" w:color="auto"/>
        <w:bottom w:val="single" w:sz="12" w:space="0" w:color="000000"/>
        <w:right w:val="none" w:sz="0" w:space="0" w:color="auto"/>
      </w:divBdr>
    </w:div>
    <w:div w:id="636648431">
      <w:marLeft w:val="0"/>
      <w:marRight w:val="0"/>
      <w:marTop w:val="0"/>
      <w:marBottom w:val="120"/>
      <w:divBdr>
        <w:top w:val="none" w:sz="0" w:space="0" w:color="auto"/>
        <w:left w:val="none" w:sz="0" w:space="0" w:color="auto"/>
        <w:bottom w:val="single" w:sz="12" w:space="0" w:color="000000"/>
        <w:right w:val="none" w:sz="0" w:space="0" w:color="auto"/>
      </w:divBdr>
    </w:div>
    <w:div w:id="678893020">
      <w:marLeft w:val="0"/>
      <w:marRight w:val="0"/>
      <w:marTop w:val="0"/>
      <w:marBottom w:val="120"/>
      <w:divBdr>
        <w:top w:val="none" w:sz="0" w:space="0" w:color="auto"/>
        <w:left w:val="none" w:sz="0" w:space="0" w:color="auto"/>
        <w:bottom w:val="single" w:sz="12" w:space="0" w:color="000000"/>
        <w:right w:val="none" w:sz="0" w:space="0" w:color="auto"/>
      </w:divBdr>
    </w:div>
    <w:div w:id="688724948">
      <w:marLeft w:val="0"/>
      <w:marRight w:val="0"/>
      <w:marTop w:val="0"/>
      <w:marBottom w:val="120"/>
      <w:divBdr>
        <w:top w:val="none" w:sz="0" w:space="0" w:color="auto"/>
        <w:left w:val="none" w:sz="0" w:space="0" w:color="auto"/>
        <w:bottom w:val="single" w:sz="12" w:space="0" w:color="000000"/>
        <w:right w:val="none" w:sz="0" w:space="0" w:color="auto"/>
      </w:divBdr>
    </w:div>
    <w:div w:id="765267298">
      <w:marLeft w:val="0"/>
      <w:marRight w:val="0"/>
      <w:marTop w:val="0"/>
      <w:marBottom w:val="120"/>
      <w:divBdr>
        <w:top w:val="none" w:sz="0" w:space="0" w:color="auto"/>
        <w:left w:val="none" w:sz="0" w:space="0" w:color="auto"/>
        <w:bottom w:val="single" w:sz="12" w:space="0" w:color="000000"/>
        <w:right w:val="none" w:sz="0" w:space="0" w:color="auto"/>
      </w:divBdr>
    </w:div>
    <w:div w:id="786000103">
      <w:marLeft w:val="0"/>
      <w:marRight w:val="0"/>
      <w:marTop w:val="0"/>
      <w:marBottom w:val="120"/>
      <w:divBdr>
        <w:top w:val="none" w:sz="0" w:space="0" w:color="auto"/>
        <w:left w:val="none" w:sz="0" w:space="0" w:color="auto"/>
        <w:bottom w:val="single" w:sz="12" w:space="0" w:color="000000"/>
        <w:right w:val="none" w:sz="0" w:space="0" w:color="auto"/>
      </w:divBdr>
    </w:div>
    <w:div w:id="791901919">
      <w:marLeft w:val="0"/>
      <w:marRight w:val="0"/>
      <w:marTop w:val="0"/>
      <w:marBottom w:val="120"/>
      <w:divBdr>
        <w:top w:val="none" w:sz="0" w:space="0" w:color="auto"/>
        <w:left w:val="none" w:sz="0" w:space="0" w:color="auto"/>
        <w:bottom w:val="single" w:sz="12" w:space="0" w:color="000000"/>
        <w:right w:val="none" w:sz="0" w:space="0" w:color="auto"/>
      </w:divBdr>
    </w:div>
    <w:div w:id="793522819">
      <w:marLeft w:val="0"/>
      <w:marRight w:val="0"/>
      <w:marTop w:val="0"/>
      <w:marBottom w:val="120"/>
      <w:divBdr>
        <w:top w:val="none" w:sz="0" w:space="0" w:color="auto"/>
        <w:left w:val="none" w:sz="0" w:space="0" w:color="auto"/>
        <w:bottom w:val="single" w:sz="12" w:space="0" w:color="000000"/>
        <w:right w:val="none" w:sz="0" w:space="0" w:color="auto"/>
      </w:divBdr>
    </w:div>
    <w:div w:id="793787848">
      <w:marLeft w:val="0"/>
      <w:marRight w:val="0"/>
      <w:marTop w:val="0"/>
      <w:marBottom w:val="120"/>
      <w:divBdr>
        <w:top w:val="none" w:sz="0" w:space="0" w:color="auto"/>
        <w:left w:val="none" w:sz="0" w:space="0" w:color="auto"/>
        <w:bottom w:val="single" w:sz="12" w:space="0" w:color="000000"/>
        <w:right w:val="none" w:sz="0" w:space="0" w:color="auto"/>
      </w:divBdr>
    </w:div>
    <w:div w:id="796724338">
      <w:marLeft w:val="0"/>
      <w:marRight w:val="0"/>
      <w:marTop w:val="0"/>
      <w:marBottom w:val="120"/>
      <w:divBdr>
        <w:top w:val="none" w:sz="0" w:space="0" w:color="auto"/>
        <w:left w:val="none" w:sz="0" w:space="0" w:color="auto"/>
        <w:bottom w:val="single" w:sz="12" w:space="0" w:color="000000"/>
        <w:right w:val="none" w:sz="0" w:space="0" w:color="auto"/>
      </w:divBdr>
    </w:div>
    <w:div w:id="875310660">
      <w:marLeft w:val="0"/>
      <w:marRight w:val="0"/>
      <w:marTop w:val="0"/>
      <w:marBottom w:val="120"/>
      <w:divBdr>
        <w:top w:val="none" w:sz="0" w:space="0" w:color="auto"/>
        <w:left w:val="none" w:sz="0" w:space="0" w:color="auto"/>
        <w:bottom w:val="single" w:sz="12" w:space="0" w:color="000000"/>
        <w:right w:val="none" w:sz="0" w:space="0" w:color="auto"/>
      </w:divBdr>
    </w:div>
    <w:div w:id="879782084">
      <w:marLeft w:val="0"/>
      <w:marRight w:val="0"/>
      <w:marTop w:val="0"/>
      <w:marBottom w:val="120"/>
      <w:divBdr>
        <w:top w:val="none" w:sz="0" w:space="0" w:color="auto"/>
        <w:left w:val="none" w:sz="0" w:space="0" w:color="auto"/>
        <w:bottom w:val="single" w:sz="12" w:space="0" w:color="000000"/>
        <w:right w:val="none" w:sz="0" w:space="0" w:color="auto"/>
      </w:divBdr>
    </w:div>
    <w:div w:id="887767049">
      <w:marLeft w:val="0"/>
      <w:marRight w:val="0"/>
      <w:marTop w:val="0"/>
      <w:marBottom w:val="120"/>
      <w:divBdr>
        <w:top w:val="none" w:sz="0" w:space="0" w:color="auto"/>
        <w:left w:val="none" w:sz="0" w:space="0" w:color="auto"/>
        <w:bottom w:val="single" w:sz="12" w:space="0" w:color="000000"/>
        <w:right w:val="none" w:sz="0" w:space="0" w:color="auto"/>
      </w:divBdr>
    </w:div>
    <w:div w:id="891311852">
      <w:marLeft w:val="0"/>
      <w:marRight w:val="0"/>
      <w:marTop w:val="0"/>
      <w:marBottom w:val="120"/>
      <w:divBdr>
        <w:top w:val="none" w:sz="0" w:space="0" w:color="auto"/>
        <w:left w:val="none" w:sz="0" w:space="0" w:color="auto"/>
        <w:bottom w:val="single" w:sz="12" w:space="0" w:color="000000"/>
        <w:right w:val="none" w:sz="0" w:space="0" w:color="auto"/>
      </w:divBdr>
    </w:div>
    <w:div w:id="941955032">
      <w:marLeft w:val="0"/>
      <w:marRight w:val="0"/>
      <w:marTop w:val="0"/>
      <w:marBottom w:val="120"/>
      <w:divBdr>
        <w:top w:val="none" w:sz="0" w:space="0" w:color="auto"/>
        <w:left w:val="none" w:sz="0" w:space="0" w:color="auto"/>
        <w:bottom w:val="single" w:sz="12" w:space="0" w:color="000000"/>
        <w:right w:val="none" w:sz="0" w:space="0" w:color="auto"/>
      </w:divBdr>
    </w:div>
    <w:div w:id="943465575">
      <w:marLeft w:val="0"/>
      <w:marRight w:val="0"/>
      <w:marTop w:val="0"/>
      <w:marBottom w:val="120"/>
      <w:divBdr>
        <w:top w:val="none" w:sz="0" w:space="0" w:color="auto"/>
        <w:left w:val="none" w:sz="0" w:space="0" w:color="auto"/>
        <w:bottom w:val="single" w:sz="12" w:space="0" w:color="000000"/>
        <w:right w:val="none" w:sz="0" w:space="0" w:color="auto"/>
      </w:divBdr>
    </w:div>
    <w:div w:id="963190893">
      <w:marLeft w:val="0"/>
      <w:marRight w:val="0"/>
      <w:marTop w:val="0"/>
      <w:marBottom w:val="120"/>
      <w:divBdr>
        <w:top w:val="none" w:sz="0" w:space="0" w:color="auto"/>
        <w:left w:val="none" w:sz="0" w:space="0" w:color="auto"/>
        <w:bottom w:val="single" w:sz="12" w:space="0" w:color="000000"/>
        <w:right w:val="none" w:sz="0" w:space="0" w:color="auto"/>
      </w:divBdr>
    </w:div>
    <w:div w:id="989015255">
      <w:marLeft w:val="0"/>
      <w:marRight w:val="0"/>
      <w:marTop w:val="0"/>
      <w:marBottom w:val="120"/>
      <w:divBdr>
        <w:top w:val="none" w:sz="0" w:space="0" w:color="auto"/>
        <w:left w:val="none" w:sz="0" w:space="0" w:color="auto"/>
        <w:bottom w:val="single" w:sz="12" w:space="0" w:color="000000"/>
        <w:right w:val="none" w:sz="0" w:space="0" w:color="auto"/>
      </w:divBdr>
    </w:div>
    <w:div w:id="992411750">
      <w:marLeft w:val="0"/>
      <w:marRight w:val="0"/>
      <w:marTop w:val="0"/>
      <w:marBottom w:val="120"/>
      <w:divBdr>
        <w:top w:val="none" w:sz="0" w:space="0" w:color="auto"/>
        <w:left w:val="none" w:sz="0" w:space="0" w:color="auto"/>
        <w:bottom w:val="single" w:sz="12" w:space="0" w:color="000000"/>
        <w:right w:val="none" w:sz="0" w:space="0" w:color="auto"/>
      </w:divBdr>
    </w:div>
    <w:div w:id="1073357603">
      <w:marLeft w:val="0"/>
      <w:marRight w:val="0"/>
      <w:marTop w:val="0"/>
      <w:marBottom w:val="120"/>
      <w:divBdr>
        <w:top w:val="none" w:sz="0" w:space="0" w:color="auto"/>
        <w:left w:val="none" w:sz="0" w:space="0" w:color="auto"/>
        <w:bottom w:val="single" w:sz="12" w:space="0" w:color="000000"/>
        <w:right w:val="none" w:sz="0" w:space="0" w:color="auto"/>
      </w:divBdr>
    </w:div>
    <w:div w:id="1083064918">
      <w:marLeft w:val="0"/>
      <w:marRight w:val="0"/>
      <w:marTop w:val="0"/>
      <w:marBottom w:val="120"/>
      <w:divBdr>
        <w:top w:val="none" w:sz="0" w:space="0" w:color="auto"/>
        <w:left w:val="none" w:sz="0" w:space="0" w:color="auto"/>
        <w:bottom w:val="single" w:sz="12" w:space="0" w:color="000000"/>
        <w:right w:val="none" w:sz="0" w:space="0" w:color="auto"/>
      </w:divBdr>
    </w:div>
    <w:div w:id="1120105767">
      <w:marLeft w:val="0"/>
      <w:marRight w:val="0"/>
      <w:marTop w:val="0"/>
      <w:marBottom w:val="120"/>
      <w:divBdr>
        <w:top w:val="none" w:sz="0" w:space="0" w:color="auto"/>
        <w:left w:val="none" w:sz="0" w:space="0" w:color="auto"/>
        <w:bottom w:val="single" w:sz="12" w:space="0" w:color="000000"/>
        <w:right w:val="none" w:sz="0" w:space="0" w:color="auto"/>
      </w:divBdr>
    </w:div>
    <w:div w:id="1124494751">
      <w:marLeft w:val="0"/>
      <w:marRight w:val="0"/>
      <w:marTop w:val="0"/>
      <w:marBottom w:val="120"/>
      <w:divBdr>
        <w:top w:val="none" w:sz="0" w:space="0" w:color="auto"/>
        <w:left w:val="none" w:sz="0" w:space="0" w:color="auto"/>
        <w:bottom w:val="single" w:sz="12" w:space="0" w:color="000000"/>
        <w:right w:val="none" w:sz="0" w:space="0" w:color="auto"/>
      </w:divBdr>
    </w:div>
    <w:div w:id="1185482046">
      <w:marLeft w:val="0"/>
      <w:marRight w:val="0"/>
      <w:marTop w:val="0"/>
      <w:marBottom w:val="120"/>
      <w:divBdr>
        <w:top w:val="none" w:sz="0" w:space="0" w:color="auto"/>
        <w:left w:val="none" w:sz="0" w:space="0" w:color="auto"/>
        <w:bottom w:val="single" w:sz="12" w:space="0" w:color="000000"/>
        <w:right w:val="none" w:sz="0" w:space="0" w:color="auto"/>
      </w:divBdr>
    </w:div>
    <w:div w:id="1205168496">
      <w:marLeft w:val="0"/>
      <w:marRight w:val="0"/>
      <w:marTop w:val="0"/>
      <w:marBottom w:val="120"/>
      <w:divBdr>
        <w:top w:val="none" w:sz="0" w:space="0" w:color="auto"/>
        <w:left w:val="none" w:sz="0" w:space="0" w:color="auto"/>
        <w:bottom w:val="single" w:sz="12" w:space="0" w:color="000000"/>
        <w:right w:val="none" w:sz="0" w:space="0" w:color="auto"/>
      </w:divBdr>
    </w:div>
    <w:div w:id="1231112417">
      <w:marLeft w:val="0"/>
      <w:marRight w:val="0"/>
      <w:marTop w:val="0"/>
      <w:marBottom w:val="120"/>
      <w:divBdr>
        <w:top w:val="none" w:sz="0" w:space="0" w:color="auto"/>
        <w:left w:val="none" w:sz="0" w:space="0" w:color="auto"/>
        <w:bottom w:val="single" w:sz="12" w:space="0" w:color="000000"/>
        <w:right w:val="none" w:sz="0" w:space="0" w:color="auto"/>
      </w:divBdr>
    </w:div>
    <w:div w:id="1286735013">
      <w:marLeft w:val="0"/>
      <w:marRight w:val="0"/>
      <w:marTop w:val="0"/>
      <w:marBottom w:val="120"/>
      <w:divBdr>
        <w:top w:val="none" w:sz="0" w:space="0" w:color="auto"/>
        <w:left w:val="none" w:sz="0" w:space="0" w:color="auto"/>
        <w:bottom w:val="single" w:sz="12" w:space="0" w:color="000000"/>
        <w:right w:val="none" w:sz="0" w:space="0" w:color="auto"/>
      </w:divBdr>
    </w:div>
    <w:div w:id="1328822820">
      <w:marLeft w:val="0"/>
      <w:marRight w:val="0"/>
      <w:marTop w:val="0"/>
      <w:marBottom w:val="0"/>
      <w:divBdr>
        <w:top w:val="none" w:sz="0" w:space="0" w:color="auto"/>
        <w:left w:val="none" w:sz="0" w:space="0" w:color="auto"/>
        <w:bottom w:val="none" w:sz="0" w:space="0" w:color="auto"/>
        <w:right w:val="none" w:sz="0" w:space="0" w:color="auto"/>
      </w:divBdr>
    </w:div>
    <w:div w:id="1335377674">
      <w:marLeft w:val="0"/>
      <w:marRight w:val="0"/>
      <w:marTop w:val="0"/>
      <w:marBottom w:val="120"/>
      <w:divBdr>
        <w:top w:val="none" w:sz="0" w:space="0" w:color="auto"/>
        <w:left w:val="none" w:sz="0" w:space="0" w:color="auto"/>
        <w:bottom w:val="single" w:sz="12" w:space="0" w:color="000000"/>
        <w:right w:val="none" w:sz="0" w:space="0" w:color="auto"/>
      </w:divBdr>
    </w:div>
    <w:div w:id="1349722449">
      <w:marLeft w:val="0"/>
      <w:marRight w:val="0"/>
      <w:marTop w:val="0"/>
      <w:marBottom w:val="120"/>
      <w:divBdr>
        <w:top w:val="none" w:sz="0" w:space="0" w:color="auto"/>
        <w:left w:val="none" w:sz="0" w:space="0" w:color="auto"/>
        <w:bottom w:val="single" w:sz="12" w:space="0" w:color="000000"/>
        <w:right w:val="none" w:sz="0" w:space="0" w:color="auto"/>
      </w:divBdr>
    </w:div>
    <w:div w:id="1362853065">
      <w:marLeft w:val="0"/>
      <w:marRight w:val="0"/>
      <w:marTop w:val="0"/>
      <w:marBottom w:val="120"/>
      <w:divBdr>
        <w:top w:val="none" w:sz="0" w:space="0" w:color="auto"/>
        <w:left w:val="none" w:sz="0" w:space="0" w:color="auto"/>
        <w:bottom w:val="single" w:sz="12" w:space="0" w:color="000000"/>
        <w:right w:val="none" w:sz="0" w:space="0" w:color="auto"/>
      </w:divBdr>
    </w:div>
    <w:div w:id="1363362167">
      <w:marLeft w:val="0"/>
      <w:marRight w:val="0"/>
      <w:marTop w:val="0"/>
      <w:marBottom w:val="120"/>
      <w:divBdr>
        <w:top w:val="none" w:sz="0" w:space="0" w:color="auto"/>
        <w:left w:val="none" w:sz="0" w:space="0" w:color="auto"/>
        <w:bottom w:val="single" w:sz="12" w:space="0" w:color="000000"/>
        <w:right w:val="none" w:sz="0" w:space="0" w:color="auto"/>
      </w:divBdr>
    </w:div>
    <w:div w:id="1419667809">
      <w:marLeft w:val="0"/>
      <w:marRight w:val="0"/>
      <w:marTop w:val="0"/>
      <w:marBottom w:val="120"/>
      <w:divBdr>
        <w:top w:val="none" w:sz="0" w:space="0" w:color="auto"/>
        <w:left w:val="none" w:sz="0" w:space="0" w:color="auto"/>
        <w:bottom w:val="single" w:sz="12" w:space="0" w:color="000000"/>
        <w:right w:val="none" w:sz="0" w:space="0" w:color="auto"/>
      </w:divBdr>
    </w:div>
    <w:div w:id="1423260175">
      <w:marLeft w:val="0"/>
      <w:marRight w:val="0"/>
      <w:marTop w:val="0"/>
      <w:marBottom w:val="120"/>
      <w:divBdr>
        <w:top w:val="none" w:sz="0" w:space="0" w:color="auto"/>
        <w:left w:val="none" w:sz="0" w:space="0" w:color="auto"/>
        <w:bottom w:val="single" w:sz="12" w:space="0" w:color="000000"/>
        <w:right w:val="none" w:sz="0" w:space="0" w:color="auto"/>
      </w:divBdr>
    </w:div>
    <w:div w:id="1438333496">
      <w:marLeft w:val="0"/>
      <w:marRight w:val="0"/>
      <w:marTop w:val="0"/>
      <w:marBottom w:val="120"/>
      <w:divBdr>
        <w:top w:val="none" w:sz="0" w:space="0" w:color="auto"/>
        <w:left w:val="none" w:sz="0" w:space="0" w:color="auto"/>
        <w:bottom w:val="single" w:sz="12" w:space="0" w:color="000000"/>
        <w:right w:val="none" w:sz="0" w:space="0" w:color="auto"/>
      </w:divBdr>
    </w:div>
    <w:div w:id="1464890255">
      <w:marLeft w:val="0"/>
      <w:marRight w:val="0"/>
      <w:marTop w:val="0"/>
      <w:marBottom w:val="120"/>
      <w:divBdr>
        <w:top w:val="none" w:sz="0" w:space="0" w:color="auto"/>
        <w:left w:val="none" w:sz="0" w:space="0" w:color="auto"/>
        <w:bottom w:val="single" w:sz="12" w:space="0" w:color="000000"/>
        <w:right w:val="none" w:sz="0" w:space="0" w:color="auto"/>
      </w:divBdr>
    </w:div>
    <w:div w:id="1486163575">
      <w:marLeft w:val="0"/>
      <w:marRight w:val="0"/>
      <w:marTop w:val="0"/>
      <w:marBottom w:val="120"/>
      <w:divBdr>
        <w:top w:val="none" w:sz="0" w:space="0" w:color="auto"/>
        <w:left w:val="none" w:sz="0" w:space="0" w:color="auto"/>
        <w:bottom w:val="single" w:sz="12" w:space="0" w:color="000000"/>
        <w:right w:val="none" w:sz="0" w:space="0" w:color="auto"/>
      </w:divBdr>
    </w:div>
    <w:div w:id="1489589377">
      <w:marLeft w:val="0"/>
      <w:marRight w:val="0"/>
      <w:marTop w:val="0"/>
      <w:marBottom w:val="120"/>
      <w:divBdr>
        <w:top w:val="none" w:sz="0" w:space="0" w:color="auto"/>
        <w:left w:val="none" w:sz="0" w:space="0" w:color="auto"/>
        <w:bottom w:val="single" w:sz="12" w:space="0" w:color="000000"/>
        <w:right w:val="none" w:sz="0" w:space="0" w:color="auto"/>
      </w:divBdr>
    </w:div>
    <w:div w:id="1558316267">
      <w:marLeft w:val="0"/>
      <w:marRight w:val="0"/>
      <w:marTop w:val="0"/>
      <w:marBottom w:val="120"/>
      <w:divBdr>
        <w:top w:val="none" w:sz="0" w:space="0" w:color="auto"/>
        <w:left w:val="none" w:sz="0" w:space="0" w:color="auto"/>
        <w:bottom w:val="single" w:sz="12" w:space="0" w:color="000000"/>
        <w:right w:val="none" w:sz="0" w:space="0" w:color="auto"/>
      </w:divBdr>
    </w:div>
    <w:div w:id="1578440233">
      <w:marLeft w:val="0"/>
      <w:marRight w:val="0"/>
      <w:marTop w:val="0"/>
      <w:marBottom w:val="120"/>
      <w:divBdr>
        <w:top w:val="none" w:sz="0" w:space="0" w:color="auto"/>
        <w:left w:val="none" w:sz="0" w:space="0" w:color="auto"/>
        <w:bottom w:val="single" w:sz="12" w:space="0" w:color="000000"/>
        <w:right w:val="none" w:sz="0" w:space="0" w:color="auto"/>
      </w:divBdr>
    </w:div>
    <w:div w:id="1618102173">
      <w:marLeft w:val="0"/>
      <w:marRight w:val="0"/>
      <w:marTop w:val="0"/>
      <w:marBottom w:val="120"/>
      <w:divBdr>
        <w:top w:val="none" w:sz="0" w:space="0" w:color="auto"/>
        <w:left w:val="none" w:sz="0" w:space="0" w:color="auto"/>
        <w:bottom w:val="single" w:sz="12" w:space="0" w:color="000000"/>
        <w:right w:val="none" w:sz="0" w:space="0" w:color="auto"/>
      </w:divBdr>
    </w:div>
    <w:div w:id="1626542030">
      <w:marLeft w:val="0"/>
      <w:marRight w:val="0"/>
      <w:marTop w:val="0"/>
      <w:marBottom w:val="0"/>
      <w:divBdr>
        <w:top w:val="none" w:sz="0" w:space="0" w:color="auto"/>
        <w:left w:val="none" w:sz="0" w:space="0" w:color="auto"/>
        <w:bottom w:val="none" w:sz="0" w:space="0" w:color="auto"/>
        <w:right w:val="none" w:sz="0" w:space="0" w:color="auto"/>
      </w:divBdr>
      <w:divsChild>
        <w:div w:id="1796869871">
          <w:marLeft w:val="0"/>
          <w:marRight w:val="0"/>
          <w:marTop w:val="0"/>
          <w:marBottom w:val="0"/>
          <w:divBdr>
            <w:top w:val="single" w:sz="12" w:space="0" w:color="000000"/>
            <w:left w:val="none" w:sz="0" w:space="0" w:color="auto"/>
            <w:bottom w:val="none" w:sz="0" w:space="0" w:color="auto"/>
            <w:right w:val="none" w:sz="0" w:space="0" w:color="auto"/>
          </w:divBdr>
        </w:div>
      </w:divsChild>
    </w:div>
    <w:div w:id="1651523636">
      <w:marLeft w:val="0"/>
      <w:marRight w:val="0"/>
      <w:marTop w:val="0"/>
      <w:marBottom w:val="120"/>
      <w:divBdr>
        <w:top w:val="none" w:sz="0" w:space="0" w:color="auto"/>
        <w:left w:val="none" w:sz="0" w:space="0" w:color="auto"/>
        <w:bottom w:val="single" w:sz="12" w:space="0" w:color="000000"/>
        <w:right w:val="none" w:sz="0" w:space="0" w:color="auto"/>
      </w:divBdr>
    </w:div>
    <w:div w:id="1661227239">
      <w:marLeft w:val="0"/>
      <w:marRight w:val="0"/>
      <w:marTop w:val="0"/>
      <w:marBottom w:val="120"/>
      <w:divBdr>
        <w:top w:val="none" w:sz="0" w:space="0" w:color="auto"/>
        <w:left w:val="none" w:sz="0" w:space="0" w:color="auto"/>
        <w:bottom w:val="single" w:sz="12" w:space="0" w:color="000000"/>
        <w:right w:val="none" w:sz="0" w:space="0" w:color="auto"/>
      </w:divBdr>
    </w:div>
    <w:div w:id="1698773624">
      <w:marLeft w:val="0"/>
      <w:marRight w:val="0"/>
      <w:marTop w:val="0"/>
      <w:marBottom w:val="120"/>
      <w:divBdr>
        <w:top w:val="none" w:sz="0" w:space="0" w:color="auto"/>
        <w:left w:val="none" w:sz="0" w:space="0" w:color="auto"/>
        <w:bottom w:val="single" w:sz="12" w:space="0" w:color="000000"/>
        <w:right w:val="none" w:sz="0" w:space="0" w:color="auto"/>
      </w:divBdr>
    </w:div>
    <w:div w:id="1704358458">
      <w:marLeft w:val="0"/>
      <w:marRight w:val="0"/>
      <w:marTop w:val="0"/>
      <w:marBottom w:val="120"/>
      <w:divBdr>
        <w:top w:val="none" w:sz="0" w:space="0" w:color="auto"/>
        <w:left w:val="none" w:sz="0" w:space="0" w:color="auto"/>
        <w:bottom w:val="single" w:sz="12" w:space="0" w:color="000000"/>
        <w:right w:val="none" w:sz="0" w:space="0" w:color="auto"/>
      </w:divBdr>
    </w:div>
    <w:div w:id="1725523195">
      <w:marLeft w:val="0"/>
      <w:marRight w:val="0"/>
      <w:marTop w:val="0"/>
      <w:marBottom w:val="120"/>
      <w:divBdr>
        <w:top w:val="none" w:sz="0" w:space="0" w:color="auto"/>
        <w:left w:val="none" w:sz="0" w:space="0" w:color="auto"/>
        <w:bottom w:val="single" w:sz="12" w:space="0" w:color="000000"/>
        <w:right w:val="none" w:sz="0" w:space="0" w:color="auto"/>
      </w:divBdr>
    </w:div>
    <w:div w:id="1768695345">
      <w:marLeft w:val="0"/>
      <w:marRight w:val="0"/>
      <w:marTop w:val="0"/>
      <w:marBottom w:val="120"/>
      <w:divBdr>
        <w:top w:val="none" w:sz="0" w:space="0" w:color="auto"/>
        <w:left w:val="none" w:sz="0" w:space="0" w:color="auto"/>
        <w:bottom w:val="single" w:sz="12" w:space="0" w:color="000000"/>
        <w:right w:val="none" w:sz="0" w:space="0" w:color="auto"/>
      </w:divBdr>
    </w:div>
    <w:div w:id="1834102203">
      <w:marLeft w:val="0"/>
      <w:marRight w:val="0"/>
      <w:marTop w:val="0"/>
      <w:marBottom w:val="120"/>
      <w:divBdr>
        <w:top w:val="none" w:sz="0" w:space="0" w:color="auto"/>
        <w:left w:val="none" w:sz="0" w:space="0" w:color="auto"/>
        <w:bottom w:val="single" w:sz="12" w:space="0" w:color="000000"/>
        <w:right w:val="none" w:sz="0" w:space="0" w:color="auto"/>
      </w:divBdr>
    </w:div>
    <w:div w:id="1848982937">
      <w:marLeft w:val="0"/>
      <w:marRight w:val="0"/>
      <w:marTop w:val="0"/>
      <w:marBottom w:val="120"/>
      <w:divBdr>
        <w:top w:val="none" w:sz="0" w:space="0" w:color="auto"/>
        <w:left w:val="none" w:sz="0" w:space="0" w:color="auto"/>
        <w:bottom w:val="single" w:sz="12" w:space="0" w:color="000000"/>
        <w:right w:val="none" w:sz="0" w:space="0" w:color="auto"/>
      </w:divBdr>
    </w:div>
    <w:div w:id="1874614880">
      <w:marLeft w:val="0"/>
      <w:marRight w:val="0"/>
      <w:marTop w:val="0"/>
      <w:marBottom w:val="120"/>
      <w:divBdr>
        <w:top w:val="none" w:sz="0" w:space="0" w:color="auto"/>
        <w:left w:val="none" w:sz="0" w:space="0" w:color="auto"/>
        <w:bottom w:val="single" w:sz="12" w:space="0" w:color="000000"/>
        <w:right w:val="none" w:sz="0" w:space="0" w:color="auto"/>
      </w:divBdr>
    </w:div>
    <w:div w:id="1879321396">
      <w:marLeft w:val="0"/>
      <w:marRight w:val="0"/>
      <w:marTop w:val="0"/>
      <w:marBottom w:val="0"/>
      <w:divBdr>
        <w:top w:val="none" w:sz="0" w:space="0" w:color="auto"/>
        <w:left w:val="none" w:sz="0" w:space="0" w:color="auto"/>
        <w:bottom w:val="none" w:sz="0" w:space="0" w:color="auto"/>
        <w:right w:val="none" w:sz="0" w:space="0" w:color="auto"/>
      </w:divBdr>
      <w:divsChild>
        <w:div w:id="289288452">
          <w:marLeft w:val="0"/>
          <w:marRight w:val="0"/>
          <w:marTop w:val="0"/>
          <w:marBottom w:val="0"/>
          <w:divBdr>
            <w:top w:val="single" w:sz="36" w:space="0" w:color="000000"/>
            <w:left w:val="none" w:sz="0" w:space="0" w:color="auto"/>
            <w:bottom w:val="single" w:sz="12" w:space="0" w:color="000000"/>
            <w:right w:val="none" w:sz="0" w:space="0" w:color="auto"/>
          </w:divBdr>
        </w:div>
      </w:divsChild>
    </w:div>
    <w:div w:id="1884825207">
      <w:marLeft w:val="0"/>
      <w:marRight w:val="0"/>
      <w:marTop w:val="0"/>
      <w:marBottom w:val="120"/>
      <w:divBdr>
        <w:top w:val="none" w:sz="0" w:space="0" w:color="auto"/>
        <w:left w:val="none" w:sz="0" w:space="0" w:color="auto"/>
        <w:bottom w:val="single" w:sz="12" w:space="0" w:color="000000"/>
        <w:right w:val="none" w:sz="0" w:space="0" w:color="auto"/>
      </w:divBdr>
    </w:div>
    <w:div w:id="1890991987">
      <w:marLeft w:val="0"/>
      <w:marRight w:val="0"/>
      <w:marTop w:val="0"/>
      <w:marBottom w:val="120"/>
      <w:divBdr>
        <w:top w:val="none" w:sz="0" w:space="0" w:color="auto"/>
        <w:left w:val="none" w:sz="0" w:space="0" w:color="auto"/>
        <w:bottom w:val="single" w:sz="12" w:space="0" w:color="000000"/>
        <w:right w:val="none" w:sz="0" w:space="0" w:color="auto"/>
      </w:divBdr>
    </w:div>
    <w:div w:id="1934052804">
      <w:marLeft w:val="0"/>
      <w:marRight w:val="0"/>
      <w:marTop w:val="0"/>
      <w:marBottom w:val="120"/>
      <w:divBdr>
        <w:top w:val="none" w:sz="0" w:space="0" w:color="auto"/>
        <w:left w:val="none" w:sz="0" w:space="0" w:color="auto"/>
        <w:bottom w:val="single" w:sz="12" w:space="0" w:color="000000"/>
        <w:right w:val="none" w:sz="0" w:space="0" w:color="auto"/>
      </w:divBdr>
    </w:div>
    <w:div w:id="1958444647">
      <w:marLeft w:val="0"/>
      <w:marRight w:val="0"/>
      <w:marTop w:val="0"/>
      <w:marBottom w:val="120"/>
      <w:divBdr>
        <w:top w:val="none" w:sz="0" w:space="0" w:color="auto"/>
        <w:left w:val="none" w:sz="0" w:space="0" w:color="auto"/>
        <w:bottom w:val="single" w:sz="12" w:space="0" w:color="000000"/>
        <w:right w:val="none" w:sz="0" w:space="0" w:color="auto"/>
      </w:divBdr>
    </w:div>
    <w:div w:id="1958640754">
      <w:marLeft w:val="0"/>
      <w:marRight w:val="0"/>
      <w:marTop w:val="0"/>
      <w:marBottom w:val="120"/>
      <w:divBdr>
        <w:top w:val="none" w:sz="0" w:space="0" w:color="auto"/>
        <w:left w:val="none" w:sz="0" w:space="0" w:color="auto"/>
        <w:bottom w:val="single" w:sz="12" w:space="0" w:color="000000"/>
        <w:right w:val="none" w:sz="0" w:space="0" w:color="auto"/>
      </w:divBdr>
    </w:div>
    <w:div w:id="1969971612">
      <w:marLeft w:val="0"/>
      <w:marRight w:val="0"/>
      <w:marTop w:val="0"/>
      <w:marBottom w:val="120"/>
      <w:divBdr>
        <w:top w:val="none" w:sz="0" w:space="0" w:color="auto"/>
        <w:left w:val="none" w:sz="0" w:space="0" w:color="auto"/>
        <w:bottom w:val="single" w:sz="12" w:space="0" w:color="000000"/>
        <w:right w:val="none" w:sz="0" w:space="0" w:color="auto"/>
      </w:divBdr>
    </w:div>
    <w:div w:id="1973442122">
      <w:marLeft w:val="0"/>
      <w:marRight w:val="0"/>
      <w:marTop w:val="0"/>
      <w:marBottom w:val="120"/>
      <w:divBdr>
        <w:top w:val="none" w:sz="0" w:space="0" w:color="auto"/>
        <w:left w:val="none" w:sz="0" w:space="0" w:color="auto"/>
        <w:bottom w:val="single" w:sz="12" w:space="0" w:color="000000"/>
        <w:right w:val="none" w:sz="0" w:space="0" w:color="auto"/>
      </w:divBdr>
    </w:div>
    <w:div w:id="1981223165">
      <w:marLeft w:val="0"/>
      <w:marRight w:val="0"/>
      <w:marTop w:val="0"/>
      <w:marBottom w:val="120"/>
      <w:divBdr>
        <w:top w:val="none" w:sz="0" w:space="0" w:color="auto"/>
        <w:left w:val="none" w:sz="0" w:space="0" w:color="auto"/>
        <w:bottom w:val="single" w:sz="12" w:space="0" w:color="000000"/>
        <w:right w:val="none" w:sz="0" w:space="0" w:color="auto"/>
      </w:divBdr>
    </w:div>
    <w:div w:id="2013608263">
      <w:marLeft w:val="0"/>
      <w:marRight w:val="0"/>
      <w:marTop w:val="0"/>
      <w:marBottom w:val="120"/>
      <w:divBdr>
        <w:top w:val="none" w:sz="0" w:space="0" w:color="auto"/>
        <w:left w:val="none" w:sz="0" w:space="0" w:color="auto"/>
        <w:bottom w:val="single" w:sz="12" w:space="0" w:color="000000"/>
        <w:right w:val="none" w:sz="0" w:space="0" w:color="auto"/>
      </w:divBdr>
    </w:div>
    <w:div w:id="2025353318">
      <w:marLeft w:val="0"/>
      <w:marRight w:val="0"/>
      <w:marTop w:val="0"/>
      <w:marBottom w:val="120"/>
      <w:divBdr>
        <w:top w:val="none" w:sz="0" w:space="0" w:color="auto"/>
        <w:left w:val="none" w:sz="0" w:space="0" w:color="auto"/>
        <w:bottom w:val="single" w:sz="12" w:space="0" w:color="000000"/>
        <w:right w:val="none" w:sz="0" w:space="0" w:color="auto"/>
      </w:divBdr>
    </w:div>
    <w:div w:id="2041322532">
      <w:marLeft w:val="0"/>
      <w:marRight w:val="0"/>
      <w:marTop w:val="0"/>
      <w:marBottom w:val="120"/>
      <w:divBdr>
        <w:top w:val="none" w:sz="0" w:space="0" w:color="auto"/>
        <w:left w:val="none" w:sz="0" w:space="0" w:color="auto"/>
        <w:bottom w:val="single" w:sz="12" w:space="0" w:color="000000"/>
        <w:right w:val="none" w:sz="0" w:space="0" w:color="auto"/>
      </w:divBdr>
    </w:div>
    <w:div w:id="2082218677">
      <w:marLeft w:val="0"/>
      <w:marRight w:val="0"/>
      <w:marTop w:val="0"/>
      <w:marBottom w:val="120"/>
      <w:divBdr>
        <w:top w:val="none" w:sz="0" w:space="0" w:color="auto"/>
        <w:left w:val="none" w:sz="0" w:space="0" w:color="auto"/>
        <w:bottom w:val="single" w:sz="12" w:space="0" w:color="000000"/>
        <w:right w:val="none" w:sz="0" w:space="0" w:color="auto"/>
      </w:divBdr>
    </w:div>
    <w:div w:id="2092701717">
      <w:marLeft w:val="0"/>
      <w:marRight w:val="0"/>
      <w:marTop w:val="0"/>
      <w:marBottom w:val="120"/>
      <w:divBdr>
        <w:top w:val="none" w:sz="0" w:space="0" w:color="auto"/>
        <w:left w:val="none" w:sz="0" w:space="0" w:color="auto"/>
        <w:bottom w:val="single" w:sz="12" w:space="0" w:color="000000"/>
        <w:right w:val="none" w:sz="0" w:space="0" w:color="auto"/>
      </w:divBdr>
    </w:div>
    <w:div w:id="2111511758">
      <w:marLeft w:val="0"/>
      <w:marRight w:val="0"/>
      <w:marTop w:val="0"/>
      <w:marBottom w:val="120"/>
      <w:divBdr>
        <w:top w:val="none" w:sz="0" w:space="0" w:color="auto"/>
        <w:left w:val="none" w:sz="0" w:space="0" w:color="auto"/>
        <w:bottom w:val="single" w:sz="12" w:space="0" w:color="000000"/>
        <w:right w:val="none" w:sz="0" w:space="0" w:color="auto"/>
      </w:divBdr>
    </w:div>
    <w:div w:id="2123844947">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1582982/000149315218013723/ex3-5.htm" TargetMode="External"/><Relationship Id="rId21" Type="http://schemas.openxmlformats.org/officeDocument/2006/relationships/hyperlink" Target="https://www.sec.gov/Archives/edgar/data/1582982/000149315221013396/ex2-1.htm" TargetMode="External"/><Relationship Id="rId42" Type="http://schemas.openxmlformats.org/officeDocument/2006/relationships/hyperlink" Target="https://www.sec.gov/Archives/edgar/data/1582982/000149315222002660/ex3-2.htm" TargetMode="External"/><Relationship Id="rId47" Type="http://schemas.openxmlformats.org/officeDocument/2006/relationships/hyperlink" Target="https://www.sec.gov/Archives/edgar/data/1582982/000114420415059897/v420930_ex4-2.htm" TargetMode="External"/><Relationship Id="rId63" Type="http://schemas.openxmlformats.org/officeDocument/2006/relationships/hyperlink" Target="https://www.sec.gov/Archives/edgar/data/1582982/000149315218006296/ex10-1.htm" TargetMode="External"/><Relationship Id="rId68" Type="http://schemas.openxmlformats.org/officeDocument/2006/relationships/hyperlink" Target="https://www.sec.gov/Archives/edgar/data/1582982/000149315219018154/ex1-1.htm" TargetMode="External"/><Relationship Id="rId84" Type="http://schemas.openxmlformats.org/officeDocument/2006/relationships/fontTable" Target="fontTable.xml"/><Relationship Id="rId16" Type="http://schemas.openxmlformats.org/officeDocument/2006/relationships/hyperlink" Target="https://www.sec.gov/Archives/edgar/data/1582982/000149315219004086/ex10-1.htm" TargetMode="External"/><Relationship Id="rId11" Type="http://schemas.openxmlformats.org/officeDocument/2006/relationships/hyperlink" Target="https://www.sec.gov/Archives/edgar/data/1582982/000149315216013851/ex10-3.htm" TargetMode="External"/><Relationship Id="rId32" Type="http://schemas.openxmlformats.org/officeDocument/2006/relationships/hyperlink" Target="https://www.sec.gov/Archives/edgar/data/1582982/000149315218013723/ex3-2.htm" TargetMode="External"/><Relationship Id="rId37" Type="http://schemas.openxmlformats.org/officeDocument/2006/relationships/hyperlink" Target="https://www.sec.gov/Archives/edgar/data/1582982/000149315220009629/ex3-2.htm" TargetMode="External"/><Relationship Id="rId53" Type="http://schemas.openxmlformats.org/officeDocument/2006/relationships/hyperlink" Target="https://www.sec.gov/Archives/edgar/data/1582982/000149315220016444/ex4-7.htm" TargetMode="External"/><Relationship Id="rId58" Type="http://schemas.openxmlformats.org/officeDocument/2006/relationships/hyperlink" Target="https://www.sec.gov/Archives/edgar/data/1582982/000149315220009629/ex3-1.htm" TargetMode="External"/><Relationship Id="rId74" Type="http://schemas.openxmlformats.org/officeDocument/2006/relationships/hyperlink" Target="https://www.sec.gov/Archives/edgar/data/1582982/000149315222004304/ex1-1.htm" TargetMode="External"/><Relationship Id="rId79" Type="http://schemas.openxmlformats.org/officeDocument/2006/relationships/hyperlink" Target="ex23-1.htm" TargetMode="External"/><Relationship Id="rId5" Type="http://schemas.openxmlformats.org/officeDocument/2006/relationships/image" Target="file:///E:\projects\LLMs\new_data_collection\data_new\htm\CareCloud,%20Inc\form10-k_001.jpg" TargetMode="External"/><Relationship Id="rId19" Type="http://schemas.openxmlformats.org/officeDocument/2006/relationships/hyperlink" Target="https://www.sec.gov/Archives/edgar/data/1582982/000149315220003146/ex10-17.htm" TargetMode="External"/><Relationship Id="rId14" Type="http://schemas.openxmlformats.org/officeDocument/2006/relationships/hyperlink" Target="https://www.sec.gov/Archives/edgar/data/1582982/000149315218009518/ex10-1.htm" TargetMode="External"/><Relationship Id="rId22" Type="http://schemas.openxmlformats.org/officeDocument/2006/relationships/hyperlink" Target="https://www.sec.gov/Archives/edgar/data/1582982/000149315221013396/ex2-2.htm" TargetMode="External"/><Relationship Id="rId27" Type="http://schemas.openxmlformats.org/officeDocument/2006/relationships/hyperlink" Target="https://www.sec.gov/Archives/edgar/data/1582982/000149315219001509/ex3-1.htm" TargetMode="External"/><Relationship Id="rId30" Type="http://schemas.openxmlformats.org/officeDocument/2006/relationships/hyperlink" Target="https://www.sec.gov/Archives/edgar/data/1582982/000149315222017044/ex3-6.htm" TargetMode="External"/><Relationship Id="rId35" Type="http://schemas.openxmlformats.org/officeDocument/2006/relationships/hyperlink" Target="https://www.sec.gov/Archives/edgar/data/1582982/000149315218013723/ex3-6.htm" TargetMode="External"/><Relationship Id="rId43" Type="http://schemas.openxmlformats.org/officeDocument/2006/relationships/hyperlink" Target="https://www.sec.gov/Archives/edgar/data/1582982/000149315222017044/ex3-3.htm" TargetMode="External"/><Relationship Id="rId48" Type="http://schemas.openxmlformats.org/officeDocument/2006/relationships/hyperlink" Target="https://www.sec.gov/Archives/edgar/data/1582982/000149315222002752/ex4-3.htm" TargetMode="External"/><Relationship Id="rId56" Type="http://schemas.openxmlformats.org/officeDocument/2006/relationships/hyperlink" Target="https://www.sec.gov/Archives/edgar/data/1582982/000149315217001159/def14a.htm" TargetMode="External"/><Relationship Id="rId64" Type="http://schemas.openxmlformats.org/officeDocument/2006/relationships/hyperlink" Target="https://www.sec.gov/Archives/edgar/data/1582982/000149315221006673/ex10-2.htm" TargetMode="External"/><Relationship Id="rId69" Type="http://schemas.openxmlformats.org/officeDocument/2006/relationships/hyperlink" Target="https://www.sec.gov/Archives/edgar/data/1582982/000149315220003146/ex10-16.htm" TargetMode="External"/><Relationship Id="rId77" Type="http://schemas.openxmlformats.org/officeDocument/2006/relationships/hyperlink" Target="ex10-23.htm" TargetMode="External"/><Relationship Id="rId8" Type="http://schemas.openxmlformats.org/officeDocument/2006/relationships/image" Target="file:///E:\projects\LLMs\new_data_collection\data_new\htm\CareCloud,%20Inc\form10-k_004.jpg" TargetMode="External"/><Relationship Id="rId51" Type="http://schemas.openxmlformats.org/officeDocument/2006/relationships/hyperlink" Target="https://www.sec.gov/Archives/edgar/data/1582982/000149315220003146/ex4-5.htm" TargetMode="External"/><Relationship Id="rId72" Type="http://schemas.openxmlformats.org/officeDocument/2006/relationships/hyperlink" Target="https://www.sec.gov/Archives/edgar/data/1582982/000149315222002660/ex1-1.htm" TargetMode="External"/><Relationship Id="rId80" Type="http://schemas.openxmlformats.org/officeDocument/2006/relationships/hyperlink" Target="ex31-1.htm"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sec.gov/Archives/edgar/data/1582982/000149315217000212/ex2-1.htm" TargetMode="External"/><Relationship Id="rId17" Type="http://schemas.openxmlformats.org/officeDocument/2006/relationships/hyperlink" Target="https://www.sec.gov/Archives/edgar/data/1582982/000149315219004870/ex10-1.htm" TargetMode="External"/><Relationship Id="rId25" Type="http://schemas.openxmlformats.org/officeDocument/2006/relationships/hyperlink" Target="https://www.sec.gov/Archives/edgar/data/1582982/000149315218013723/ex3-2.htm" TargetMode="External"/><Relationship Id="rId33" Type="http://schemas.openxmlformats.org/officeDocument/2006/relationships/hyperlink" Target="https://www.sec.gov/Archives/edgar/data/1582982/000149315218013723/ex3-3.htm" TargetMode="External"/><Relationship Id="rId38" Type="http://schemas.openxmlformats.org/officeDocument/2006/relationships/hyperlink" Target="https://www.sec.gov/Archives/edgar/data/1582982/000149315220012999/ex3-1.htm" TargetMode="External"/><Relationship Id="rId46" Type="http://schemas.openxmlformats.org/officeDocument/2006/relationships/hyperlink" Target="https://www.sec.gov/Archives/edgar/data/1582982/000114420414028369/v377260_ex4-1.htm" TargetMode="External"/><Relationship Id="rId59" Type="http://schemas.openxmlformats.org/officeDocument/2006/relationships/hyperlink" Target="https://www.sec.gov/Archives/edgar/data/1582982/000114420414021003/v365547_ex10-3.htm" TargetMode="External"/><Relationship Id="rId67" Type="http://schemas.openxmlformats.org/officeDocument/2006/relationships/hyperlink" Target="https://www.sec.gov/Archives/edgar/data/1582982/000149315218013542/ex10-1.htm" TargetMode="External"/><Relationship Id="rId20" Type="http://schemas.openxmlformats.org/officeDocument/2006/relationships/hyperlink" Target="https://www.sec.gov/Archives/edgar/data/1582982/000149315220011311/ex2-1.htm" TargetMode="External"/><Relationship Id="rId41" Type="http://schemas.openxmlformats.org/officeDocument/2006/relationships/hyperlink" Target="https://www.sec.gov/Archives/edgar/data/1582982/000149315222017044/ex3-4.htm" TargetMode="External"/><Relationship Id="rId54" Type="http://schemas.openxmlformats.org/officeDocument/2006/relationships/hyperlink" Target="ex4-9.htm" TargetMode="External"/><Relationship Id="rId62" Type="http://schemas.openxmlformats.org/officeDocument/2006/relationships/hyperlink" Target="https://www.sec.gov/Archives/edgar/data/1582982/000114420413068422/v362982_ex10-4.htm" TargetMode="External"/><Relationship Id="rId70" Type="http://schemas.openxmlformats.org/officeDocument/2006/relationships/hyperlink" Target="https://www.sec.gov/Archives/edgar/data/1582982/000149315220018360/ex1-1.htm" TargetMode="External"/><Relationship Id="rId75" Type="http://schemas.openxmlformats.org/officeDocument/2006/relationships/hyperlink" Target="https://www.sec.gov/Archives/edgar/data/1582982/000149315223005588/ex10-1.htm" TargetMode="External"/><Relationship Id="rId83" Type="http://schemas.openxmlformats.org/officeDocument/2006/relationships/hyperlink" Target="ex32-2.htm" TargetMode="External"/><Relationship Id="rId1" Type="http://schemas.openxmlformats.org/officeDocument/2006/relationships/styles" Target="styles.xml"/><Relationship Id="rId6" Type="http://schemas.openxmlformats.org/officeDocument/2006/relationships/image" Target="file:///E:\projects\LLMs\new_data_collection\data_new\htm\CareCloud,%20Inc\form10-k_002.jpg" TargetMode="External"/><Relationship Id="rId15" Type="http://schemas.openxmlformats.org/officeDocument/2006/relationships/hyperlink" Target="https://www.sec.gov/Archives/edgar/data/1582982/000149315218013723/ex2-29.htm" TargetMode="External"/><Relationship Id="rId23" Type="http://schemas.openxmlformats.org/officeDocument/2006/relationships/hyperlink" Target="https://www.sec.gov/Archives/edgar/data/1582982/000149315221013396/ex2-3.htm" TargetMode="External"/><Relationship Id="rId28" Type="http://schemas.openxmlformats.org/officeDocument/2006/relationships/hyperlink" Target="https://www.sec.gov/Archives/edgar/data/1582982/000149315219009655/ex3-1.htm" TargetMode="External"/><Relationship Id="rId36" Type="http://schemas.openxmlformats.org/officeDocument/2006/relationships/hyperlink" Target="https://www.sec.gov/Archives/edgar/data/1582982/000149315220001200/ex3-1.htm" TargetMode="External"/><Relationship Id="rId49" Type="http://schemas.openxmlformats.org/officeDocument/2006/relationships/hyperlink" Target="https://www.sec.gov/Archives/edgar/data/1582982/000149315217011626/ex10-2.htm" TargetMode="External"/><Relationship Id="rId57" Type="http://schemas.openxmlformats.org/officeDocument/2006/relationships/hyperlink" Target="https://www.sec.gov/Archives/edgar/data/1582982/000149315218011173/ex10-16.htm" TargetMode="External"/><Relationship Id="rId10" Type="http://schemas.openxmlformats.org/officeDocument/2006/relationships/hyperlink" Target="https://www.sec.gov/Archives/edgar/data/1582982/000149315216013851/ex10-2.htm" TargetMode="External"/><Relationship Id="rId31" Type="http://schemas.openxmlformats.org/officeDocument/2006/relationships/hyperlink" Target="https://www.sec.gov/Archives/edgar/data/1582982/000149315222017044/ex3-1.htm" TargetMode="External"/><Relationship Id="rId44" Type="http://schemas.openxmlformats.org/officeDocument/2006/relationships/hyperlink" Target="https://www.sec.gov/Archives/edgar/data/1582982/000149315222017044/ex3-5.htm" TargetMode="External"/><Relationship Id="rId52" Type="http://schemas.openxmlformats.org/officeDocument/2006/relationships/hyperlink" Target="https://www.sec.gov/Archives/edgar/data/1582982/000149315220003146/ex4-6.htm" TargetMode="External"/><Relationship Id="rId60" Type="http://schemas.openxmlformats.org/officeDocument/2006/relationships/hyperlink" Target="https://www.sec.gov/Archives/edgar/data/1582982/000149315222016336/ex3-1.htm" TargetMode="External"/><Relationship Id="rId65" Type="http://schemas.openxmlformats.org/officeDocument/2006/relationships/hyperlink" Target="https://www.sec.gov/Archives/edgar/data/1582982/000149315218006296/ex10-4.htm" TargetMode="External"/><Relationship Id="rId73" Type="http://schemas.openxmlformats.org/officeDocument/2006/relationships/hyperlink" Target="https://www.sec.gov/Archives/edgar/data/1582982/000149315222012566/ex10-19.htm" TargetMode="External"/><Relationship Id="rId78" Type="http://schemas.openxmlformats.org/officeDocument/2006/relationships/hyperlink" Target="ex21-1.htm" TargetMode="External"/><Relationship Id="rId81" Type="http://schemas.openxmlformats.org/officeDocument/2006/relationships/hyperlink" Target="ex31-2.htm" TargetMode="External"/><Relationship Id="rId4" Type="http://schemas.openxmlformats.org/officeDocument/2006/relationships/image" Target="file:///E:\projects\LLMs\new_data_collection\data_new\htm\CareCloud,%20Inc\logo_001.jpg" TargetMode="External"/><Relationship Id="rId9" Type="http://schemas.openxmlformats.org/officeDocument/2006/relationships/hyperlink" Target="https://www.sec.gov/Archives/edgar/data/1582982/000149315216013851/ex10-1.htm" TargetMode="External"/><Relationship Id="rId13" Type="http://schemas.openxmlformats.org/officeDocument/2006/relationships/hyperlink" Target="https://www.sec.gov/Archives/edgar/data/1582982/000149315217000775/ex2-1.htm" TargetMode="External"/><Relationship Id="rId18" Type="http://schemas.openxmlformats.org/officeDocument/2006/relationships/hyperlink" Target="https://www.sec.gov/Archives/edgar/data/1582982/000149315220000344/ex2-1.htm" TargetMode="External"/><Relationship Id="rId39" Type="http://schemas.openxmlformats.org/officeDocument/2006/relationships/hyperlink" Target="https://www.sec.gov/Archives/edgar/data/1582982/000149315222002660/ex3-1.htm" TargetMode="External"/><Relationship Id="rId34" Type="http://schemas.openxmlformats.org/officeDocument/2006/relationships/hyperlink" Target="https://www.sec.gov/Archives/edgar/data/1582982/000149315218013723/ex3-4.htm" TargetMode="External"/><Relationship Id="rId50" Type="http://schemas.openxmlformats.org/officeDocument/2006/relationships/hyperlink" Target="https://www.sec.gov/Archives/edgar/data/1582982/000149315218013542/ex10-2.htm" TargetMode="External"/><Relationship Id="rId55" Type="http://schemas.openxmlformats.org/officeDocument/2006/relationships/hyperlink" Target="https://www.sec.gov/Archives/edgar/data/1582982/000114420414028369/v377260_ex10-1.htm" TargetMode="External"/><Relationship Id="rId76" Type="http://schemas.openxmlformats.org/officeDocument/2006/relationships/hyperlink" Target="ex10-22.htm" TargetMode="External"/><Relationship Id="rId7" Type="http://schemas.openxmlformats.org/officeDocument/2006/relationships/image" Target="file:///E:\projects\LLMs\new_data_collection\data_new\htm\CareCloud,%20Inc\form10-k_003.jpg" TargetMode="External"/><Relationship Id="rId71" Type="http://schemas.openxmlformats.org/officeDocument/2006/relationships/hyperlink" Target="https://www.sec.gov/Archives/edgar/data/1582982/000149315221023325/ex10-1.htm" TargetMode="External"/><Relationship Id="rId2" Type="http://schemas.openxmlformats.org/officeDocument/2006/relationships/settings" Target="settings.xml"/><Relationship Id="rId29" Type="http://schemas.openxmlformats.org/officeDocument/2006/relationships/hyperlink" Target="https://www.sec.gov/Archives/edgar/data/1582982/000149315221007040/ex3-1.htm" TargetMode="External"/><Relationship Id="rId24" Type="http://schemas.openxmlformats.org/officeDocument/2006/relationships/hyperlink" Target="https://www.sec.gov/Archives/edgar/data/1582982/000149315218013723/ex3-1.htm" TargetMode="External"/><Relationship Id="rId40" Type="http://schemas.openxmlformats.org/officeDocument/2006/relationships/hyperlink" Target="https://www.sec.gov/Archives/edgar/data/1582982/000149315222017044/ex3-2.htm" TargetMode="External"/><Relationship Id="rId45" Type="http://schemas.openxmlformats.org/officeDocument/2006/relationships/hyperlink" Target="https://www.sec.gov/Archives/edgar/data/1582982/000114420414021003/v365547_ex3-2.htm" TargetMode="External"/><Relationship Id="rId66" Type="http://schemas.openxmlformats.org/officeDocument/2006/relationships/hyperlink" Target="https://www.sec.gov/Archives/edgar/data/1582982/000149315217011626/ex10-1.htm" TargetMode="External"/><Relationship Id="rId61" Type="http://schemas.openxmlformats.org/officeDocument/2006/relationships/hyperlink" Target="https://www.sec.gov/Archives/edgar/data/1582982/000114420416090133/v434023_ex10-12.htm" TargetMode="External"/><Relationship Id="rId82" Type="http://schemas.openxmlformats.org/officeDocument/2006/relationships/hyperlink" Target="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62846</Words>
  <Characters>358228</Characters>
  <Application>Microsoft Office Word</Application>
  <DocSecurity>0</DocSecurity>
  <Lines>2985</Lines>
  <Paragraphs>840</Paragraphs>
  <ScaleCrop>false</ScaleCrop>
  <Company/>
  <LinksUpToDate>false</LinksUpToDate>
  <CharactersWithSpaces>420234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